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81" w:rsidRPr="00EE40A0" w:rsidRDefault="00B721F7">
      <w:pPr>
        <w:rPr>
          <w:rFonts w:ascii="Segoe UI" w:hAnsi="Segoe UI" w:cs="Segoe UI"/>
          <w:color w:val="000000"/>
          <w:sz w:val="21"/>
          <w:szCs w:val="21"/>
          <w:lang w:val="en-US"/>
        </w:rPr>
      </w:pPr>
      <w:bookmarkStart w:id="0" w:name="_GoBack"/>
      <w:bookmarkEnd w:id="0"/>
      <w:r>
        <w:rPr>
          <w:noProof/>
          <w:lang w:eastAsia="el-GR"/>
        </w:rPr>
        <w:drawing>
          <wp:anchor distT="0" distB="0" distL="114300" distR="114300" simplePos="0" relativeHeight="251676160" behindDoc="0" locked="0" layoutInCell="1" allowOverlap="1" wp14:anchorId="5FF79D06" wp14:editId="394FC785">
            <wp:simplePos x="0" y="0"/>
            <wp:positionH relativeFrom="column">
              <wp:posOffset>5242399</wp:posOffset>
            </wp:positionH>
            <wp:positionV relativeFrom="paragraph">
              <wp:posOffset>-154305</wp:posOffset>
            </wp:positionV>
            <wp:extent cx="1212215" cy="695960"/>
            <wp:effectExtent l="0" t="0" r="6985" b="8890"/>
            <wp:wrapNone/>
            <wp:docPr id="1878171020" name="Picture 187817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215" cy="695960"/>
                    </a:xfrm>
                    <a:prstGeom prst="rect">
                      <a:avLst/>
                    </a:prstGeom>
                    <a:noFill/>
                  </pic:spPr>
                </pic:pic>
              </a:graphicData>
            </a:graphic>
            <wp14:sizeRelH relativeFrom="margin">
              <wp14:pctWidth>0</wp14:pctWidth>
            </wp14:sizeRelH>
            <wp14:sizeRelV relativeFrom="margin">
              <wp14:pctHeight>0</wp14:pctHeight>
            </wp14:sizeRelV>
          </wp:anchor>
        </w:drawing>
      </w:r>
      <w:r>
        <w:rPr>
          <w:rFonts w:ascii="Segoe UI" w:hAnsi="Segoe UI" w:cs="Segoe UI"/>
          <w:noProof/>
          <w:lang w:eastAsia="el-GR"/>
        </w:rPr>
        <mc:AlternateContent>
          <mc:Choice Requires="wps">
            <w:drawing>
              <wp:anchor distT="0" distB="0" distL="114300" distR="114300" simplePos="0" relativeHeight="251645440" behindDoc="0" locked="0" layoutInCell="1" allowOverlap="1" wp14:anchorId="5C7009E3" wp14:editId="513825B3">
                <wp:simplePos x="0" y="0"/>
                <wp:positionH relativeFrom="column">
                  <wp:posOffset>-540385</wp:posOffset>
                </wp:positionH>
                <wp:positionV relativeFrom="paragraph">
                  <wp:posOffset>45720</wp:posOffset>
                </wp:positionV>
                <wp:extent cx="2080895" cy="153035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0895" cy="1530350"/>
                        </a:xfrm>
                        <a:prstGeom prst="rect">
                          <a:avLst/>
                        </a:prstGeom>
                        <a:solidFill>
                          <a:srgbClr val="007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C53B5" id="Rectangle 3" o:spid="_x0000_s1026" style="position:absolute;margin-left:-42.55pt;margin-top:3.6pt;width:163.85pt;height:12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" fillcolor="#007382" stroked="f" strokeweight="1pt">
                <v:path arrowok="t"/>
              </v:rect>
            </w:pict>
          </mc:Fallback>
        </mc:AlternateContent>
      </w:r>
      <w:r>
        <w:rPr>
          <w:rFonts w:ascii="Segoe UI" w:hAnsi="Segoe UI" w:cs="Segoe UI"/>
          <w:noProof/>
          <w:lang w:eastAsia="el-GR"/>
        </w:rPr>
        <mc:AlternateContent>
          <mc:Choice Requires="wps">
            <w:drawing>
              <wp:anchor distT="0" distB="0" distL="114300" distR="114300" simplePos="0" relativeHeight="251648512" behindDoc="0" locked="0" layoutInCell="1" allowOverlap="1" wp14:anchorId="0A7F36AB" wp14:editId="4D60E349">
                <wp:simplePos x="0" y="0"/>
                <wp:positionH relativeFrom="column">
                  <wp:posOffset>-539115</wp:posOffset>
                </wp:positionH>
                <wp:positionV relativeFrom="paragraph">
                  <wp:posOffset>-65879</wp:posOffset>
                </wp:positionV>
                <wp:extent cx="1132840" cy="30480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840" cy="304800"/>
                        </a:xfrm>
                        <a:prstGeom prst="rect">
                          <a:avLst/>
                        </a:prstGeom>
                        <a:solidFill>
                          <a:srgbClr val="00B2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D3E2B32" id="Rectangle 28" o:spid="_x0000_s1026" style="position:absolute;margin-left:-42.45pt;margin-top:-5.2pt;width:89.2pt;height: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" fillcolor="#00b2c6" stroked="f" strokeweight="1pt">
                <v:path arrowok="t"/>
              </v:rect>
            </w:pict>
          </mc:Fallback>
        </mc:AlternateContent>
      </w:r>
    </w:p>
    <w:p w:rsidR="000765E8" w:rsidRPr="00EE40A0" w:rsidRDefault="00430659" w:rsidP="000765E8">
      <w:pPr>
        <w:pStyle w:val="body"/>
        <w:rPr>
          <w:rFonts w:ascii="Segoe UI" w:hAnsi="Segoe UI" w:cs="Segoe UI"/>
          <w:lang w:val="en-US"/>
        </w:rPr>
      </w:pPr>
      <w:r>
        <w:rPr>
          <w:rFonts w:ascii="Segoe UI" w:hAnsi="Segoe UI" w:cs="Segoe UI"/>
          <w:noProof/>
          <w:lang w:eastAsia="el-GR"/>
        </w:rPr>
        <mc:AlternateContent>
          <mc:Choice Requires="wps">
            <w:drawing>
              <wp:anchor distT="0" distB="0" distL="114300" distR="114300" simplePos="0" relativeHeight="251646464" behindDoc="0" locked="0" layoutInCell="1" allowOverlap="1" wp14:anchorId="0D111D3F" wp14:editId="649BC4D0">
                <wp:simplePos x="0" y="0"/>
                <wp:positionH relativeFrom="column">
                  <wp:posOffset>-226060</wp:posOffset>
                </wp:positionH>
                <wp:positionV relativeFrom="paragraph">
                  <wp:posOffset>184311</wp:posOffset>
                </wp:positionV>
                <wp:extent cx="1593215" cy="1282700"/>
                <wp:effectExtent l="0" t="0" r="698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215" cy="1282700"/>
                        </a:xfrm>
                        <a:prstGeom prst="rect">
                          <a:avLst/>
                        </a:prstGeom>
                        <a:noFill/>
                        <a:ln w="6350">
                          <a:noFill/>
                        </a:ln>
                      </wps:spPr>
                      <wps:txbx>
                        <w:txbxContent>
                          <w:p w:rsidR="00D95F56" w:rsidRPr="00F81F11" w:rsidRDefault="00D95F56" w:rsidP="000765E8">
                            <w:pPr>
                              <w:spacing w:line="460" w:lineRule="exact"/>
                              <w:jc w:val="right"/>
                              <w:rPr>
                                <w:b/>
                                <w:bCs/>
                                <w:color w:val="FFFFFF" w:themeColor="background1"/>
                                <w:sz w:val="40"/>
                                <w:szCs w:val="40"/>
                              </w:rPr>
                            </w:pPr>
                            <w:r>
                              <w:rPr>
                                <w:b/>
                                <w:bCs/>
                                <w:color w:val="CDEEF1"/>
                                <w:sz w:val="40"/>
                                <w:szCs w:val="40"/>
                              </w:rPr>
                              <w:t>Όμιλος ΕΤΕ</w:t>
                            </w:r>
                          </w:p>
                          <w:p w:rsidR="00D95F56" w:rsidRPr="00F81F11" w:rsidRDefault="00D95F56" w:rsidP="000765E8">
                            <w:pPr>
                              <w:spacing w:line="460" w:lineRule="exact"/>
                              <w:jc w:val="right"/>
                              <w:rPr>
                                <w:b/>
                                <w:bCs/>
                                <w:color w:val="FFFFFF" w:themeColor="background1"/>
                                <w:sz w:val="44"/>
                                <w:szCs w:val="44"/>
                              </w:rPr>
                            </w:pPr>
                            <w:r>
                              <w:rPr>
                                <w:b/>
                                <w:bCs/>
                                <w:color w:val="FFFFFF" w:themeColor="background1"/>
                                <w:sz w:val="36"/>
                                <w:szCs w:val="36"/>
                              </w:rPr>
                              <w:t>Αποτελέσματα Γ’ τριμήνου 20</w:t>
                            </w:r>
                            <w:r w:rsidRPr="002607A2">
                              <w:rPr>
                                <w:b/>
                                <w:bCs/>
                                <w:color w:val="FFFFFF" w:themeColor="background1"/>
                                <w:sz w:val="36"/>
                                <w:szCs w:val="36"/>
                              </w:rPr>
                              <w:t>20</w:t>
                            </w:r>
                            <w:r>
                              <w:rPr>
                                <w:b/>
                                <w:bCs/>
                                <w:color w:val="FFFFFF" w:themeColor="background1"/>
                                <w:sz w:val="36"/>
                                <w:szCs w:val="36"/>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11D3F" id="_x0000_t202" coordsize="21600,21600" o:spt="202" path="m,l,21600r21600,l21600,xe">
                <v:stroke joinstyle="miter"/>
                <v:path gradientshapeok="t" o:connecttype="rect"/>
              </v:shapetype>
              <v:shape id="Text Box 1" o:spid="_x0000_s1026" type="#_x0000_t202" style="position:absolute;left:0;text-align:left;margin-left:-17.8pt;margin-top:14.5pt;width:125.45pt;height:10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" filled="f" stroked="f" strokeweight=".5pt">
                <v:path arrowok="t"/>
                <v:textbox inset="0,,0">
                  <w:txbxContent>
                    <w:p w:rsidR="00D95F56" w:rsidRPr="00F81F11" w:rsidRDefault="00D95F56" w:rsidP="000765E8">
                      <w:pPr>
                        <w:spacing w:line="460" w:lineRule="exact"/>
                        <w:jc w:val="right"/>
                        <w:rPr>
                          <w:b/>
                          <w:bCs/>
                          <w:color w:val="FFFFFF" w:themeColor="background1"/>
                          <w:sz w:val="40"/>
                          <w:szCs w:val="40"/>
                        </w:rPr>
                      </w:pPr>
                      <w:r>
                        <w:rPr>
                          <w:b/>
                          <w:bCs/>
                          <w:color w:val="CDEEF1"/>
                          <w:sz w:val="40"/>
                          <w:szCs w:val="40"/>
                        </w:rPr>
                        <w:t>Όμιλος ΕΤΕ</w:t>
                      </w:r>
                    </w:p>
                    <w:p w:rsidR="00D95F56" w:rsidRPr="00F81F11" w:rsidRDefault="00D95F56" w:rsidP="000765E8">
                      <w:pPr>
                        <w:spacing w:line="460" w:lineRule="exact"/>
                        <w:jc w:val="right"/>
                        <w:rPr>
                          <w:b/>
                          <w:bCs/>
                          <w:color w:val="FFFFFF" w:themeColor="background1"/>
                          <w:sz w:val="44"/>
                          <w:szCs w:val="44"/>
                        </w:rPr>
                      </w:pPr>
                      <w:r>
                        <w:rPr>
                          <w:b/>
                          <w:bCs/>
                          <w:color w:val="FFFFFF" w:themeColor="background1"/>
                          <w:sz w:val="36"/>
                          <w:szCs w:val="36"/>
                        </w:rPr>
                        <w:t>Αποτελέσματα Γ’ τριμήνου 20</w:t>
                      </w:r>
                      <w:r w:rsidRPr="002607A2">
                        <w:rPr>
                          <w:b/>
                          <w:bCs/>
                          <w:color w:val="FFFFFF" w:themeColor="background1"/>
                          <w:sz w:val="36"/>
                          <w:szCs w:val="36"/>
                        </w:rPr>
                        <w:t>20</w:t>
                      </w:r>
                      <w:r>
                        <w:rPr>
                          <w:b/>
                          <w:bCs/>
                          <w:color w:val="FFFFFF" w:themeColor="background1"/>
                          <w:sz w:val="36"/>
                          <w:szCs w:val="36"/>
                        </w:rPr>
                        <w:t xml:space="preserve"> </w:t>
                      </w:r>
                    </w:p>
                  </w:txbxContent>
                </v:textbox>
              </v:shape>
            </w:pict>
          </mc:Fallback>
        </mc:AlternateContent>
      </w:r>
      <w:r w:rsidR="009F7797">
        <w:rPr>
          <w:rFonts w:ascii="Segoe UI" w:hAnsi="Segoe UI" w:cs="Segoe UI"/>
          <w:noProof/>
          <w:color w:val="646464"/>
          <w:lang w:eastAsia="el-GR"/>
        </w:rPr>
        <mc:AlternateContent>
          <mc:Choice Requires="wps">
            <w:drawing>
              <wp:anchor distT="0" distB="0" distL="114300" distR="114300" simplePos="0" relativeHeight="251651584" behindDoc="0" locked="0" layoutInCell="1" allowOverlap="1" wp14:anchorId="2E763CBD" wp14:editId="0904DB6E">
                <wp:simplePos x="0" y="0"/>
                <wp:positionH relativeFrom="column">
                  <wp:posOffset>1591310</wp:posOffset>
                </wp:positionH>
                <wp:positionV relativeFrom="page">
                  <wp:posOffset>912656</wp:posOffset>
                </wp:positionV>
                <wp:extent cx="3957320" cy="483870"/>
                <wp:effectExtent l="0" t="0" r="0" b="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7320" cy="483870"/>
                        </a:xfrm>
                        <a:prstGeom prst="rect">
                          <a:avLst/>
                        </a:prstGeom>
                        <a:noFill/>
                        <a:ln w="6350">
                          <a:noFill/>
                        </a:ln>
                      </wps:spPr>
                      <wps:txbx>
                        <w:txbxContent>
                          <w:p w:rsidR="00D95F56" w:rsidRPr="00F81F11" w:rsidRDefault="00D95F56" w:rsidP="008E0A91">
                            <w:pPr>
                              <w:rPr>
                                <w:rFonts w:ascii="Calibri" w:hAnsi="Calibri"/>
                                <w:color w:val="00AFC3"/>
                                <w:sz w:val="52"/>
                                <w:szCs w:val="52"/>
                              </w:rPr>
                            </w:pPr>
                            <w:r>
                              <w:rPr>
                                <w:rFonts w:ascii="Calibri" w:hAnsi="Calibri"/>
                                <w:b/>
                                <w:color w:val="00AFC3"/>
                                <w:sz w:val="52"/>
                                <w:szCs w:val="52"/>
                              </w:rPr>
                              <w:t>ΔΕΛΤΙΟ ΤΥΠΟΥ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63CBD" id="Text Box 60" o:spid="_x0000_s1027" type="#_x0000_t202" style="position:absolute;left:0;text-align:left;margin-left:125.3pt;margin-top:71.85pt;width:311.6pt;height:3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" filled="f" stroked="f" strokeweight=".5pt">
                <v:path arrowok="t"/>
                <v:textbox>
                  <w:txbxContent>
                    <w:p w:rsidR="00D95F56" w:rsidRPr="00F81F11" w:rsidRDefault="00D95F56" w:rsidP="008E0A91">
                      <w:pPr>
                        <w:rPr>
                          <w:rFonts w:ascii="Calibri" w:hAnsi="Calibri"/>
                          <w:color w:val="00AFC3"/>
                          <w:sz w:val="52"/>
                          <w:szCs w:val="52"/>
                        </w:rPr>
                      </w:pPr>
                      <w:r>
                        <w:rPr>
                          <w:rFonts w:ascii="Calibri" w:hAnsi="Calibri"/>
                          <w:b/>
                          <w:color w:val="00AFC3"/>
                          <w:sz w:val="52"/>
                          <w:szCs w:val="52"/>
                        </w:rPr>
                        <w:t>ΔΕΛΤΙΟ ΤΥΠΟΥ</w:t>
                      </w:r>
                    </w:p>
                  </w:txbxContent>
                </v:textbox>
                <w10:wrap anchory="page"/>
              </v:shape>
            </w:pict>
          </mc:Fallback>
        </mc:AlternateContent>
      </w:r>
    </w:p>
    <w:p w:rsidR="000765E8" w:rsidRPr="00EE40A0" w:rsidRDefault="000765E8" w:rsidP="000765E8">
      <w:pPr>
        <w:pStyle w:val="body"/>
        <w:rPr>
          <w:rFonts w:ascii="Segoe UI" w:hAnsi="Segoe UI" w:cs="Segoe UI"/>
          <w:lang w:val="en-US"/>
        </w:rPr>
      </w:pPr>
    </w:p>
    <w:p w:rsidR="000765E8" w:rsidRPr="00EE40A0" w:rsidRDefault="00223B8E" w:rsidP="000765E8">
      <w:pPr>
        <w:pStyle w:val="body"/>
        <w:rPr>
          <w:rFonts w:ascii="Segoe UI" w:hAnsi="Segoe UI" w:cs="Segoe UI"/>
          <w:lang w:val="en-US"/>
        </w:rPr>
      </w:pPr>
      <w:r>
        <w:rPr>
          <w:rFonts w:ascii="Segoe UI" w:hAnsi="Segoe UI" w:cs="Segoe UI"/>
          <w:noProof/>
          <w:lang w:eastAsia="el-GR"/>
        </w:rPr>
        <mc:AlternateContent>
          <mc:Choice Requires="wps">
            <w:drawing>
              <wp:anchor distT="0" distB="0" distL="114300" distR="114300" simplePos="0" relativeHeight="251649536" behindDoc="0" locked="0" layoutInCell="1" allowOverlap="1" wp14:anchorId="3FC2EB7E" wp14:editId="33D12481">
                <wp:simplePos x="0" y="0"/>
                <wp:positionH relativeFrom="column">
                  <wp:posOffset>1683703</wp:posOffset>
                </wp:positionH>
                <wp:positionV relativeFrom="paragraph">
                  <wp:posOffset>2540</wp:posOffset>
                </wp:positionV>
                <wp:extent cx="4467225" cy="85725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7225" cy="857250"/>
                        </a:xfrm>
                        <a:prstGeom prst="rect">
                          <a:avLst/>
                        </a:prstGeom>
                        <a:noFill/>
                        <a:ln w="6350">
                          <a:noFill/>
                        </a:ln>
                      </wps:spPr>
                      <wps:txbx>
                        <w:txbxContent>
                          <w:p w:rsidR="00D95F56" w:rsidRPr="00000E66" w:rsidRDefault="00D95F56" w:rsidP="008E0A91">
                            <w:pPr>
                              <w:rPr>
                                <w:color w:val="007180"/>
                                <w:szCs w:val="34"/>
                              </w:rPr>
                            </w:pPr>
                            <w:r w:rsidRPr="00000E66">
                              <w:rPr>
                                <w:color w:val="007180"/>
                                <w:szCs w:val="33"/>
                              </w:rPr>
                              <w:t>Ισχυρά λειτουργικά αποτελέσματα Γ’ τριμήνου</w:t>
                            </w:r>
                            <w:r>
                              <w:rPr>
                                <w:color w:val="007180"/>
                                <w:szCs w:val="33"/>
                              </w:rPr>
                              <w:t xml:space="preserve"> 2020</w:t>
                            </w:r>
                            <w:r w:rsidRPr="00000E66">
                              <w:rPr>
                                <w:color w:val="007180"/>
                                <w:szCs w:val="33"/>
                              </w:rPr>
                              <w:t xml:space="preserve">, αντανακλώντας την ανάκαμψη των οργανικών εσόδων, τη διατήρηση της </w:t>
                            </w:r>
                            <w:r>
                              <w:rPr>
                                <w:color w:val="007180"/>
                                <w:szCs w:val="33"/>
                              </w:rPr>
                              <w:t>τάσης μείωσης των λειτουργικών εξόδων, καθώς και τις σχετικά χαμηλές προβλέψεις για επισφαλείς απαιτήσεις</w:t>
                            </w:r>
                            <w:r w:rsidRPr="00000E66">
                              <w:rPr>
                                <w:color w:val="007180"/>
                                <w:szCs w:val="33"/>
                              </w:rPr>
                              <w:t xml:space="preserve"> </w:t>
                            </w: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Pr="00D63B45" w:rsidRDefault="00D95F56" w:rsidP="008E0A91">
                            <w:pPr>
                              <w:rPr>
                                <w:color w:val="007180"/>
                                <w:sz w:val="34"/>
                                <w:szCs w:val="34"/>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2EB7E" id="Text Box 2" o:spid="_x0000_s1028" type="#_x0000_t202" style="position:absolute;left:0;text-align:left;margin-left:132.6pt;margin-top:.2pt;width:351.75pt;height: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" filled="f" stroked="f" strokeweight=".5pt">
                <v:path arrowok="t"/>
                <v:textbox inset="0,,0">
                  <w:txbxContent>
                    <w:p w:rsidR="00D95F56" w:rsidRPr="00000E66" w:rsidRDefault="00D95F56" w:rsidP="008E0A91">
                      <w:pPr>
                        <w:rPr>
                          <w:color w:val="007180"/>
                          <w:szCs w:val="34"/>
                        </w:rPr>
                      </w:pPr>
                      <w:r w:rsidRPr="00000E66">
                        <w:rPr>
                          <w:color w:val="007180"/>
                          <w:szCs w:val="33"/>
                        </w:rPr>
                        <w:t>Ισχυρά λειτουργικά αποτελέσματα Γ’ τριμήνου</w:t>
                      </w:r>
                      <w:r>
                        <w:rPr>
                          <w:color w:val="007180"/>
                          <w:szCs w:val="33"/>
                        </w:rPr>
                        <w:t xml:space="preserve"> 2020</w:t>
                      </w:r>
                      <w:r w:rsidRPr="00000E66">
                        <w:rPr>
                          <w:color w:val="007180"/>
                          <w:szCs w:val="33"/>
                        </w:rPr>
                        <w:t xml:space="preserve">, αντανακλώντας την ανάκαμψη των οργανικών εσόδων, τη διατήρηση της </w:t>
                      </w:r>
                      <w:r>
                        <w:rPr>
                          <w:color w:val="007180"/>
                          <w:szCs w:val="33"/>
                        </w:rPr>
                        <w:t>τάσης μείωσης των λειτουργικών εξόδων, καθώς και τις σχετικά χαμηλές προβλέψεις για επισφαλείς απαιτήσεις</w:t>
                      </w:r>
                      <w:r w:rsidRPr="00000E66">
                        <w:rPr>
                          <w:color w:val="007180"/>
                          <w:szCs w:val="33"/>
                        </w:rPr>
                        <w:t xml:space="preserve"> </w:t>
                      </w: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Default="00D95F56" w:rsidP="008E0A91">
                      <w:pPr>
                        <w:rPr>
                          <w:color w:val="007180"/>
                          <w:sz w:val="34"/>
                          <w:szCs w:val="34"/>
                        </w:rPr>
                      </w:pPr>
                    </w:p>
                    <w:p w:rsidR="00D95F56" w:rsidRPr="00D63B45" w:rsidRDefault="00D95F56" w:rsidP="008E0A91">
                      <w:pPr>
                        <w:rPr>
                          <w:color w:val="007180"/>
                          <w:sz w:val="34"/>
                          <w:szCs w:val="34"/>
                        </w:rPr>
                      </w:pPr>
                    </w:p>
                  </w:txbxContent>
                </v:textbox>
              </v:shape>
            </w:pict>
          </mc:Fallback>
        </mc:AlternateContent>
      </w:r>
    </w:p>
    <w:p w:rsidR="000765E8" w:rsidRPr="00EE40A0" w:rsidRDefault="000765E8" w:rsidP="000765E8">
      <w:pPr>
        <w:pStyle w:val="body"/>
        <w:rPr>
          <w:rFonts w:ascii="Segoe UI" w:hAnsi="Segoe UI" w:cs="Segoe UI"/>
          <w:lang w:val="en-US"/>
        </w:rPr>
      </w:pPr>
    </w:p>
    <w:p w:rsidR="000765E8" w:rsidRPr="00EE40A0" w:rsidRDefault="009F7797" w:rsidP="000765E8">
      <w:pPr>
        <w:pStyle w:val="body"/>
        <w:rPr>
          <w:rFonts w:ascii="Segoe UI" w:hAnsi="Segoe UI" w:cs="Segoe UI"/>
          <w:lang w:val="en-US"/>
        </w:rPr>
      </w:pPr>
      <w:r>
        <w:rPr>
          <w:rFonts w:ascii="Segoe UI" w:hAnsi="Segoe UI" w:cs="Segoe UI"/>
          <w:noProof/>
          <w:lang w:eastAsia="el-GR"/>
        </w:rPr>
        <mc:AlternateContent>
          <mc:Choice Requires="wps">
            <w:drawing>
              <wp:anchor distT="0" distB="0" distL="114300" distR="114300" simplePos="0" relativeHeight="251644416" behindDoc="0" locked="0" layoutInCell="1" allowOverlap="1">
                <wp:simplePos x="0" y="0"/>
                <wp:positionH relativeFrom="column">
                  <wp:posOffset>128270</wp:posOffset>
                </wp:positionH>
                <wp:positionV relativeFrom="paragraph">
                  <wp:posOffset>30006</wp:posOffset>
                </wp:positionV>
                <wp:extent cx="1408430" cy="445135"/>
                <wp:effectExtent l="0" t="0" r="1270" b="0"/>
                <wp:wrapNone/>
                <wp:docPr id="1878171023" name="Rectangle 18781710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445135"/>
                        </a:xfrm>
                        <a:prstGeom prst="rect">
                          <a:avLst/>
                        </a:prstGeom>
                        <a:solidFill>
                          <a:srgbClr val="FFC0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43F84" id="Rectangle 1878171023" o:spid="_x0000_s1026" style="position:absolute;margin-left:10.1pt;margin-top:2.35pt;width:110.9pt;height:35.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" fillcolor="#ffc001" stroked="f" strokeweight="1pt">
                <v:path arrowok="t"/>
              </v:rect>
            </w:pict>
          </mc:Fallback>
        </mc:AlternateContent>
      </w:r>
    </w:p>
    <w:p w:rsidR="000765E8" w:rsidRPr="00EE40A0" w:rsidRDefault="000765E8" w:rsidP="000765E8">
      <w:pPr>
        <w:pStyle w:val="body"/>
        <w:rPr>
          <w:rFonts w:ascii="Segoe UI" w:hAnsi="Segoe UI" w:cs="Segoe UI"/>
          <w:lang w:val="en-US"/>
        </w:rPr>
      </w:pPr>
    </w:p>
    <w:p w:rsidR="000765E8" w:rsidRPr="00B721F7" w:rsidRDefault="000765E8" w:rsidP="000765E8">
      <w:pPr>
        <w:pStyle w:val="body"/>
        <w:rPr>
          <w:rFonts w:ascii="Segoe UI" w:hAnsi="Segoe UI" w:cs="Segoe UI"/>
          <w:sz w:val="2"/>
          <w:szCs w:val="6"/>
          <w:lang w:val="en-US"/>
        </w:rPr>
      </w:pPr>
    </w:p>
    <w:p w:rsidR="0061399D" w:rsidRDefault="009F7797" w:rsidP="00D11BCD">
      <w:pPr>
        <w:pStyle w:val="body"/>
        <w:rPr>
          <w:rFonts w:ascii="Segoe UI" w:hAnsi="Segoe UI" w:cs="Segoe UI"/>
        </w:rPr>
      </w:pPr>
      <w:r>
        <w:rPr>
          <w:rFonts w:ascii="Segoe UI" w:hAnsi="Segoe UI" w:cs="Segoe UI"/>
          <w:noProof/>
          <w:lang w:eastAsia="el-GR"/>
        </w:rPr>
        <mc:AlternateContent>
          <mc:Choice Requires="wps">
            <w:drawing>
              <wp:inline distT="0" distB="0" distL="0" distR="0">
                <wp:extent cx="6471920" cy="7505480"/>
                <wp:effectExtent l="0" t="0" r="5080" b="63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7505480"/>
                        </a:xfrm>
                        <a:prstGeom prst="rect">
                          <a:avLst/>
                        </a:prstGeom>
                        <a:solidFill>
                          <a:srgbClr val="F1F1F1">
                            <a:alpha val="89803"/>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5F56" w:rsidRPr="007C5F0D" w:rsidRDefault="00D95F56" w:rsidP="007C5F0D">
                            <w:pPr>
                              <w:pStyle w:val="ListParagraph"/>
                              <w:numPr>
                                <w:ilvl w:val="0"/>
                                <w:numId w:val="6"/>
                              </w:numPr>
                              <w:spacing w:before="120" w:after="0" w:line="276" w:lineRule="auto"/>
                              <w:jc w:val="left"/>
                              <w:rPr>
                                <w:rFonts w:ascii="Segoe UI" w:hAnsi="Segoe UI" w:cs="Segoe UI"/>
                                <w:b/>
                                <w:sz w:val="16"/>
                                <w:szCs w:val="16"/>
                              </w:rPr>
                            </w:pPr>
                            <w:r w:rsidRPr="007C5F0D">
                              <w:rPr>
                                <w:rFonts w:ascii="Segoe UI" w:hAnsi="Segoe UI" w:cs="Segoe UI"/>
                                <w:b/>
                                <w:sz w:val="16"/>
                                <w:szCs w:val="16"/>
                              </w:rPr>
                              <w:t xml:space="preserve">Η ΕΤΕ </w:t>
                            </w:r>
                            <w:r>
                              <w:rPr>
                                <w:rFonts w:ascii="Segoe UI" w:hAnsi="Segoe UI" w:cs="Segoe UI"/>
                                <w:b/>
                                <w:sz w:val="16"/>
                                <w:szCs w:val="16"/>
                              </w:rPr>
                              <w:t>συνεχίζει να στηρίζει τους πελάτες της εν μέσω της κρίσης της πανδημίας.</w:t>
                            </w:r>
                            <w:r w:rsidRPr="0007577C">
                              <w:rPr>
                                <w:rFonts w:ascii="Segoe UI" w:hAnsi="Segoe UI" w:cs="Segoe UI"/>
                                <w:b/>
                                <w:sz w:val="16"/>
                                <w:szCs w:val="16"/>
                              </w:rPr>
                              <w:t xml:space="preserve"> </w:t>
                            </w:r>
                            <w:r>
                              <w:rPr>
                                <w:rFonts w:ascii="Segoe UI" w:hAnsi="Segoe UI" w:cs="Segoe UI"/>
                                <w:b/>
                                <w:sz w:val="16"/>
                                <w:szCs w:val="16"/>
                              </w:rPr>
                              <w:t xml:space="preserve">Ο </w:t>
                            </w:r>
                            <w:r w:rsidRPr="007C5F0D">
                              <w:rPr>
                                <w:rFonts w:ascii="Segoe UI" w:hAnsi="Segoe UI" w:cs="Segoe UI"/>
                                <w:b/>
                                <w:sz w:val="16"/>
                                <w:szCs w:val="16"/>
                              </w:rPr>
                              <w:t>ψηφιακ</w:t>
                            </w:r>
                            <w:r>
                              <w:rPr>
                                <w:rFonts w:ascii="Segoe UI" w:hAnsi="Segoe UI" w:cs="Segoe UI"/>
                                <w:b/>
                                <w:sz w:val="16"/>
                                <w:szCs w:val="16"/>
                              </w:rPr>
                              <w:t xml:space="preserve">ός </w:t>
                            </w:r>
                            <w:r w:rsidRPr="007C5F0D">
                              <w:rPr>
                                <w:rFonts w:ascii="Segoe UI" w:hAnsi="Segoe UI" w:cs="Segoe UI"/>
                                <w:b/>
                                <w:sz w:val="16"/>
                                <w:szCs w:val="16"/>
                              </w:rPr>
                              <w:t>μετασχηματισμ</w:t>
                            </w:r>
                            <w:r>
                              <w:rPr>
                                <w:rFonts w:ascii="Segoe UI" w:hAnsi="Segoe UI" w:cs="Segoe UI"/>
                                <w:b/>
                                <w:sz w:val="16"/>
                                <w:szCs w:val="16"/>
                              </w:rPr>
                              <w:t xml:space="preserve">ός της Τράπεζας συνεχίζεται με αμείωτους ρυθμούς </w:t>
                            </w:r>
                          </w:p>
                          <w:p w:rsidR="00D95F56" w:rsidRPr="001F6149" w:rsidRDefault="00D95F56" w:rsidP="00A2270B">
                            <w:pPr>
                              <w:numPr>
                                <w:ilvl w:val="1"/>
                                <w:numId w:val="6"/>
                              </w:numPr>
                              <w:spacing w:before="80"/>
                              <w:rPr>
                                <w:rFonts w:ascii="Segoe UI" w:hAnsi="Segoe UI" w:cs="Segoe UI"/>
                                <w:sz w:val="16"/>
                                <w:szCs w:val="16"/>
                              </w:rPr>
                            </w:pPr>
                            <w:r>
                              <w:rPr>
                                <w:rFonts w:ascii="Segoe UI" w:hAnsi="Segoe UI" w:cs="Segoe UI"/>
                                <w:sz w:val="16"/>
                                <w:szCs w:val="16"/>
                              </w:rPr>
                              <w:t>Τα μέτρα διευκόλυνσης</w:t>
                            </w:r>
                            <w:r w:rsidRPr="001F6149">
                              <w:rPr>
                                <w:rFonts w:ascii="Segoe UI" w:hAnsi="Segoe UI" w:cs="Segoe UI"/>
                                <w:sz w:val="16"/>
                                <w:szCs w:val="16"/>
                              </w:rPr>
                              <w:t xml:space="preserve"> </w:t>
                            </w:r>
                            <w:r>
                              <w:rPr>
                                <w:rFonts w:ascii="Segoe UI" w:hAnsi="Segoe UI" w:cs="Segoe UI"/>
                                <w:sz w:val="16"/>
                                <w:szCs w:val="16"/>
                              </w:rPr>
                              <w:t xml:space="preserve">καταβολής οφειλών </w:t>
                            </w:r>
                            <w:r w:rsidRPr="001F6149">
                              <w:rPr>
                                <w:rFonts w:ascii="Segoe UI" w:hAnsi="Segoe UI" w:cs="Segoe UI"/>
                                <w:sz w:val="16"/>
                                <w:szCs w:val="16"/>
                              </w:rPr>
                              <w:t>επιχειρήσε</w:t>
                            </w:r>
                            <w:r>
                              <w:rPr>
                                <w:rFonts w:ascii="Segoe UI" w:hAnsi="Segoe UI" w:cs="Segoe UI"/>
                                <w:sz w:val="16"/>
                                <w:szCs w:val="16"/>
                              </w:rPr>
                              <w:t xml:space="preserve">ων </w:t>
                            </w:r>
                            <w:r w:rsidRPr="001F6149">
                              <w:rPr>
                                <w:rFonts w:ascii="Segoe UI" w:hAnsi="Segoe UI" w:cs="Segoe UI"/>
                                <w:sz w:val="16"/>
                                <w:szCs w:val="16"/>
                              </w:rPr>
                              <w:t xml:space="preserve">και </w:t>
                            </w:r>
                            <w:r>
                              <w:rPr>
                                <w:rFonts w:ascii="Segoe UI" w:hAnsi="Segoe UI" w:cs="Segoe UI"/>
                                <w:sz w:val="16"/>
                                <w:szCs w:val="16"/>
                              </w:rPr>
                              <w:t xml:space="preserve">φυσικών προσώπων </w:t>
                            </w:r>
                            <w:r w:rsidRPr="001F6149">
                              <w:rPr>
                                <w:rFonts w:ascii="Segoe UI" w:hAnsi="Segoe UI" w:cs="Segoe UI"/>
                                <w:sz w:val="16"/>
                                <w:szCs w:val="16"/>
                              </w:rPr>
                              <w:t xml:space="preserve">αντιστοιχούν σε </w:t>
                            </w:r>
                            <w:r>
                              <w:rPr>
                                <w:rFonts w:ascii="Segoe UI" w:hAnsi="Segoe UI" w:cs="Segoe UI"/>
                                <w:sz w:val="16"/>
                                <w:szCs w:val="16"/>
                              </w:rPr>
                              <w:t xml:space="preserve">εγκεκριμένα </w:t>
                            </w:r>
                            <w:r w:rsidRPr="001F6149">
                              <w:rPr>
                                <w:rFonts w:ascii="Segoe UI" w:hAnsi="Segoe UI" w:cs="Segoe UI"/>
                                <w:sz w:val="16"/>
                                <w:szCs w:val="16"/>
                              </w:rPr>
                              <w:t>υπόλοιπα δανείων ύψους περίπου</w:t>
                            </w:r>
                            <w:r w:rsidRPr="00F77879">
                              <w:rPr>
                                <w:rFonts w:ascii="Segoe UI" w:hAnsi="Segoe UI" w:cs="Segoe UI"/>
                                <w:sz w:val="16"/>
                                <w:szCs w:val="16"/>
                              </w:rPr>
                              <w:t xml:space="preserve"> </w:t>
                            </w:r>
                            <w:r>
                              <w:rPr>
                                <w:rFonts w:ascii="Segoe UI" w:hAnsi="Segoe UI" w:cs="Segoe UI"/>
                                <w:sz w:val="16"/>
                                <w:szCs w:val="16"/>
                              </w:rPr>
                              <w:t>€3,6</w:t>
                            </w:r>
                            <w:r w:rsidRPr="001F6149">
                              <w:rPr>
                                <w:rFonts w:ascii="Segoe UI" w:hAnsi="Segoe UI" w:cs="Segoe UI"/>
                                <w:sz w:val="16"/>
                                <w:szCs w:val="16"/>
                              </w:rPr>
                              <w:t xml:space="preserve"> δισ.</w:t>
                            </w:r>
                            <w:r>
                              <w:rPr>
                                <w:rFonts w:ascii="Segoe UI" w:hAnsi="Segoe UI" w:cs="Segoe UI"/>
                                <w:sz w:val="16"/>
                                <w:szCs w:val="16"/>
                              </w:rPr>
                              <w:t xml:space="preserve">, εκ των οποίων €1,2 </w:t>
                            </w:r>
                            <w:r w:rsidRPr="001F6149">
                              <w:rPr>
                                <w:rFonts w:ascii="Segoe UI" w:hAnsi="Segoe UI" w:cs="Segoe UI"/>
                                <w:sz w:val="16"/>
                                <w:szCs w:val="16"/>
                              </w:rPr>
                              <w:t>δισ.</w:t>
                            </w:r>
                            <w:r>
                              <w:rPr>
                                <w:rFonts w:ascii="Segoe UI" w:hAnsi="Segoe UI" w:cs="Segoe UI"/>
                                <w:sz w:val="16"/>
                                <w:szCs w:val="16"/>
                              </w:rPr>
                              <w:t xml:space="preserve"> στεγαστικά δάνεια, €0,2 </w:t>
                            </w:r>
                            <w:r w:rsidRPr="001F6149">
                              <w:rPr>
                                <w:rFonts w:ascii="Segoe UI" w:hAnsi="Segoe UI" w:cs="Segoe UI"/>
                                <w:sz w:val="16"/>
                                <w:szCs w:val="16"/>
                              </w:rPr>
                              <w:t>δισ.</w:t>
                            </w:r>
                            <w:r>
                              <w:rPr>
                                <w:rFonts w:ascii="Segoe UI" w:hAnsi="Segoe UI" w:cs="Segoe UI"/>
                                <w:sz w:val="16"/>
                                <w:szCs w:val="16"/>
                              </w:rPr>
                              <w:t xml:space="preserve"> καταναλωτικά δάνεια </w:t>
                            </w:r>
                            <w:r w:rsidR="00D17ED6">
                              <w:rPr>
                                <w:rFonts w:ascii="Segoe UI" w:hAnsi="Segoe UI" w:cs="Segoe UI"/>
                                <w:sz w:val="16"/>
                                <w:szCs w:val="16"/>
                              </w:rPr>
                              <w:t>και δάνεια προς μικρ</w:t>
                            </w:r>
                            <w:r w:rsidR="00014247">
                              <w:rPr>
                                <w:rFonts w:ascii="Segoe UI" w:hAnsi="Segoe UI" w:cs="Segoe UI"/>
                                <w:sz w:val="16"/>
                                <w:szCs w:val="16"/>
                              </w:rPr>
                              <w:t>ές</w:t>
                            </w:r>
                            <w:r w:rsidR="00D17ED6">
                              <w:rPr>
                                <w:rFonts w:ascii="Segoe UI" w:hAnsi="Segoe UI" w:cs="Segoe UI"/>
                                <w:sz w:val="16"/>
                                <w:szCs w:val="16"/>
                              </w:rPr>
                              <w:t xml:space="preserve"> επιχειρ</w:t>
                            </w:r>
                            <w:r w:rsidR="00843FE6">
                              <w:rPr>
                                <w:rFonts w:ascii="Segoe UI" w:hAnsi="Segoe UI" w:cs="Segoe UI"/>
                                <w:sz w:val="16"/>
                                <w:szCs w:val="16"/>
                              </w:rPr>
                              <w:t xml:space="preserve">ήσεις </w:t>
                            </w:r>
                            <w:r>
                              <w:rPr>
                                <w:rFonts w:ascii="Segoe UI" w:hAnsi="Segoe UI" w:cs="Segoe UI"/>
                                <w:sz w:val="16"/>
                                <w:szCs w:val="16"/>
                              </w:rPr>
                              <w:t xml:space="preserve">και €2,1 </w:t>
                            </w:r>
                            <w:r w:rsidRPr="001F6149">
                              <w:rPr>
                                <w:rFonts w:ascii="Segoe UI" w:hAnsi="Segoe UI" w:cs="Segoe UI"/>
                                <w:sz w:val="16"/>
                                <w:szCs w:val="16"/>
                              </w:rPr>
                              <w:t>δισ.</w:t>
                            </w:r>
                            <w:r>
                              <w:rPr>
                                <w:rFonts w:ascii="Segoe UI" w:hAnsi="Segoe UI" w:cs="Segoe UI"/>
                                <w:sz w:val="16"/>
                                <w:szCs w:val="16"/>
                              </w:rPr>
                              <w:t xml:space="preserve"> επιχειρηματικά δάνεια</w:t>
                            </w:r>
                          </w:p>
                          <w:p w:rsidR="00D95F56" w:rsidRDefault="00D95F56" w:rsidP="005713C1">
                            <w:pPr>
                              <w:numPr>
                                <w:ilvl w:val="1"/>
                                <w:numId w:val="6"/>
                              </w:numPr>
                              <w:spacing w:before="80"/>
                              <w:rPr>
                                <w:rFonts w:ascii="Segoe UI" w:hAnsi="Segoe UI" w:cs="Segoe UI"/>
                                <w:sz w:val="16"/>
                                <w:szCs w:val="16"/>
                              </w:rPr>
                            </w:pPr>
                            <w:r>
                              <w:rPr>
                                <w:rFonts w:ascii="Segoe UI" w:hAnsi="Segoe UI" w:cs="Segoe UI"/>
                                <w:sz w:val="16"/>
                                <w:szCs w:val="16"/>
                              </w:rPr>
                              <w:t>Ενεργή σ</w:t>
                            </w:r>
                            <w:r w:rsidRPr="00B03621">
                              <w:rPr>
                                <w:rFonts w:ascii="Segoe UI" w:hAnsi="Segoe UI" w:cs="Segoe UI"/>
                                <w:sz w:val="16"/>
                                <w:szCs w:val="16"/>
                              </w:rPr>
                              <w:t xml:space="preserve">υμμετοχή σε όλα τα </w:t>
                            </w:r>
                            <w:r>
                              <w:rPr>
                                <w:rFonts w:ascii="Segoe UI" w:hAnsi="Segoe UI" w:cs="Segoe UI"/>
                                <w:sz w:val="16"/>
                                <w:szCs w:val="16"/>
                              </w:rPr>
                              <w:t xml:space="preserve">κυβερνητικά </w:t>
                            </w:r>
                            <w:r w:rsidRPr="00B03621">
                              <w:rPr>
                                <w:rFonts w:ascii="Segoe UI" w:hAnsi="Segoe UI" w:cs="Segoe UI"/>
                                <w:sz w:val="16"/>
                                <w:szCs w:val="16"/>
                              </w:rPr>
                              <w:t>προγράμματα στήριξης</w:t>
                            </w:r>
                            <w:r>
                              <w:rPr>
                                <w:rFonts w:ascii="Segoe UI" w:hAnsi="Segoe UI" w:cs="Segoe UI"/>
                                <w:sz w:val="16"/>
                                <w:szCs w:val="16"/>
                              </w:rPr>
                              <w:t xml:space="preserve"> για την πανδημία του κορωνοϊού</w:t>
                            </w:r>
                            <w:r w:rsidRPr="00B03621">
                              <w:rPr>
                                <w:rFonts w:ascii="Segoe UI" w:hAnsi="Segoe UI" w:cs="Segoe UI"/>
                                <w:sz w:val="16"/>
                                <w:szCs w:val="16"/>
                              </w:rPr>
                              <w:t xml:space="preserve">, συμπεριλαμβανομένου του </w:t>
                            </w:r>
                            <w:r>
                              <w:rPr>
                                <w:rFonts w:ascii="Segoe UI" w:hAnsi="Segoe UI" w:cs="Segoe UI"/>
                                <w:sz w:val="16"/>
                                <w:szCs w:val="16"/>
                              </w:rPr>
                              <w:t>ΤΕΠΙΧ-ΙΙ</w:t>
                            </w:r>
                            <w:r w:rsidRPr="005713C1">
                              <w:rPr>
                                <w:rFonts w:ascii="Segoe UI" w:hAnsi="Segoe UI" w:cs="Segoe UI"/>
                                <w:sz w:val="16"/>
                                <w:szCs w:val="16"/>
                              </w:rPr>
                              <w:t xml:space="preserve"> </w:t>
                            </w:r>
                            <w:r>
                              <w:rPr>
                                <w:rFonts w:ascii="Segoe UI" w:hAnsi="Segoe UI" w:cs="Segoe UI"/>
                                <w:sz w:val="16"/>
                                <w:szCs w:val="16"/>
                              </w:rPr>
                              <w:t xml:space="preserve">(έγκριση </w:t>
                            </w:r>
                            <w:r w:rsidRPr="000F5E8A">
                              <w:rPr>
                                <w:rFonts w:ascii="Segoe UI" w:hAnsi="Segoe UI" w:cs="Segoe UI"/>
                                <w:sz w:val="16"/>
                                <w:szCs w:val="16"/>
                              </w:rPr>
                              <w:t>5</w:t>
                            </w:r>
                            <w:r>
                              <w:rPr>
                                <w:rFonts w:ascii="Segoe UI" w:hAnsi="Segoe UI" w:cs="Segoe UI"/>
                                <w:sz w:val="16"/>
                                <w:szCs w:val="16"/>
                              </w:rPr>
                              <w:t>,</w:t>
                            </w:r>
                            <w:r w:rsidRPr="000F5E8A">
                              <w:rPr>
                                <w:rFonts w:ascii="Segoe UI" w:hAnsi="Segoe UI" w:cs="Segoe UI"/>
                                <w:sz w:val="16"/>
                                <w:szCs w:val="16"/>
                              </w:rPr>
                              <w:t>1</w:t>
                            </w:r>
                            <w:r>
                              <w:rPr>
                                <w:rFonts w:ascii="Segoe UI" w:hAnsi="Segoe UI" w:cs="Segoe UI"/>
                                <w:sz w:val="16"/>
                                <w:szCs w:val="16"/>
                              </w:rPr>
                              <w:t xml:space="preserve"> </w:t>
                            </w:r>
                            <w:r w:rsidRPr="00CD253C">
                              <w:rPr>
                                <w:rFonts w:ascii="Segoe UI" w:hAnsi="Segoe UI" w:cs="Segoe UI"/>
                                <w:sz w:val="16"/>
                                <w:szCs w:val="16"/>
                              </w:rPr>
                              <w:t xml:space="preserve">χιλ. </w:t>
                            </w:r>
                            <w:r>
                              <w:rPr>
                                <w:rFonts w:ascii="Segoe UI" w:hAnsi="Segoe UI" w:cs="Segoe UI"/>
                                <w:sz w:val="16"/>
                                <w:szCs w:val="16"/>
                              </w:rPr>
                              <w:t>αιτήσεων και περίπου €0,</w:t>
                            </w:r>
                            <w:r w:rsidR="00EA2F85">
                              <w:rPr>
                                <w:rFonts w:ascii="Segoe UI" w:hAnsi="Segoe UI" w:cs="Segoe UI"/>
                                <w:sz w:val="16"/>
                                <w:szCs w:val="16"/>
                              </w:rPr>
                              <w:t>4</w:t>
                            </w:r>
                            <w:r>
                              <w:rPr>
                                <w:rFonts w:ascii="Segoe UI" w:hAnsi="Segoe UI" w:cs="Segoe UI"/>
                                <w:sz w:val="16"/>
                                <w:szCs w:val="16"/>
                              </w:rPr>
                              <w:t xml:space="preserve"> δισ. δανείων), των δανείων με εγγύηση Δημοσίου </w:t>
                            </w:r>
                            <w:r w:rsidRPr="002D44B8">
                              <w:rPr>
                                <w:rFonts w:ascii="Segoe UI" w:hAnsi="Segoe UI" w:cs="Segoe UI"/>
                                <w:sz w:val="16"/>
                                <w:szCs w:val="16"/>
                              </w:rPr>
                              <w:t>για κεφάλαι</w:t>
                            </w:r>
                            <w:r>
                              <w:rPr>
                                <w:rFonts w:ascii="Segoe UI" w:hAnsi="Segoe UI" w:cs="Segoe UI"/>
                                <w:sz w:val="16"/>
                                <w:szCs w:val="16"/>
                              </w:rPr>
                              <w:t>ο</w:t>
                            </w:r>
                            <w:r w:rsidRPr="002D44B8">
                              <w:rPr>
                                <w:rFonts w:ascii="Segoe UI" w:hAnsi="Segoe UI" w:cs="Segoe UI"/>
                                <w:sz w:val="16"/>
                                <w:szCs w:val="16"/>
                              </w:rPr>
                              <w:t xml:space="preserve"> κίνησης επιχειρήσε</w:t>
                            </w:r>
                            <w:r>
                              <w:rPr>
                                <w:rFonts w:ascii="Segoe UI" w:hAnsi="Segoe UI" w:cs="Segoe UI"/>
                                <w:sz w:val="16"/>
                                <w:szCs w:val="16"/>
                              </w:rPr>
                              <w:t xml:space="preserve">ων </w:t>
                            </w:r>
                            <w:r w:rsidRPr="0035570A">
                              <w:rPr>
                                <w:rFonts w:ascii="Segoe UI" w:hAnsi="Segoe UI" w:cs="Segoe UI"/>
                                <w:sz w:val="16"/>
                                <w:szCs w:val="16"/>
                              </w:rPr>
                              <w:t xml:space="preserve">(εγκεκριμένα δάνεια </w:t>
                            </w:r>
                            <w:r>
                              <w:rPr>
                                <w:rFonts w:ascii="Segoe UI" w:hAnsi="Segoe UI" w:cs="Segoe UI"/>
                                <w:sz w:val="16"/>
                                <w:szCs w:val="16"/>
                              </w:rPr>
                              <w:t>πλέον των</w:t>
                            </w:r>
                            <w:r w:rsidRPr="0035570A">
                              <w:rPr>
                                <w:rFonts w:ascii="Segoe UI" w:hAnsi="Segoe UI" w:cs="Segoe UI"/>
                                <w:sz w:val="16"/>
                                <w:szCs w:val="16"/>
                              </w:rPr>
                              <w:t xml:space="preserve"> €</w:t>
                            </w:r>
                            <w:r w:rsidRPr="004C7538">
                              <w:rPr>
                                <w:rFonts w:ascii="Segoe UI" w:hAnsi="Segoe UI" w:cs="Segoe UI"/>
                                <w:sz w:val="16"/>
                                <w:szCs w:val="16"/>
                              </w:rPr>
                              <w:t>800</w:t>
                            </w:r>
                            <w:r w:rsidRPr="0035570A">
                              <w:rPr>
                                <w:rFonts w:ascii="Segoe UI" w:hAnsi="Segoe UI" w:cs="Segoe UI"/>
                                <w:sz w:val="16"/>
                                <w:szCs w:val="16"/>
                              </w:rPr>
                              <w:t xml:space="preserve"> εκατ.</w:t>
                            </w:r>
                            <w:r>
                              <w:rPr>
                                <w:rFonts w:ascii="Segoe UI" w:hAnsi="Segoe UI" w:cs="Segoe UI"/>
                                <w:sz w:val="16"/>
                                <w:szCs w:val="16"/>
                              </w:rPr>
                              <w:t xml:space="preserve">), καθώς και </w:t>
                            </w:r>
                            <w:r w:rsidRPr="007301C3">
                              <w:rPr>
                                <w:rFonts w:ascii="Segoe UI" w:hAnsi="Segoe UI" w:cs="Segoe UI"/>
                                <w:sz w:val="16"/>
                                <w:szCs w:val="16"/>
                              </w:rPr>
                              <w:t xml:space="preserve">των δανείων </w:t>
                            </w:r>
                            <w:r>
                              <w:rPr>
                                <w:rFonts w:ascii="Segoe UI" w:hAnsi="Segoe UI" w:cs="Segoe UI"/>
                                <w:sz w:val="16"/>
                                <w:szCs w:val="16"/>
                              </w:rPr>
                              <w:t xml:space="preserve">σε επιχειρήσεις με επιδότηση επιτοκίου </w:t>
                            </w:r>
                            <w:r w:rsidRPr="00DF19A6">
                              <w:rPr>
                                <w:rFonts w:ascii="Segoe UI" w:hAnsi="Segoe UI" w:cs="Segoe UI"/>
                                <w:sz w:val="16"/>
                                <w:szCs w:val="16"/>
                              </w:rPr>
                              <w:t xml:space="preserve">(περίπου </w:t>
                            </w:r>
                            <w:r w:rsidR="00EA2F85">
                              <w:rPr>
                                <w:rFonts w:ascii="Segoe UI" w:hAnsi="Segoe UI" w:cs="Segoe UI"/>
                                <w:sz w:val="16"/>
                                <w:szCs w:val="16"/>
                              </w:rPr>
                              <w:t>10,6</w:t>
                            </w:r>
                            <w:r w:rsidRPr="00DF19A6">
                              <w:rPr>
                                <w:rFonts w:ascii="Segoe UI" w:hAnsi="Segoe UI" w:cs="Segoe UI"/>
                                <w:sz w:val="16"/>
                                <w:szCs w:val="16"/>
                              </w:rPr>
                              <w:t xml:space="preserve"> χιλ. </w:t>
                            </w:r>
                            <w:r w:rsidR="00EA2F85">
                              <w:rPr>
                                <w:rFonts w:ascii="Segoe UI" w:hAnsi="Segoe UI" w:cs="Segoe UI"/>
                                <w:sz w:val="16"/>
                                <w:szCs w:val="16"/>
                              </w:rPr>
                              <w:t xml:space="preserve">λογαριασμοί </w:t>
                            </w:r>
                            <w:r>
                              <w:rPr>
                                <w:rFonts w:ascii="Segoe UI" w:hAnsi="Segoe UI" w:cs="Segoe UI"/>
                                <w:sz w:val="16"/>
                                <w:szCs w:val="16"/>
                              </w:rPr>
                              <w:t xml:space="preserve">κυρίως μικρών και μικρομεσαίων επιχειρήσεων που αντιστοιχούν σε </w:t>
                            </w:r>
                            <w:r w:rsidR="00EA2F85">
                              <w:rPr>
                                <w:rFonts w:ascii="Segoe UI" w:hAnsi="Segoe UI" w:cs="Segoe UI"/>
                                <w:sz w:val="16"/>
                                <w:szCs w:val="16"/>
                              </w:rPr>
                              <w:t xml:space="preserve">εγκεκριμένα </w:t>
                            </w:r>
                            <w:r w:rsidRPr="005713C1">
                              <w:rPr>
                                <w:rFonts w:ascii="Segoe UI" w:hAnsi="Segoe UI" w:cs="Segoe UI"/>
                                <w:sz w:val="16"/>
                                <w:szCs w:val="16"/>
                              </w:rPr>
                              <w:t>υπόλοιπα δανείων ύψους €</w:t>
                            </w:r>
                            <w:r>
                              <w:rPr>
                                <w:rFonts w:ascii="Segoe UI" w:hAnsi="Segoe UI" w:cs="Segoe UI"/>
                                <w:sz w:val="16"/>
                                <w:szCs w:val="16"/>
                              </w:rPr>
                              <w:t>2</w:t>
                            </w:r>
                            <w:r w:rsidRPr="005713C1">
                              <w:rPr>
                                <w:rFonts w:ascii="Segoe UI" w:hAnsi="Segoe UI" w:cs="Segoe UI"/>
                                <w:sz w:val="16"/>
                                <w:szCs w:val="16"/>
                              </w:rPr>
                              <w:t>,</w:t>
                            </w:r>
                            <w:r w:rsidRPr="009B4F0E">
                              <w:rPr>
                                <w:rFonts w:ascii="Segoe UI" w:hAnsi="Segoe UI" w:cs="Segoe UI"/>
                                <w:sz w:val="16"/>
                                <w:szCs w:val="16"/>
                              </w:rPr>
                              <w:t>3</w:t>
                            </w:r>
                            <w:r w:rsidRPr="005713C1">
                              <w:rPr>
                                <w:rFonts w:ascii="Segoe UI" w:hAnsi="Segoe UI" w:cs="Segoe UI"/>
                                <w:sz w:val="16"/>
                                <w:szCs w:val="16"/>
                              </w:rPr>
                              <w:t xml:space="preserve"> δισ.</w:t>
                            </w:r>
                            <w:r w:rsidRPr="00DF19A6">
                              <w:rPr>
                                <w:rFonts w:ascii="Segoe UI" w:hAnsi="Segoe UI" w:cs="Segoe UI"/>
                                <w:sz w:val="16"/>
                                <w:szCs w:val="16"/>
                              </w:rPr>
                              <w:t>)</w:t>
                            </w:r>
                          </w:p>
                          <w:p w:rsidR="00D95F56" w:rsidRDefault="00D95F56" w:rsidP="00E25180">
                            <w:pPr>
                              <w:numPr>
                                <w:ilvl w:val="1"/>
                                <w:numId w:val="6"/>
                              </w:numPr>
                              <w:spacing w:before="80"/>
                              <w:rPr>
                                <w:rFonts w:ascii="Segoe UI" w:hAnsi="Segoe UI" w:cs="Segoe UI"/>
                                <w:sz w:val="16"/>
                                <w:szCs w:val="16"/>
                              </w:rPr>
                            </w:pPr>
                            <w:r>
                              <w:rPr>
                                <w:rFonts w:ascii="Segoe UI" w:hAnsi="Segoe UI" w:cs="Segoe UI"/>
                                <w:sz w:val="16"/>
                                <w:szCs w:val="16"/>
                              </w:rPr>
                              <w:t xml:space="preserve">Δυνατότητα υπαγωγής στο κρατικό πρόγραμμα </w:t>
                            </w:r>
                            <w:r w:rsidRPr="00544440">
                              <w:rPr>
                                <w:rFonts w:ascii="Segoe UI" w:hAnsi="Segoe UI" w:cs="Segoe UI"/>
                                <w:sz w:val="16"/>
                                <w:szCs w:val="16"/>
                              </w:rPr>
                              <w:t>«</w:t>
                            </w:r>
                            <w:r>
                              <w:rPr>
                                <w:rFonts w:ascii="Segoe UI" w:hAnsi="Segoe UI" w:cs="Segoe UI"/>
                                <w:sz w:val="16"/>
                                <w:szCs w:val="16"/>
                              </w:rPr>
                              <w:t>Γέφυρα</w:t>
                            </w:r>
                            <w:r w:rsidRPr="00544440">
                              <w:rPr>
                                <w:rFonts w:ascii="Segoe UI" w:hAnsi="Segoe UI" w:cs="Segoe UI"/>
                                <w:sz w:val="16"/>
                                <w:szCs w:val="16"/>
                              </w:rPr>
                              <w:t xml:space="preserve">» </w:t>
                            </w:r>
                            <w:r>
                              <w:rPr>
                                <w:rFonts w:ascii="Segoe UI" w:hAnsi="Segoe UI" w:cs="Segoe UI"/>
                                <w:sz w:val="16"/>
                                <w:szCs w:val="16"/>
                              </w:rPr>
                              <w:t>επιδότησης δόσεων στεγαστικών</w:t>
                            </w:r>
                            <w:r w:rsidRPr="00544440">
                              <w:rPr>
                                <w:rFonts w:ascii="Segoe UI" w:hAnsi="Segoe UI" w:cs="Segoe UI"/>
                                <w:sz w:val="16"/>
                                <w:szCs w:val="16"/>
                              </w:rPr>
                              <w:t xml:space="preserve"> δανείων πρ</w:t>
                            </w:r>
                            <w:r>
                              <w:rPr>
                                <w:rFonts w:ascii="Segoe UI" w:hAnsi="Segoe UI" w:cs="Segoe UI"/>
                                <w:sz w:val="16"/>
                                <w:szCs w:val="16"/>
                              </w:rPr>
                              <w:t xml:space="preserve">ώτης </w:t>
                            </w:r>
                            <w:r w:rsidRPr="00544440">
                              <w:rPr>
                                <w:rFonts w:ascii="Segoe UI" w:hAnsi="Segoe UI" w:cs="Segoe UI"/>
                                <w:sz w:val="16"/>
                                <w:szCs w:val="16"/>
                              </w:rPr>
                              <w:t xml:space="preserve">κατοικίας </w:t>
                            </w:r>
                            <w:r>
                              <w:rPr>
                                <w:rFonts w:ascii="Segoe UI" w:hAnsi="Segoe UI" w:cs="Segoe UI"/>
                                <w:sz w:val="16"/>
                                <w:szCs w:val="16"/>
                              </w:rPr>
                              <w:t xml:space="preserve">σε πελάτες </w:t>
                            </w:r>
                            <w:r w:rsidRPr="00544440">
                              <w:rPr>
                                <w:rFonts w:ascii="Segoe UI" w:hAnsi="Segoe UI" w:cs="Segoe UI"/>
                                <w:sz w:val="16"/>
                                <w:szCs w:val="16"/>
                              </w:rPr>
                              <w:t xml:space="preserve">που επλήγησαν από τον </w:t>
                            </w:r>
                            <w:r>
                              <w:rPr>
                                <w:rFonts w:ascii="Segoe UI" w:hAnsi="Segoe UI" w:cs="Segoe UI"/>
                                <w:sz w:val="16"/>
                                <w:szCs w:val="16"/>
                              </w:rPr>
                              <w:t xml:space="preserve">κορωνοϊό. </w:t>
                            </w:r>
                            <w:r w:rsidRPr="00544440">
                              <w:rPr>
                                <w:rFonts w:ascii="Segoe UI" w:hAnsi="Segoe UI" w:cs="Segoe UI"/>
                                <w:sz w:val="16"/>
                                <w:szCs w:val="16"/>
                              </w:rPr>
                              <w:t xml:space="preserve">Οι </w:t>
                            </w:r>
                            <w:r>
                              <w:rPr>
                                <w:rFonts w:ascii="Segoe UI" w:hAnsi="Segoe UI" w:cs="Segoe UI"/>
                                <w:sz w:val="16"/>
                                <w:szCs w:val="16"/>
                              </w:rPr>
                              <w:t xml:space="preserve">δανειολήπτες </w:t>
                            </w:r>
                            <w:r w:rsidRPr="00544440">
                              <w:rPr>
                                <w:rFonts w:ascii="Segoe UI" w:hAnsi="Segoe UI" w:cs="Segoe UI"/>
                                <w:sz w:val="16"/>
                                <w:szCs w:val="16"/>
                              </w:rPr>
                              <w:t>της Εθνικής Τράπεζας</w:t>
                            </w:r>
                            <w:r>
                              <w:rPr>
                                <w:rFonts w:ascii="Segoe UI" w:hAnsi="Segoe UI" w:cs="Segoe UI"/>
                                <w:sz w:val="16"/>
                                <w:szCs w:val="16"/>
                              </w:rPr>
                              <w:t xml:space="preserve"> που μπορούν να </w:t>
                            </w:r>
                            <w:r w:rsidRPr="00544440">
                              <w:rPr>
                                <w:rFonts w:ascii="Segoe UI" w:hAnsi="Segoe UI" w:cs="Segoe UI"/>
                                <w:sz w:val="16"/>
                                <w:szCs w:val="16"/>
                              </w:rPr>
                              <w:t>λάβουν τ</w:t>
                            </w:r>
                            <w:r>
                              <w:rPr>
                                <w:rFonts w:ascii="Segoe UI" w:hAnsi="Segoe UI" w:cs="Segoe UI"/>
                                <w:sz w:val="16"/>
                                <w:szCs w:val="16"/>
                              </w:rPr>
                              <w:t>ην</w:t>
                            </w:r>
                            <w:r w:rsidRPr="00544440">
                              <w:rPr>
                                <w:rFonts w:ascii="Segoe UI" w:hAnsi="Segoe UI" w:cs="Segoe UI"/>
                                <w:sz w:val="16"/>
                                <w:szCs w:val="16"/>
                              </w:rPr>
                              <w:t xml:space="preserve"> επιδότηση </w:t>
                            </w:r>
                            <w:r w:rsidRPr="00E25180">
                              <w:rPr>
                                <w:rFonts w:ascii="Segoe UI" w:hAnsi="Segoe UI" w:cs="Segoe UI"/>
                                <w:sz w:val="16"/>
                                <w:szCs w:val="16"/>
                              </w:rPr>
                              <w:t xml:space="preserve">αντιστοιχούν σε υπόλοιπα δανείων ύψους περίπου </w:t>
                            </w:r>
                            <w:r>
                              <w:rPr>
                                <w:rFonts w:ascii="Segoe UI" w:hAnsi="Segoe UI" w:cs="Segoe UI"/>
                                <w:sz w:val="16"/>
                                <w:szCs w:val="16"/>
                              </w:rPr>
                              <w:t>€</w:t>
                            </w:r>
                            <w:r w:rsidRPr="00544440">
                              <w:rPr>
                                <w:rFonts w:ascii="Segoe UI" w:hAnsi="Segoe UI" w:cs="Segoe UI"/>
                                <w:sz w:val="16"/>
                                <w:szCs w:val="16"/>
                              </w:rPr>
                              <w:t>1,</w:t>
                            </w:r>
                            <w:r w:rsidR="008E1203">
                              <w:rPr>
                                <w:rFonts w:ascii="Segoe UI" w:hAnsi="Segoe UI" w:cs="Segoe UI"/>
                                <w:sz w:val="16"/>
                                <w:szCs w:val="16"/>
                              </w:rPr>
                              <w:t>2</w:t>
                            </w:r>
                            <w:r>
                              <w:rPr>
                                <w:rFonts w:ascii="Segoe UI" w:hAnsi="Segoe UI" w:cs="Segoe UI"/>
                                <w:sz w:val="16"/>
                                <w:szCs w:val="16"/>
                              </w:rPr>
                              <w:t xml:space="preserve"> δισ.</w:t>
                            </w:r>
                            <w:r w:rsidRPr="008C6D28">
                              <w:rPr>
                                <w:rFonts w:ascii="Segoe UI" w:hAnsi="Segoe UI" w:cs="Segoe UI"/>
                                <w:sz w:val="16"/>
                                <w:szCs w:val="16"/>
                              </w:rPr>
                              <w:t xml:space="preserve"> </w:t>
                            </w:r>
                            <w:r>
                              <w:rPr>
                                <w:rFonts w:ascii="Segoe UI" w:hAnsi="Segoe UI" w:cs="Segoe UI"/>
                                <w:sz w:val="16"/>
                                <w:szCs w:val="16"/>
                              </w:rPr>
                              <w:t>μέχρι σήμερα,</w:t>
                            </w:r>
                            <w:r w:rsidRPr="004E447D">
                              <w:rPr>
                                <w:rFonts w:ascii="Segoe UI" w:hAnsi="Segoe UI" w:cs="Segoe UI"/>
                                <w:sz w:val="16"/>
                                <w:szCs w:val="16"/>
                              </w:rPr>
                              <w:t xml:space="preserve"> </w:t>
                            </w:r>
                            <w:r>
                              <w:rPr>
                                <w:rFonts w:ascii="Segoe UI" w:hAnsi="Segoe UI" w:cs="Segoe UI"/>
                                <w:sz w:val="16"/>
                                <w:szCs w:val="16"/>
                              </w:rPr>
                              <w:t xml:space="preserve">εκ των οποίων περίπου το </w:t>
                            </w:r>
                            <w:r w:rsidRPr="00B241B1">
                              <w:rPr>
                                <w:rFonts w:ascii="Segoe UI" w:hAnsi="Segoe UI" w:cs="Segoe UI"/>
                                <w:sz w:val="16"/>
                                <w:szCs w:val="16"/>
                              </w:rPr>
                              <w:t xml:space="preserve">40% </w:t>
                            </w:r>
                            <w:r>
                              <w:rPr>
                                <w:rFonts w:ascii="Segoe UI" w:hAnsi="Segoe UI" w:cs="Segoe UI"/>
                                <w:sz w:val="16"/>
                                <w:szCs w:val="16"/>
                              </w:rPr>
                              <w:t>έχει εντάξει σε ρύθμιση τις οφειλές του</w:t>
                            </w:r>
                          </w:p>
                          <w:p w:rsidR="00D95F56" w:rsidRDefault="00D95F56" w:rsidP="00BC1604">
                            <w:pPr>
                              <w:numPr>
                                <w:ilvl w:val="1"/>
                                <w:numId w:val="6"/>
                              </w:numPr>
                              <w:spacing w:before="80"/>
                              <w:rPr>
                                <w:rFonts w:ascii="Segoe UI" w:hAnsi="Segoe UI" w:cs="Segoe UI"/>
                                <w:sz w:val="16"/>
                                <w:szCs w:val="16"/>
                              </w:rPr>
                            </w:pPr>
                            <w:r w:rsidRPr="00BC1604">
                              <w:rPr>
                                <w:rFonts w:ascii="Segoe UI" w:hAnsi="Segoe UI" w:cs="Segoe UI"/>
                                <w:sz w:val="16"/>
                                <w:szCs w:val="16"/>
                              </w:rPr>
                              <w:t xml:space="preserve">Μετά </w:t>
                            </w:r>
                            <w:r>
                              <w:rPr>
                                <w:rFonts w:ascii="Segoe UI" w:hAnsi="Segoe UI" w:cs="Segoe UI"/>
                                <w:sz w:val="16"/>
                                <w:szCs w:val="16"/>
                              </w:rPr>
                              <w:t xml:space="preserve">τη λήξη των μέτρων διευκόλυνσης </w:t>
                            </w:r>
                            <w:r w:rsidRPr="00277D80">
                              <w:rPr>
                                <w:rFonts w:ascii="Segoe UI" w:hAnsi="Segoe UI" w:cs="Segoe UI"/>
                                <w:sz w:val="16"/>
                                <w:szCs w:val="16"/>
                              </w:rPr>
                              <w:t>καταβολής οφειλών</w:t>
                            </w:r>
                            <w:r w:rsidRPr="00BC1604">
                              <w:rPr>
                                <w:rFonts w:ascii="Segoe UI" w:hAnsi="Segoe UI" w:cs="Segoe UI"/>
                                <w:sz w:val="16"/>
                                <w:szCs w:val="16"/>
                              </w:rPr>
                              <w:t xml:space="preserve">, </w:t>
                            </w:r>
                            <w:r w:rsidR="003D315E">
                              <w:rPr>
                                <w:rFonts w:ascii="Segoe UI" w:hAnsi="Segoe UI" w:cs="Segoe UI"/>
                                <w:sz w:val="16"/>
                                <w:szCs w:val="16"/>
                              </w:rPr>
                              <w:t>κατάλληλ</w:t>
                            </w:r>
                            <w:r w:rsidR="004F3D2E">
                              <w:rPr>
                                <w:rFonts w:ascii="Segoe UI" w:hAnsi="Segoe UI" w:cs="Segoe UI"/>
                                <w:sz w:val="16"/>
                                <w:szCs w:val="16"/>
                              </w:rPr>
                              <w:t xml:space="preserve">α προϊόντα </w:t>
                            </w:r>
                            <w:r w:rsidR="0094166A">
                              <w:rPr>
                                <w:rFonts w:ascii="Segoe UI" w:hAnsi="Segoe UI" w:cs="Segoe UI"/>
                                <w:sz w:val="16"/>
                                <w:szCs w:val="16"/>
                              </w:rPr>
                              <w:t xml:space="preserve">θα </w:t>
                            </w:r>
                            <w:r w:rsidR="004F3D2E">
                              <w:rPr>
                                <w:rFonts w:ascii="Segoe UI" w:hAnsi="Segoe UI" w:cs="Segoe UI"/>
                                <w:sz w:val="16"/>
                                <w:szCs w:val="16"/>
                              </w:rPr>
                              <w:t>προσφερθούν</w:t>
                            </w:r>
                            <w:r w:rsidR="0094166A">
                              <w:rPr>
                                <w:rFonts w:ascii="Segoe UI" w:hAnsi="Segoe UI" w:cs="Segoe UI"/>
                                <w:sz w:val="16"/>
                                <w:szCs w:val="16"/>
                              </w:rPr>
                              <w:t xml:space="preserve"> σ</w:t>
                            </w:r>
                            <w:r w:rsidRPr="00BC1604">
                              <w:rPr>
                                <w:rFonts w:ascii="Segoe UI" w:hAnsi="Segoe UI" w:cs="Segoe UI"/>
                                <w:sz w:val="16"/>
                                <w:szCs w:val="16"/>
                              </w:rPr>
                              <w:t xml:space="preserve">τους δανειολήπτες που </w:t>
                            </w:r>
                            <w:r>
                              <w:rPr>
                                <w:rFonts w:ascii="Segoe UI" w:hAnsi="Segoe UI" w:cs="Segoe UI"/>
                                <w:sz w:val="16"/>
                                <w:szCs w:val="16"/>
                              </w:rPr>
                              <w:t>ενδέχεται</w:t>
                            </w:r>
                            <w:r w:rsidRPr="00BC1604">
                              <w:rPr>
                                <w:rFonts w:ascii="Segoe UI" w:hAnsi="Segoe UI" w:cs="Segoe UI"/>
                                <w:sz w:val="16"/>
                                <w:szCs w:val="16"/>
                              </w:rPr>
                              <w:t xml:space="preserve"> να αντιμετωπίσουν </w:t>
                            </w:r>
                            <w:r>
                              <w:rPr>
                                <w:rFonts w:ascii="Segoe UI" w:hAnsi="Segoe UI" w:cs="Segoe UI"/>
                                <w:sz w:val="16"/>
                                <w:szCs w:val="16"/>
                              </w:rPr>
                              <w:t>προσωρινές δυσκολίες λόγω της κρίσης του κορωνοϊού</w:t>
                            </w:r>
                          </w:p>
                          <w:p w:rsidR="00D95F56" w:rsidRDefault="00D95F56" w:rsidP="00DB41A0">
                            <w:pPr>
                              <w:numPr>
                                <w:ilvl w:val="1"/>
                                <w:numId w:val="6"/>
                              </w:numPr>
                              <w:spacing w:before="80"/>
                              <w:rPr>
                                <w:rFonts w:ascii="Segoe UI" w:hAnsi="Segoe UI" w:cs="Segoe UI"/>
                                <w:sz w:val="16"/>
                                <w:szCs w:val="16"/>
                              </w:rPr>
                            </w:pPr>
                            <w:r w:rsidRPr="00600A1F">
                              <w:rPr>
                                <w:rFonts w:ascii="Segoe UI" w:hAnsi="Segoe UI" w:cs="Segoe UI"/>
                                <w:sz w:val="16"/>
                                <w:szCs w:val="16"/>
                              </w:rPr>
                              <w:t xml:space="preserve">Ο αριθμός των συναλλαγών </w:t>
                            </w:r>
                            <w:r>
                              <w:rPr>
                                <w:rFonts w:ascii="Segoe UI" w:hAnsi="Segoe UI" w:cs="Segoe UI"/>
                                <w:sz w:val="16"/>
                                <w:szCs w:val="16"/>
                              </w:rPr>
                              <w:t xml:space="preserve">στα </w:t>
                            </w:r>
                            <w:r w:rsidRPr="00600A1F">
                              <w:rPr>
                                <w:rFonts w:ascii="Segoe UI" w:hAnsi="Segoe UI" w:cs="Segoe UI"/>
                                <w:sz w:val="16"/>
                                <w:szCs w:val="16"/>
                              </w:rPr>
                              <w:t>καταστ</w:t>
                            </w:r>
                            <w:r>
                              <w:rPr>
                                <w:rFonts w:ascii="Segoe UI" w:hAnsi="Segoe UI" w:cs="Segoe UI"/>
                                <w:sz w:val="16"/>
                                <w:szCs w:val="16"/>
                              </w:rPr>
                              <w:t xml:space="preserve">ήματα </w:t>
                            </w:r>
                            <w:r w:rsidRPr="00600A1F">
                              <w:rPr>
                                <w:rFonts w:ascii="Segoe UI" w:hAnsi="Segoe UI" w:cs="Segoe UI"/>
                                <w:sz w:val="16"/>
                                <w:szCs w:val="16"/>
                              </w:rPr>
                              <w:t xml:space="preserve">μειώθηκε </w:t>
                            </w:r>
                            <w:r>
                              <w:rPr>
                                <w:rFonts w:ascii="Segoe UI" w:hAnsi="Segoe UI" w:cs="Segoe UI"/>
                                <w:sz w:val="16"/>
                                <w:szCs w:val="16"/>
                              </w:rPr>
                              <w:t xml:space="preserve">πλέον του </w:t>
                            </w:r>
                            <w:r w:rsidRPr="00600A1F">
                              <w:rPr>
                                <w:rFonts w:ascii="Segoe UI" w:hAnsi="Segoe UI" w:cs="Segoe UI"/>
                                <w:sz w:val="16"/>
                                <w:szCs w:val="16"/>
                              </w:rPr>
                              <w:t xml:space="preserve">60% τον Οκτώβριο σε σχέση με τα επίπεδα του Φεβρουαρίου, </w:t>
                            </w:r>
                            <w:r>
                              <w:rPr>
                                <w:rFonts w:ascii="Segoe UI" w:hAnsi="Segoe UI" w:cs="Segoe UI"/>
                                <w:sz w:val="16"/>
                                <w:szCs w:val="16"/>
                              </w:rPr>
                              <w:t xml:space="preserve">με τις </w:t>
                            </w:r>
                            <w:r w:rsidRPr="00600A1F">
                              <w:rPr>
                                <w:rFonts w:ascii="Segoe UI" w:hAnsi="Segoe UI" w:cs="Segoe UI"/>
                                <w:sz w:val="16"/>
                                <w:szCs w:val="16"/>
                              </w:rPr>
                              <w:t xml:space="preserve">συναλλαγές </w:t>
                            </w:r>
                            <w:r>
                              <w:rPr>
                                <w:rFonts w:ascii="Segoe UI" w:hAnsi="Segoe UI" w:cs="Segoe UI"/>
                                <w:sz w:val="16"/>
                                <w:szCs w:val="16"/>
                              </w:rPr>
                              <w:t xml:space="preserve">μέσω </w:t>
                            </w:r>
                            <w:r w:rsidRPr="00600A1F">
                              <w:rPr>
                                <w:rFonts w:ascii="Segoe UI" w:hAnsi="Segoe UI" w:cs="Segoe UI"/>
                                <w:sz w:val="16"/>
                                <w:szCs w:val="16"/>
                              </w:rPr>
                              <w:t xml:space="preserve">ψηφιακών και εναλλακτικών καναλιών </w:t>
                            </w:r>
                            <w:r>
                              <w:rPr>
                                <w:rFonts w:ascii="Segoe UI" w:hAnsi="Segoe UI" w:cs="Segoe UI"/>
                                <w:sz w:val="16"/>
                                <w:szCs w:val="16"/>
                              </w:rPr>
                              <w:t xml:space="preserve">να τις υπερκαλύπτουν, </w:t>
                            </w:r>
                            <w:r w:rsidRPr="00600A1F">
                              <w:rPr>
                                <w:rFonts w:ascii="Segoe UI" w:hAnsi="Segoe UI" w:cs="Segoe UI"/>
                                <w:sz w:val="16"/>
                                <w:szCs w:val="16"/>
                              </w:rPr>
                              <w:t>ενισχ</w:t>
                            </w:r>
                            <w:r>
                              <w:rPr>
                                <w:rFonts w:ascii="Segoe UI" w:hAnsi="Segoe UI" w:cs="Segoe UI"/>
                                <w:sz w:val="16"/>
                                <w:szCs w:val="16"/>
                              </w:rPr>
                              <w:t xml:space="preserve">υόμενες κατά </w:t>
                            </w:r>
                            <w:r w:rsidRPr="00600A1F">
                              <w:rPr>
                                <w:rFonts w:ascii="Segoe UI" w:hAnsi="Segoe UI" w:cs="Segoe UI"/>
                                <w:sz w:val="16"/>
                                <w:szCs w:val="16"/>
                              </w:rPr>
                              <w:t xml:space="preserve">33%. Οι συναλλαγές </w:t>
                            </w:r>
                            <w:r>
                              <w:rPr>
                                <w:rFonts w:ascii="Segoe UI" w:hAnsi="Segoe UI" w:cs="Segoe UI"/>
                                <w:sz w:val="16"/>
                                <w:szCs w:val="16"/>
                              </w:rPr>
                              <w:t xml:space="preserve">e-banking κατέγραψαν θεαματική αύξηση κατά </w:t>
                            </w:r>
                            <w:r w:rsidRPr="00600A1F">
                              <w:rPr>
                                <w:rFonts w:ascii="Segoe UI" w:hAnsi="Segoe UI" w:cs="Segoe UI"/>
                                <w:sz w:val="16"/>
                                <w:szCs w:val="16"/>
                              </w:rPr>
                              <w:t xml:space="preserve">71% κατά την ίδια περίοδο </w:t>
                            </w:r>
                          </w:p>
                          <w:p w:rsidR="00D95F56" w:rsidRDefault="00D95F56" w:rsidP="00DB41A0">
                            <w:pPr>
                              <w:numPr>
                                <w:ilvl w:val="1"/>
                                <w:numId w:val="6"/>
                              </w:numPr>
                              <w:spacing w:before="80"/>
                              <w:rPr>
                                <w:rFonts w:ascii="Segoe UI" w:hAnsi="Segoe UI" w:cs="Segoe UI"/>
                                <w:sz w:val="16"/>
                                <w:szCs w:val="16"/>
                              </w:rPr>
                            </w:pPr>
                            <w:r w:rsidRPr="00DB41A0">
                              <w:rPr>
                                <w:rFonts w:ascii="Segoe UI" w:hAnsi="Segoe UI" w:cs="Segoe UI"/>
                                <w:sz w:val="16"/>
                                <w:szCs w:val="16"/>
                              </w:rPr>
                              <w:t xml:space="preserve">Το μοντέλο εργασίας από το σπίτι συνεχίζει να λειτουργεί αποτελεσματικά, </w:t>
                            </w:r>
                            <w:r>
                              <w:rPr>
                                <w:rFonts w:ascii="Segoe UI" w:hAnsi="Segoe UI" w:cs="Segoe UI"/>
                                <w:sz w:val="16"/>
                                <w:szCs w:val="16"/>
                              </w:rPr>
                              <w:t xml:space="preserve">με το </w:t>
                            </w:r>
                            <w:r w:rsidRPr="00DB41A0">
                              <w:rPr>
                                <w:rFonts w:ascii="Segoe UI" w:hAnsi="Segoe UI" w:cs="Segoe UI"/>
                                <w:sz w:val="16"/>
                                <w:szCs w:val="16"/>
                              </w:rPr>
                              <w:t>ποσοστό του προσωπικ</w:t>
                            </w:r>
                            <w:r>
                              <w:rPr>
                                <w:rFonts w:ascii="Segoe UI" w:hAnsi="Segoe UI" w:cs="Segoe UI"/>
                                <w:sz w:val="16"/>
                                <w:szCs w:val="16"/>
                              </w:rPr>
                              <w:t>ού που εργάζεται εξ αποστάσεως να</w:t>
                            </w:r>
                            <w:r w:rsidRPr="00DB41A0">
                              <w:rPr>
                                <w:rFonts w:ascii="Segoe UI" w:hAnsi="Segoe UI" w:cs="Segoe UI"/>
                                <w:sz w:val="16"/>
                                <w:szCs w:val="16"/>
                              </w:rPr>
                              <w:t xml:space="preserve"> ανέρχεται σε περίπου 50% </w:t>
                            </w:r>
                          </w:p>
                          <w:p w:rsidR="00D95F56" w:rsidRPr="00DB41A0" w:rsidRDefault="00D95F56" w:rsidP="00C342A1">
                            <w:pPr>
                              <w:spacing w:before="80"/>
                              <w:ind w:left="644"/>
                              <w:rPr>
                                <w:rFonts w:ascii="Segoe UI" w:hAnsi="Segoe UI" w:cs="Segoe UI"/>
                                <w:sz w:val="16"/>
                                <w:szCs w:val="16"/>
                              </w:rPr>
                            </w:pPr>
                          </w:p>
                          <w:p w:rsidR="00D95F56" w:rsidRPr="00192FCD" w:rsidRDefault="00D95F56" w:rsidP="005E5A99">
                            <w:pPr>
                              <w:pStyle w:val="ListParagraph"/>
                              <w:numPr>
                                <w:ilvl w:val="0"/>
                                <w:numId w:val="6"/>
                              </w:numPr>
                              <w:spacing w:before="120" w:after="0" w:line="276" w:lineRule="auto"/>
                              <w:jc w:val="left"/>
                              <w:rPr>
                                <w:rFonts w:ascii="Segoe UI" w:hAnsi="Segoe UI" w:cs="Segoe UI"/>
                                <w:b/>
                                <w:sz w:val="16"/>
                                <w:szCs w:val="16"/>
                              </w:rPr>
                            </w:pPr>
                            <w:r>
                              <w:rPr>
                                <w:rFonts w:ascii="Segoe UI" w:hAnsi="Segoe UI" w:cs="Segoe UI"/>
                                <w:b/>
                                <w:sz w:val="16"/>
                                <w:szCs w:val="16"/>
                              </w:rPr>
                              <w:t>Τα κέρδη μετά από φόρους</w:t>
                            </w:r>
                            <w:r w:rsidRPr="005E5A99">
                              <w:rPr>
                                <w:rFonts w:ascii="Segoe UI" w:hAnsi="Segoe UI" w:cs="Segoe UI"/>
                                <w:b/>
                                <w:sz w:val="16"/>
                                <w:szCs w:val="16"/>
                                <w:vertAlign w:val="superscript"/>
                              </w:rPr>
                              <w:t>1</w:t>
                            </w:r>
                            <w:r>
                              <w:rPr>
                                <w:rFonts w:ascii="Segoe UI" w:hAnsi="Segoe UI" w:cs="Segoe UI"/>
                                <w:b/>
                                <w:sz w:val="16"/>
                                <w:szCs w:val="16"/>
                              </w:rPr>
                              <w:t xml:space="preserve"> ανήλθαν σε €137 εκατ</w:t>
                            </w:r>
                            <w:r w:rsidRPr="005E5A99">
                              <w:rPr>
                                <w:rFonts w:ascii="Segoe UI" w:hAnsi="Segoe UI" w:cs="Segoe UI"/>
                                <w:b/>
                                <w:sz w:val="16"/>
                                <w:szCs w:val="16"/>
                              </w:rPr>
                              <w:t>. το</w:t>
                            </w:r>
                            <w:r>
                              <w:rPr>
                                <w:rFonts w:ascii="Segoe UI" w:hAnsi="Segoe UI" w:cs="Segoe UI"/>
                                <w:b/>
                                <w:sz w:val="16"/>
                                <w:szCs w:val="16"/>
                              </w:rPr>
                              <w:t xml:space="preserve"> Γ</w:t>
                            </w:r>
                            <w:r w:rsidRPr="005C55AD">
                              <w:rPr>
                                <w:rFonts w:ascii="Segoe UI" w:hAnsi="Segoe UI" w:cs="Segoe UI"/>
                                <w:b/>
                                <w:sz w:val="16"/>
                                <w:szCs w:val="16"/>
                              </w:rPr>
                              <w:t xml:space="preserve">’ </w:t>
                            </w:r>
                            <w:r>
                              <w:rPr>
                                <w:rFonts w:ascii="Segoe UI" w:hAnsi="Segoe UI" w:cs="Segoe UI"/>
                                <w:b/>
                                <w:sz w:val="16"/>
                                <w:szCs w:val="16"/>
                              </w:rPr>
                              <w:t xml:space="preserve">τρίμηνο </w:t>
                            </w:r>
                            <w:r w:rsidRPr="005C55AD">
                              <w:rPr>
                                <w:rFonts w:ascii="Segoe UI" w:hAnsi="Segoe UI" w:cs="Segoe UI"/>
                                <w:b/>
                                <w:sz w:val="16"/>
                                <w:szCs w:val="16"/>
                              </w:rPr>
                              <w:t>2020</w:t>
                            </w:r>
                            <w:r>
                              <w:rPr>
                                <w:rFonts w:ascii="Segoe UI" w:hAnsi="Segoe UI" w:cs="Segoe UI"/>
                                <w:b/>
                                <w:sz w:val="16"/>
                                <w:szCs w:val="16"/>
                              </w:rPr>
                              <w:t xml:space="preserve"> από €58 εκατ. το</w:t>
                            </w:r>
                            <w:r w:rsidRPr="005E5A99">
                              <w:t xml:space="preserve"> </w:t>
                            </w:r>
                            <w:r>
                              <w:rPr>
                                <w:rFonts w:ascii="Segoe UI" w:hAnsi="Segoe UI" w:cs="Segoe UI"/>
                                <w:b/>
                                <w:sz w:val="16"/>
                                <w:szCs w:val="16"/>
                              </w:rPr>
                              <w:t>Β</w:t>
                            </w:r>
                            <w:r w:rsidRPr="005E5A99">
                              <w:rPr>
                                <w:rFonts w:ascii="Segoe UI" w:hAnsi="Segoe UI" w:cs="Segoe UI"/>
                                <w:b/>
                                <w:sz w:val="16"/>
                                <w:szCs w:val="16"/>
                              </w:rPr>
                              <w:t>’ τρίμηνο 2020</w:t>
                            </w:r>
                            <w:r>
                              <w:rPr>
                                <w:rFonts w:ascii="Segoe UI" w:hAnsi="Segoe UI" w:cs="Segoe UI"/>
                                <w:b/>
                                <w:sz w:val="16"/>
                                <w:szCs w:val="16"/>
                              </w:rPr>
                              <w:t xml:space="preserve">, </w:t>
                            </w:r>
                            <w:r w:rsidRPr="005E5A99">
                              <w:rPr>
                                <w:rFonts w:ascii="Segoe UI" w:hAnsi="Segoe UI" w:cs="Segoe UI"/>
                                <w:b/>
                                <w:sz w:val="16"/>
                                <w:szCs w:val="16"/>
                              </w:rPr>
                              <w:t xml:space="preserve">αντανακλώντας την </w:t>
                            </w:r>
                            <w:r>
                              <w:rPr>
                                <w:rFonts w:ascii="Segoe UI" w:hAnsi="Segoe UI" w:cs="Segoe UI"/>
                                <w:b/>
                                <w:sz w:val="16"/>
                                <w:szCs w:val="16"/>
                              </w:rPr>
                              <w:t xml:space="preserve">ισχυρή </w:t>
                            </w:r>
                            <w:r w:rsidRPr="005E5A99">
                              <w:rPr>
                                <w:rFonts w:ascii="Segoe UI" w:hAnsi="Segoe UI" w:cs="Segoe UI"/>
                                <w:b/>
                                <w:sz w:val="16"/>
                                <w:szCs w:val="16"/>
                              </w:rPr>
                              <w:t xml:space="preserve">ανάκαμψη των οργανικών εσόδων, τη διατήρηση της τάσης </w:t>
                            </w:r>
                            <w:r>
                              <w:rPr>
                                <w:rFonts w:ascii="Segoe UI" w:hAnsi="Segoe UI" w:cs="Segoe UI"/>
                                <w:b/>
                                <w:sz w:val="16"/>
                                <w:szCs w:val="16"/>
                              </w:rPr>
                              <w:t xml:space="preserve">μείωσης </w:t>
                            </w:r>
                            <w:r w:rsidRPr="005E5A99">
                              <w:rPr>
                                <w:rFonts w:ascii="Segoe UI" w:hAnsi="Segoe UI" w:cs="Segoe UI"/>
                                <w:b/>
                                <w:sz w:val="16"/>
                                <w:szCs w:val="16"/>
                              </w:rPr>
                              <w:t>των λειτουργικών εξόδων</w:t>
                            </w:r>
                            <w:r>
                              <w:rPr>
                                <w:rFonts w:ascii="Segoe UI" w:hAnsi="Segoe UI" w:cs="Segoe UI"/>
                                <w:b/>
                                <w:sz w:val="16"/>
                                <w:szCs w:val="16"/>
                              </w:rPr>
                              <w:t xml:space="preserve"> και τις σχετικά χαμηλές προβλέψεις</w:t>
                            </w:r>
                            <w:r w:rsidR="002A52E2">
                              <w:rPr>
                                <w:rFonts w:ascii="Segoe UI" w:hAnsi="Segoe UI" w:cs="Segoe UI"/>
                                <w:b/>
                                <w:sz w:val="16"/>
                                <w:szCs w:val="16"/>
                              </w:rPr>
                              <w:t>, αμετάβλητες</w:t>
                            </w:r>
                            <w:r>
                              <w:rPr>
                                <w:rFonts w:ascii="Segoe UI" w:hAnsi="Segoe UI" w:cs="Segoe UI"/>
                                <w:b/>
                                <w:sz w:val="16"/>
                                <w:szCs w:val="16"/>
                              </w:rPr>
                              <w:t xml:space="preserve"> σε τριμηνιαία βάση. Τα </w:t>
                            </w:r>
                            <w:r w:rsidRPr="005E5A99">
                              <w:rPr>
                                <w:rFonts w:ascii="Segoe UI" w:hAnsi="Segoe UI" w:cs="Segoe UI"/>
                                <w:b/>
                                <w:sz w:val="16"/>
                                <w:szCs w:val="16"/>
                              </w:rPr>
                              <w:t>κέρδη μετά από φόρους</w:t>
                            </w:r>
                            <w:r>
                              <w:rPr>
                                <w:rFonts w:ascii="Segoe UI" w:hAnsi="Segoe UI" w:cs="Segoe UI"/>
                                <w:b/>
                                <w:sz w:val="16"/>
                                <w:szCs w:val="16"/>
                              </w:rPr>
                              <w:t xml:space="preserve"> το Εννεάμηνο </w:t>
                            </w:r>
                            <w:r w:rsidRPr="00950C03">
                              <w:rPr>
                                <w:rFonts w:ascii="Segoe UI" w:hAnsi="Segoe UI" w:cs="Segoe UI"/>
                                <w:b/>
                                <w:sz w:val="16"/>
                                <w:szCs w:val="16"/>
                              </w:rPr>
                              <w:t>2020</w:t>
                            </w:r>
                            <w:r>
                              <w:rPr>
                                <w:rFonts w:ascii="Segoe UI" w:hAnsi="Segoe UI" w:cs="Segoe UI"/>
                                <w:b/>
                                <w:sz w:val="16"/>
                                <w:szCs w:val="16"/>
                              </w:rPr>
                              <w:t xml:space="preserve"> διαμορφώθηκαν σε €602 εκατ.</w:t>
                            </w:r>
                            <w:r>
                              <w:rPr>
                                <w:rFonts w:ascii="Segoe UI" w:hAnsi="Segoe UI" w:cs="Segoe UI"/>
                                <w:b/>
                                <w:sz w:val="16"/>
                                <w:szCs w:val="16"/>
                                <w:vertAlign w:val="superscript"/>
                              </w:rPr>
                              <w:t>1</w:t>
                            </w:r>
                            <w:r>
                              <w:rPr>
                                <w:rFonts w:ascii="Segoe UI" w:hAnsi="Segoe UI" w:cs="Segoe UI"/>
                                <w:b/>
                                <w:sz w:val="16"/>
                                <w:szCs w:val="16"/>
                              </w:rPr>
                              <w:t>, αυξημένα κατά 33% σε ετήσια βάση</w:t>
                            </w:r>
                          </w:p>
                          <w:p w:rsidR="00D95F56" w:rsidRPr="00CE5D55" w:rsidRDefault="008074EF" w:rsidP="0080571D">
                            <w:pPr>
                              <w:numPr>
                                <w:ilvl w:val="1"/>
                                <w:numId w:val="6"/>
                              </w:numPr>
                              <w:spacing w:before="80"/>
                              <w:rPr>
                                <w:rFonts w:ascii="Segoe UI" w:hAnsi="Segoe UI" w:cs="Segoe UI"/>
                                <w:sz w:val="16"/>
                                <w:szCs w:val="16"/>
                              </w:rPr>
                            </w:pPr>
                            <w:r>
                              <w:rPr>
                                <w:rFonts w:ascii="Segoe UI" w:hAnsi="Segoe UI" w:cs="Segoe UI"/>
                                <w:sz w:val="16"/>
                                <w:szCs w:val="16"/>
                              </w:rPr>
                              <w:t>Τ</w:t>
                            </w:r>
                            <w:r w:rsidR="00D95F56">
                              <w:rPr>
                                <w:rFonts w:ascii="Segoe UI" w:hAnsi="Segoe UI" w:cs="Segoe UI"/>
                                <w:sz w:val="16"/>
                                <w:szCs w:val="16"/>
                              </w:rPr>
                              <w:t>α κ</w:t>
                            </w:r>
                            <w:r w:rsidR="00D95F56" w:rsidRPr="00CE5D55">
                              <w:rPr>
                                <w:rFonts w:ascii="Segoe UI" w:hAnsi="Segoe UI" w:cs="Segoe UI"/>
                                <w:sz w:val="16"/>
                                <w:szCs w:val="16"/>
                              </w:rPr>
                              <w:t xml:space="preserve">αθαρά έσοδα από τόκους </w:t>
                            </w:r>
                            <w:r w:rsidR="00D95F56">
                              <w:rPr>
                                <w:rFonts w:ascii="Segoe UI" w:hAnsi="Segoe UI" w:cs="Segoe UI"/>
                                <w:sz w:val="16"/>
                                <w:szCs w:val="16"/>
                              </w:rPr>
                              <w:t xml:space="preserve">ανέκαμψαν σημαντικά κατά 12% </w:t>
                            </w:r>
                            <w:r w:rsidR="00886A9C">
                              <w:rPr>
                                <w:rFonts w:ascii="Segoe UI" w:hAnsi="Segoe UI" w:cs="Segoe UI"/>
                                <w:sz w:val="16"/>
                                <w:szCs w:val="16"/>
                              </w:rPr>
                              <w:t xml:space="preserve">ή €32 εκατ. </w:t>
                            </w:r>
                            <w:r w:rsidR="00D95F56">
                              <w:rPr>
                                <w:rFonts w:ascii="Segoe UI" w:hAnsi="Segoe UI" w:cs="Segoe UI"/>
                                <w:sz w:val="16"/>
                                <w:szCs w:val="16"/>
                              </w:rPr>
                              <w:t>σε τριμηνιαία βάση και διαμορφώθηκαν σε €304 εκατ.</w:t>
                            </w:r>
                            <w:r w:rsidR="00886A9C">
                              <w:rPr>
                                <w:rFonts w:ascii="Segoe UI" w:hAnsi="Segoe UI" w:cs="Segoe UI"/>
                                <w:sz w:val="16"/>
                                <w:szCs w:val="16"/>
                              </w:rPr>
                              <w:t xml:space="preserve"> </w:t>
                            </w:r>
                            <w:r w:rsidR="00D95F56" w:rsidRPr="00CE5D55">
                              <w:rPr>
                                <w:rFonts w:ascii="Segoe UI" w:hAnsi="Segoe UI" w:cs="Segoe UI"/>
                                <w:sz w:val="16"/>
                                <w:szCs w:val="16"/>
                              </w:rPr>
                              <w:t xml:space="preserve">το </w:t>
                            </w:r>
                            <w:r w:rsidR="00D95F56">
                              <w:rPr>
                                <w:rFonts w:ascii="Segoe UI" w:hAnsi="Segoe UI" w:cs="Segoe UI"/>
                                <w:sz w:val="16"/>
                                <w:szCs w:val="16"/>
                              </w:rPr>
                              <w:t>Γ</w:t>
                            </w:r>
                            <w:r w:rsidR="00D95F56" w:rsidRPr="00CE5D55">
                              <w:rPr>
                                <w:rFonts w:ascii="Segoe UI" w:hAnsi="Segoe UI" w:cs="Segoe UI"/>
                                <w:sz w:val="16"/>
                                <w:szCs w:val="16"/>
                              </w:rPr>
                              <w:t xml:space="preserve">’ τρίμηνο 2020, </w:t>
                            </w:r>
                            <w:r w:rsidR="00D95F56">
                              <w:rPr>
                                <w:rFonts w:ascii="Segoe UI" w:hAnsi="Segoe UI" w:cs="Segoe UI"/>
                                <w:sz w:val="16"/>
                                <w:szCs w:val="16"/>
                              </w:rPr>
                              <w:t xml:space="preserve">αντανακλώντας την αύξηση στα υπόλοιπα των εξυπηρετούμενων δανείων, καθώς και το όφελος από το χαμηλότερο κόστος χρηματοδότησης λόγω της αυξημένης </w:t>
                            </w:r>
                            <w:r w:rsidR="00D95F56" w:rsidRPr="0080571D">
                              <w:rPr>
                                <w:rFonts w:ascii="Segoe UI" w:hAnsi="Segoe UI" w:cs="Segoe UI"/>
                                <w:sz w:val="16"/>
                                <w:szCs w:val="16"/>
                              </w:rPr>
                              <w:t>συμμετοχής</w:t>
                            </w:r>
                            <w:r w:rsidR="00D95F56">
                              <w:rPr>
                                <w:rFonts w:ascii="Segoe UI" w:hAnsi="Segoe UI" w:cs="Segoe UI"/>
                                <w:sz w:val="16"/>
                                <w:szCs w:val="16"/>
                              </w:rPr>
                              <w:t xml:space="preserve"> της ΕΤΕ στο </w:t>
                            </w:r>
                            <w:r w:rsidR="00D95F56" w:rsidRPr="00CF2D9A">
                              <w:rPr>
                                <w:rFonts w:ascii="Segoe UI" w:hAnsi="Segoe UI" w:cs="Segoe UI"/>
                                <w:sz w:val="16"/>
                                <w:szCs w:val="16"/>
                              </w:rPr>
                              <w:t>Πρόγραμμα Συναλλαγών Μακροχρόνιας Αναχρηματοδότησης (TLTRO) της Ευρωπαϊκής Κεντρικής Τράπεζας (ΕΚΤ)</w:t>
                            </w:r>
                            <w:r w:rsidR="00D95F56">
                              <w:rPr>
                                <w:rFonts w:ascii="Segoe UI" w:hAnsi="Segoe UI" w:cs="Segoe UI"/>
                                <w:sz w:val="16"/>
                                <w:szCs w:val="16"/>
                              </w:rPr>
                              <w:t xml:space="preserve"> και της συνεχιζόμενης ανατιμολόγησης καταθέσεων προθεσμίας </w:t>
                            </w:r>
                          </w:p>
                          <w:p w:rsidR="00D95F56" w:rsidRPr="00192FCD" w:rsidRDefault="00D95F56" w:rsidP="009248CE">
                            <w:pPr>
                              <w:numPr>
                                <w:ilvl w:val="1"/>
                                <w:numId w:val="6"/>
                              </w:numPr>
                              <w:spacing w:before="80"/>
                              <w:rPr>
                                <w:rFonts w:ascii="Segoe UI" w:hAnsi="Segoe UI" w:cs="Segoe UI"/>
                                <w:sz w:val="16"/>
                                <w:szCs w:val="16"/>
                              </w:rPr>
                            </w:pPr>
                            <w:r>
                              <w:rPr>
                                <w:rFonts w:ascii="Segoe UI" w:hAnsi="Segoe UI" w:cs="Segoe UI"/>
                                <w:sz w:val="16"/>
                                <w:szCs w:val="16"/>
                              </w:rPr>
                              <w:t xml:space="preserve">Μετά </w:t>
                            </w:r>
                            <w:r w:rsidR="006F7E4E">
                              <w:rPr>
                                <w:rFonts w:ascii="Segoe UI" w:hAnsi="Segoe UI" w:cs="Segoe UI"/>
                                <w:sz w:val="16"/>
                                <w:szCs w:val="16"/>
                              </w:rPr>
                              <w:t xml:space="preserve">την αρνητική επίδραση του γενικού απαγορευτικού </w:t>
                            </w:r>
                            <w:r w:rsidRPr="00745EF1">
                              <w:rPr>
                                <w:rFonts w:ascii="Segoe UI" w:hAnsi="Segoe UI" w:cs="Segoe UI"/>
                                <w:sz w:val="16"/>
                                <w:szCs w:val="16"/>
                              </w:rPr>
                              <w:t>στη διεξαγωγή συναλλαγών</w:t>
                            </w:r>
                            <w:r w:rsidRPr="007B41A8">
                              <w:rPr>
                                <w:rFonts w:ascii="Segoe UI" w:hAnsi="Segoe UI" w:cs="Segoe UI"/>
                                <w:sz w:val="16"/>
                                <w:szCs w:val="16"/>
                              </w:rPr>
                              <w:t xml:space="preserve"> </w:t>
                            </w:r>
                            <w:r>
                              <w:rPr>
                                <w:rFonts w:ascii="Segoe UI" w:hAnsi="Segoe UI" w:cs="Segoe UI"/>
                                <w:sz w:val="16"/>
                                <w:szCs w:val="16"/>
                              </w:rPr>
                              <w:t>κατά το Β’ τρίμηνο 2020, τ</w:t>
                            </w:r>
                            <w:r w:rsidRPr="007B41A8">
                              <w:rPr>
                                <w:rFonts w:ascii="Segoe UI" w:hAnsi="Segoe UI" w:cs="Segoe UI"/>
                                <w:sz w:val="16"/>
                                <w:szCs w:val="16"/>
                              </w:rPr>
                              <w:t xml:space="preserve">α καθαρά έσοδα από προμήθειες </w:t>
                            </w:r>
                            <w:r>
                              <w:rPr>
                                <w:rFonts w:ascii="Segoe UI" w:hAnsi="Segoe UI" w:cs="Segoe UI"/>
                                <w:sz w:val="16"/>
                                <w:szCs w:val="16"/>
                              </w:rPr>
                              <w:t xml:space="preserve">σημείωσαν αύξηση ύψους </w:t>
                            </w:r>
                            <w:r w:rsidRPr="007B41A8">
                              <w:rPr>
                                <w:rFonts w:ascii="Segoe UI" w:hAnsi="Segoe UI" w:cs="Segoe UI"/>
                                <w:sz w:val="16"/>
                                <w:szCs w:val="16"/>
                              </w:rPr>
                              <w:t>1</w:t>
                            </w:r>
                            <w:r>
                              <w:rPr>
                                <w:rFonts w:ascii="Segoe UI" w:hAnsi="Segoe UI" w:cs="Segoe UI"/>
                                <w:sz w:val="16"/>
                                <w:szCs w:val="16"/>
                              </w:rPr>
                              <w:t>3</w:t>
                            </w:r>
                            <w:r w:rsidRPr="007B41A8">
                              <w:rPr>
                                <w:rFonts w:ascii="Segoe UI" w:hAnsi="Segoe UI" w:cs="Segoe UI"/>
                                <w:sz w:val="16"/>
                                <w:szCs w:val="16"/>
                              </w:rPr>
                              <w:t xml:space="preserve">% σε </w:t>
                            </w:r>
                            <w:r>
                              <w:rPr>
                                <w:rFonts w:ascii="Segoe UI" w:hAnsi="Segoe UI" w:cs="Segoe UI"/>
                                <w:sz w:val="16"/>
                                <w:szCs w:val="16"/>
                              </w:rPr>
                              <w:t>τριμηνιαία βάση</w:t>
                            </w:r>
                            <w:r w:rsidR="009248CE">
                              <w:rPr>
                                <w:rFonts w:ascii="Segoe UI" w:hAnsi="Segoe UI" w:cs="Segoe UI"/>
                                <w:sz w:val="16"/>
                                <w:szCs w:val="16"/>
                              </w:rPr>
                              <w:t xml:space="preserve"> το</w:t>
                            </w:r>
                            <w:r w:rsidR="009248CE" w:rsidRPr="009248CE">
                              <w:rPr>
                                <w:rFonts w:ascii="Segoe UI" w:hAnsi="Segoe UI" w:cs="Segoe UI"/>
                                <w:sz w:val="16"/>
                                <w:szCs w:val="16"/>
                              </w:rPr>
                              <w:t xml:space="preserve"> Γ’ τρίμηνο 2020</w:t>
                            </w:r>
                            <w:r>
                              <w:rPr>
                                <w:rFonts w:ascii="Segoe UI" w:hAnsi="Segoe UI" w:cs="Segoe UI"/>
                                <w:sz w:val="16"/>
                                <w:szCs w:val="16"/>
                              </w:rPr>
                              <w:t>, ως αποτέλεσμα της ανάκαμψης των προμηθειών τόσο Λιανικής όσο και Εταιρικής Τραπεζικής.</w:t>
                            </w:r>
                            <w:r w:rsidRPr="007B41A8">
                              <w:rPr>
                                <w:rFonts w:ascii="Segoe UI" w:hAnsi="Segoe UI" w:cs="Segoe UI"/>
                                <w:sz w:val="16"/>
                                <w:szCs w:val="16"/>
                              </w:rPr>
                              <w:t xml:space="preserve"> </w:t>
                            </w:r>
                            <w:r>
                              <w:rPr>
                                <w:rFonts w:ascii="Segoe UI" w:hAnsi="Segoe UI" w:cs="Segoe UI"/>
                                <w:sz w:val="16"/>
                                <w:szCs w:val="16"/>
                              </w:rPr>
                              <w:t>Σε επίπεδο εννεαμήνου και πα</w:t>
                            </w:r>
                            <w:r w:rsidRPr="00745EF1">
                              <w:rPr>
                                <w:rFonts w:ascii="Segoe UI" w:hAnsi="Segoe UI" w:cs="Segoe UI"/>
                                <w:sz w:val="16"/>
                                <w:szCs w:val="16"/>
                              </w:rPr>
                              <w:t>ρά τις δυσμενείς συνθήκες λόγω της πανδημίας του κορωνοϊού</w:t>
                            </w:r>
                            <w:r>
                              <w:rPr>
                                <w:rFonts w:ascii="Segoe UI" w:hAnsi="Segoe UI" w:cs="Segoe UI"/>
                                <w:sz w:val="16"/>
                                <w:szCs w:val="16"/>
                              </w:rPr>
                              <w:t xml:space="preserve">, </w:t>
                            </w:r>
                            <w:r w:rsidRPr="008330F2">
                              <w:rPr>
                                <w:rFonts w:ascii="Segoe UI" w:hAnsi="Segoe UI" w:cs="Segoe UI"/>
                                <w:sz w:val="16"/>
                                <w:szCs w:val="16"/>
                              </w:rPr>
                              <w:t xml:space="preserve">τα καθαρά έσοδα από προμήθειες </w:t>
                            </w:r>
                            <w:r>
                              <w:rPr>
                                <w:rFonts w:ascii="Segoe UI" w:hAnsi="Segoe UI" w:cs="Segoe UI"/>
                                <w:sz w:val="16"/>
                                <w:szCs w:val="16"/>
                              </w:rPr>
                              <w:t>αυξήθηκαν</w:t>
                            </w:r>
                            <w:r w:rsidRPr="007B41A8">
                              <w:rPr>
                                <w:rFonts w:ascii="Segoe UI" w:hAnsi="Segoe UI" w:cs="Segoe UI"/>
                                <w:sz w:val="16"/>
                                <w:szCs w:val="16"/>
                              </w:rPr>
                              <w:t xml:space="preserve"> κατά </w:t>
                            </w:r>
                            <w:r>
                              <w:rPr>
                                <w:rFonts w:ascii="Segoe UI" w:hAnsi="Segoe UI" w:cs="Segoe UI"/>
                                <w:sz w:val="16"/>
                                <w:szCs w:val="16"/>
                              </w:rPr>
                              <w:t>2</w:t>
                            </w:r>
                            <w:r w:rsidRPr="007B41A8">
                              <w:rPr>
                                <w:rFonts w:ascii="Segoe UI" w:hAnsi="Segoe UI" w:cs="Segoe UI"/>
                                <w:sz w:val="16"/>
                                <w:szCs w:val="16"/>
                              </w:rPr>
                              <w:t xml:space="preserve">% </w:t>
                            </w:r>
                            <w:r w:rsidR="00405938">
                              <w:rPr>
                                <w:rFonts w:ascii="Segoe UI" w:hAnsi="Segoe UI" w:cs="Segoe UI"/>
                                <w:sz w:val="16"/>
                                <w:szCs w:val="16"/>
                              </w:rPr>
                              <w:t xml:space="preserve">σε ετήσια βάση, </w:t>
                            </w:r>
                            <w:r>
                              <w:rPr>
                                <w:rFonts w:ascii="Segoe UI" w:hAnsi="Segoe UI" w:cs="Segoe UI"/>
                                <w:sz w:val="16"/>
                                <w:szCs w:val="16"/>
                              </w:rPr>
                              <w:t>σε €188 εκατ.</w:t>
                            </w:r>
                            <w:r w:rsidR="00405938">
                              <w:rPr>
                                <w:rFonts w:ascii="Segoe UI" w:hAnsi="Segoe UI" w:cs="Segoe UI"/>
                                <w:sz w:val="16"/>
                                <w:szCs w:val="16"/>
                              </w:rPr>
                              <w:t xml:space="preserve">, </w:t>
                            </w:r>
                            <w:r w:rsidRPr="00745EF1">
                              <w:rPr>
                                <w:rFonts w:ascii="Segoe UI" w:hAnsi="Segoe UI" w:cs="Segoe UI"/>
                                <w:sz w:val="16"/>
                                <w:szCs w:val="16"/>
                              </w:rPr>
                              <w:t xml:space="preserve">αντανακλώντας την ενίσχυση </w:t>
                            </w:r>
                            <w:r w:rsidRPr="00192FCD">
                              <w:rPr>
                                <w:rFonts w:ascii="Segoe UI" w:hAnsi="Segoe UI" w:cs="Segoe UI"/>
                                <w:sz w:val="16"/>
                                <w:szCs w:val="16"/>
                              </w:rPr>
                              <w:t xml:space="preserve">των εσόδων από προμήθειες Λιανικής Τραπεζικής </w:t>
                            </w:r>
                          </w:p>
                          <w:p w:rsidR="00D95F56" w:rsidRDefault="00D95F56" w:rsidP="00576FF1">
                            <w:pPr>
                              <w:numPr>
                                <w:ilvl w:val="1"/>
                                <w:numId w:val="6"/>
                              </w:numPr>
                              <w:spacing w:before="80"/>
                              <w:rPr>
                                <w:rFonts w:ascii="Segoe UI" w:hAnsi="Segoe UI" w:cs="Segoe UI"/>
                                <w:sz w:val="16"/>
                                <w:szCs w:val="16"/>
                              </w:rPr>
                            </w:pPr>
                            <w:r w:rsidRPr="00731E1F">
                              <w:rPr>
                                <w:rFonts w:ascii="Segoe UI" w:hAnsi="Segoe UI" w:cs="Segoe UI"/>
                                <w:sz w:val="16"/>
                                <w:szCs w:val="16"/>
                              </w:rPr>
                              <w:t xml:space="preserve">Τα κέρδη από χρηματοοικονομικές πράξεις και </w:t>
                            </w:r>
                            <w:r w:rsidR="00006D0C">
                              <w:rPr>
                                <w:rFonts w:ascii="Segoe UI" w:hAnsi="Segoe UI" w:cs="Segoe UI"/>
                                <w:sz w:val="16"/>
                                <w:szCs w:val="16"/>
                              </w:rPr>
                              <w:t>λοιπά έσοδα διαμορφώθηκαν σε €43</w:t>
                            </w:r>
                            <w:r w:rsidRPr="00731E1F">
                              <w:rPr>
                                <w:rFonts w:ascii="Segoe UI" w:hAnsi="Segoe UI" w:cs="Segoe UI"/>
                                <w:sz w:val="16"/>
                                <w:szCs w:val="16"/>
                              </w:rPr>
                              <w:t xml:space="preserve"> εκατ. το Γ’ τρίμηνο 2020. Το Εννεάμηνο 2020, τα κέρδη από χρηματοοικονομικές πράξεις και λοιπά έσοδα ανήλθαν σε €830 εκατ., ενσωματώνοντας υψηλά μη επαναλαμβανόμενα κέρδη σχετιζόμενα με την ανταλλαγή τριών υφιστάμενων Ομολόγων Ελληνικού Δημοσίου (ΟΕΔ) που κατείχε η ΕΤΕ με ένα νέο ΟΕΔ, καθώς και την πώληση ΟΕΔ στο χαρτοφυλάκιο «διακρατούμενων για την είσπραξη συμβατικών ταμειακών ροών και για ενδεχόμενη πώληση» (HTCS) συνολικού ύψους €779 εκατ. κατά τη</w:t>
                            </w:r>
                            <w:r>
                              <w:rPr>
                                <w:rFonts w:ascii="Segoe UI" w:hAnsi="Segoe UI" w:cs="Segoe UI"/>
                                <w:sz w:val="16"/>
                                <w:szCs w:val="16"/>
                              </w:rPr>
                              <w:t xml:space="preserve"> διάρκεια του Α’ τριμήνου 2020</w:t>
                            </w:r>
                            <w:r w:rsidRPr="00576FF1">
                              <w:rPr>
                                <w:rFonts w:ascii="Segoe UI" w:hAnsi="Segoe UI" w:cs="Segoe UI"/>
                                <w:sz w:val="16"/>
                                <w:szCs w:val="16"/>
                              </w:rPr>
                              <w:t xml:space="preserve"> </w:t>
                            </w:r>
                          </w:p>
                          <w:p w:rsidR="00D95F56" w:rsidRDefault="00AD4F0C" w:rsidP="005A22F8">
                            <w:pPr>
                              <w:numPr>
                                <w:ilvl w:val="1"/>
                                <w:numId w:val="6"/>
                              </w:numPr>
                              <w:spacing w:before="80"/>
                              <w:rPr>
                                <w:rFonts w:ascii="Segoe UI" w:hAnsi="Segoe UI" w:cs="Segoe UI"/>
                                <w:sz w:val="16"/>
                                <w:szCs w:val="16"/>
                              </w:rPr>
                            </w:pPr>
                            <w:r>
                              <w:rPr>
                                <w:rFonts w:ascii="Segoe UI" w:hAnsi="Segoe UI" w:cs="Segoe UI"/>
                                <w:sz w:val="16"/>
                                <w:szCs w:val="16"/>
                              </w:rPr>
                              <w:t>Στην Ελλάδα, η</w:t>
                            </w:r>
                            <w:r w:rsidR="00D95F56" w:rsidRPr="00821D60">
                              <w:rPr>
                                <w:rFonts w:ascii="Segoe UI" w:hAnsi="Segoe UI" w:cs="Segoe UI"/>
                                <w:sz w:val="16"/>
                                <w:szCs w:val="16"/>
                              </w:rPr>
                              <w:t xml:space="preserve"> περιστολή των δαπανών προσωπικού και των γενικών διοικητικών και λοιπών λειτουργικών εξόδων</w:t>
                            </w:r>
                            <w:r w:rsidR="00D95F56">
                              <w:rPr>
                                <w:rFonts w:ascii="Segoe UI" w:hAnsi="Segoe UI" w:cs="Segoe UI"/>
                                <w:sz w:val="16"/>
                                <w:szCs w:val="16"/>
                              </w:rPr>
                              <w:t xml:space="preserve"> </w:t>
                            </w:r>
                            <w:r w:rsidR="00D95F56" w:rsidRPr="00821D60">
                              <w:rPr>
                                <w:rFonts w:ascii="Segoe UI" w:hAnsi="Segoe UI" w:cs="Segoe UI"/>
                                <w:sz w:val="16"/>
                                <w:szCs w:val="16"/>
                              </w:rPr>
                              <w:t xml:space="preserve">το </w:t>
                            </w:r>
                            <w:r w:rsidR="00D95F56">
                              <w:rPr>
                                <w:rFonts w:ascii="Segoe UI" w:hAnsi="Segoe UI" w:cs="Segoe UI"/>
                                <w:sz w:val="16"/>
                                <w:szCs w:val="16"/>
                              </w:rPr>
                              <w:t xml:space="preserve">Γ’ </w:t>
                            </w:r>
                            <w:r w:rsidR="00D95F56" w:rsidRPr="00821D60">
                              <w:rPr>
                                <w:rFonts w:ascii="Segoe UI" w:hAnsi="Segoe UI" w:cs="Segoe UI"/>
                                <w:sz w:val="16"/>
                                <w:szCs w:val="16"/>
                              </w:rPr>
                              <w:t xml:space="preserve">τρίμηνο 2020 </w:t>
                            </w:r>
                            <w:r w:rsidR="00D95F56">
                              <w:rPr>
                                <w:rFonts w:ascii="Segoe UI" w:hAnsi="Segoe UI" w:cs="Segoe UI"/>
                                <w:sz w:val="16"/>
                                <w:szCs w:val="16"/>
                              </w:rPr>
                              <w:t xml:space="preserve">(-1% σε τριμηνιαία βάση) </w:t>
                            </w:r>
                            <w:r w:rsidR="00D95F56" w:rsidRPr="00821D60">
                              <w:rPr>
                                <w:rFonts w:ascii="Segoe UI" w:hAnsi="Segoe UI" w:cs="Segoe UI"/>
                                <w:sz w:val="16"/>
                                <w:szCs w:val="16"/>
                              </w:rPr>
                              <w:t>είχε ως αποτέλεσμα τη σ</w:t>
                            </w:r>
                            <w:r w:rsidR="000C3C89">
                              <w:rPr>
                                <w:rFonts w:ascii="Segoe UI" w:hAnsi="Segoe UI" w:cs="Segoe UI"/>
                                <w:sz w:val="16"/>
                                <w:szCs w:val="16"/>
                              </w:rPr>
                              <w:t>ημαντική αποκλιμάκωσή τους κατά 8,5</w:t>
                            </w:r>
                            <w:r w:rsidR="00D95F56" w:rsidRPr="00821D60">
                              <w:rPr>
                                <w:rFonts w:ascii="Segoe UI" w:hAnsi="Segoe UI" w:cs="Segoe UI"/>
                                <w:sz w:val="16"/>
                                <w:szCs w:val="16"/>
                              </w:rPr>
                              <w:t xml:space="preserve">% και </w:t>
                            </w:r>
                            <w:r w:rsidR="000C3C89">
                              <w:rPr>
                                <w:rFonts w:ascii="Segoe UI" w:hAnsi="Segoe UI" w:cs="Segoe UI"/>
                                <w:sz w:val="16"/>
                                <w:szCs w:val="16"/>
                              </w:rPr>
                              <w:t>9,7</w:t>
                            </w:r>
                            <w:r w:rsidR="00D95F56">
                              <w:rPr>
                                <w:rFonts w:ascii="Segoe UI" w:hAnsi="Segoe UI" w:cs="Segoe UI"/>
                                <w:sz w:val="16"/>
                                <w:szCs w:val="16"/>
                              </w:rPr>
                              <w:t xml:space="preserve">% σε ετήσια βάση, αντίστοιχα, </w:t>
                            </w:r>
                            <w:r w:rsidR="00D95F56" w:rsidRPr="00214C08">
                              <w:rPr>
                                <w:rFonts w:ascii="Segoe UI" w:hAnsi="Segoe UI" w:cs="Segoe UI"/>
                                <w:sz w:val="16"/>
                                <w:szCs w:val="16"/>
                              </w:rPr>
                              <w:t xml:space="preserve">το </w:t>
                            </w:r>
                            <w:r w:rsidR="00D95F56">
                              <w:rPr>
                                <w:rFonts w:ascii="Segoe UI" w:hAnsi="Segoe UI" w:cs="Segoe UI"/>
                                <w:sz w:val="16"/>
                                <w:szCs w:val="16"/>
                              </w:rPr>
                              <w:t xml:space="preserve">Εννεάμηνο </w:t>
                            </w:r>
                            <w:r w:rsidR="00D95F56" w:rsidRPr="00214C08">
                              <w:rPr>
                                <w:rFonts w:ascii="Segoe UI" w:hAnsi="Segoe UI" w:cs="Segoe UI"/>
                                <w:sz w:val="16"/>
                                <w:szCs w:val="16"/>
                              </w:rPr>
                              <w:t>2020</w:t>
                            </w:r>
                            <w:r w:rsidR="001969E5">
                              <w:rPr>
                                <w:rFonts w:ascii="Segoe UI" w:hAnsi="Segoe UI" w:cs="Segoe UI"/>
                                <w:sz w:val="16"/>
                                <w:szCs w:val="16"/>
                              </w:rPr>
                              <w:t xml:space="preserve">. Οι λειτουργικές δαπάνες </w:t>
                            </w:r>
                            <w:r w:rsidR="00D95F56">
                              <w:rPr>
                                <w:rFonts w:ascii="Segoe UI" w:hAnsi="Segoe UI" w:cs="Segoe UI"/>
                                <w:sz w:val="16"/>
                                <w:szCs w:val="16"/>
                              </w:rPr>
                              <w:t>σημείωσαν πτώση 4% σε ετήσια βάση</w:t>
                            </w:r>
                            <w:r w:rsidR="00D95F56" w:rsidRPr="00821D60">
                              <w:rPr>
                                <w:rFonts w:ascii="Segoe UI" w:hAnsi="Segoe UI" w:cs="Segoe UI"/>
                                <w:sz w:val="16"/>
                                <w:szCs w:val="16"/>
                              </w:rPr>
                              <w:t>, απορροφώντας την αύξηση των αποσβέσεων ως αποτέλεσμα της αρνητικής επίπτωσης από τη μετάβαση στο διεθνές λογιστικό πρότυπο 16 (ΔΠΧΑ 16)</w:t>
                            </w:r>
                            <w:r w:rsidR="00D95F56">
                              <w:rPr>
                                <w:rFonts w:ascii="Segoe UI" w:hAnsi="Segoe UI" w:cs="Segoe UI"/>
                                <w:sz w:val="16"/>
                                <w:szCs w:val="16"/>
                              </w:rPr>
                              <w:t>,</w:t>
                            </w:r>
                            <w:r w:rsidR="00D95F56" w:rsidRPr="00821D60">
                              <w:rPr>
                                <w:rFonts w:ascii="Segoe UI" w:hAnsi="Segoe UI" w:cs="Segoe UI"/>
                                <w:sz w:val="16"/>
                                <w:szCs w:val="16"/>
                              </w:rPr>
                              <w:t xml:space="preserve"> </w:t>
                            </w:r>
                            <w:r w:rsidR="00D95F56">
                              <w:rPr>
                                <w:rFonts w:ascii="Segoe UI" w:hAnsi="Segoe UI" w:cs="Segoe UI"/>
                                <w:sz w:val="16"/>
                                <w:szCs w:val="16"/>
                              </w:rPr>
                              <w:t xml:space="preserve">λόγω της </w:t>
                            </w:r>
                            <w:r w:rsidR="00D95F56" w:rsidRPr="00821D60">
                              <w:rPr>
                                <w:rFonts w:ascii="Segoe UI" w:hAnsi="Segoe UI" w:cs="Segoe UI"/>
                                <w:sz w:val="16"/>
                                <w:szCs w:val="16"/>
                              </w:rPr>
                              <w:t>πώληση</w:t>
                            </w:r>
                            <w:r w:rsidR="00D95F56">
                              <w:rPr>
                                <w:rFonts w:ascii="Segoe UI" w:hAnsi="Segoe UI" w:cs="Segoe UI"/>
                                <w:sz w:val="16"/>
                                <w:szCs w:val="16"/>
                              </w:rPr>
                              <w:t>ς</w:t>
                            </w:r>
                            <w:r w:rsidR="00D95F56" w:rsidRPr="00821D60">
                              <w:rPr>
                                <w:rFonts w:ascii="Segoe UI" w:hAnsi="Segoe UI" w:cs="Segoe UI"/>
                                <w:sz w:val="16"/>
                                <w:szCs w:val="16"/>
                              </w:rPr>
                              <w:t xml:space="preserve"> του μειοψηφικού ποσοστού της ΕΤΕ στην ΠΑΝΓΑΙΑ (νυν «Prodea») στα μέσα του 2019 </w:t>
                            </w:r>
                          </w:p>
                          <w:p w:rsidR="00D95F56" w:rsidRDefault="00D95F56" w:rsidP="005A22F8">
                            <w:pPr>
                              <w:spacing w:before="80"/>
                              <w:ind w:left="644"/>
                              <w:rPr>
                                <w:rFonts w:ascii="Segoe UI" w:hAnsi="Segoe UI" w:cs="Segoe UI"/>
                                <w:sz w:val="16"/>
                                <w:szCs w:val="16"/>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9" type="#_x0000_t202" style="width:509.6pt;height:5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" fillcolor="#f1f1f1" stroked="f">
                <v:fill opacity="58853f"/>
                <v:textbox>
                  <w:txbxContent>
                    <w:p w:rsidR="00D95F56" w:rsidRPr="007C5F0D" w:rsidRDefault="00D95F56" w:rsidP="007C5F0D">
                      <w:pPr>
                        <w:pStyle w:val="a7"/>
                        <w:numPr>
                          <w:ilvl w:val="0"/>
                          <w:numId w:val="6"/>
                        </w:numPr>
                        <w:spacing w:before="120" w:after="0" w:line="276" w:lineRule="auto"/>
                        <w:jc w:val="left"/>
                        <w:rPr>
                          <w:rFonts w:ascii="Segoe UI" w:hAnsi="Segoe UI" w:cs="Segoe UI"/>
                          <w:b/>
                          <w:sz w:val="16"/>
                          <w:szCs w:val="16"/>
                        </w:rPr>
                      </w:pPr>
                      <w:r w:rsidRPr="007C5F0D">
                        <w:rPr>
                          <w:rFonts w:ascii="Segoe UI" w:hAnsi="Segoe UI" w:cs="Segoe UI"/>
                          <w:b/>
                          <w:sz w:val="16"/>
                          <w:szCs w:val="16"/>
                        </w:rPr>
                        <w:t xml:space="preserve">Η ΕΤΕ </w:t>
                      </w:r>
                      <w:r>
                        <w:rPr>
                          <w:rFonts w:ascii="Segoe UI" w:hAnsi="Segoe UI" w:cs="Segoe UI"/>
                          <w:b/>
                          <w:sz w:val="16"/>
                          <w:szCs w:val="16"/>
                        </w:rPr>
                        <w:t>συνεχίζει να στηρίζει τους πελάτες της εν μέσω της κρίσης της πανδημίας.</w:t>
                      </w:r>
                      <w:r w:rsidRPr="0007577C">
                        <w:rPr>
                          <w:rFonts w:ascii="Segoe UI" w:hAnsi="Segoe UI" w:cs="Segoe UI"/>
                          <w:b/>
                          <w:sz w:val="16"/>
                          <w:szCs w:val="16"/>
                        </w:rPr>
                        <w:t xml:space="preserve"> </w:t>
                      </w:r>
                      <w:r>
                        <w:rPr>
                          <w:rFonts w:ascii="Segoe UI" w:hAnsi="Segoe UI" w:cs="Segoe UI"/>
                          <w:b/>
                          <w:sz w:val="16"/>
                          <w:szCs w:val="16"/>
                        </w:rPr>
                        <w:t xml:space="preserve">Ο </w:t>
                      </w:r>
                      <w:r w:rsidRPr="007C5F0D">
                        <w:rPr>
                          <w:rFonts w:ascii="Segoe UI" w:hAnsi="Segoe UI" w:cs="Segoe UI"/>
                          <w:b/>
                          <w:sz w:val="16"/>
                          <w:szCs w:val="16"/>
                        </w:rPr>
                        <w:t>ψηφιακ</w:t>
                      </w:r>
                      <w:r>
                        <w:rPr>
                          <w:rFonts w:ascii="Segoe UI" w:hAnsi="Segoe UI" w:cs="Segoe UI"/>
                          <w:b/>
                          <w:sz w:val="16"/>
                          <w:szCs w:val="16"/>
                        </w:rPr>
                        <w:t xml:space="preserve">ός </w:t>
                      </w:r>
                      <w:r w:rsidRPr="007C5F0D">
                        <w:rPr>
                          <w:rFonts w:ascii="Segoe UI" w:hAnsi="Segoe UI" w:cs="Segoe UI"/>
                          <w:b/>
                          <w:sz w:val="16"/>
                          <w:szCs w:val="16"/>
                        </w:rPr>
                        <w:t>μετασχηματισμ</w:t>
                      </w:r>
                      <w:r>
                        <w:rPr>
                          <w:rFonts w:ascii="Segoe UI" w:hAnsi="Segoe UI" w:cs="Segoe UI"/>
                          <w:b/>
                          <w:sz w:val="16"/>
                          <w:szCs w:val="16"/>
                        </w:rPr>
                        <w:t xml:space="preserve">ός της Τράπεζας συνεχίζεται με αμείωτους ρυθμούς </w:t>
                      </w:r>
                    </w:p>
                    <w:p w:rsidR="00D95F56" w:rsidRPr="001F6149" w:rsidRDefault="00D95F56" w:rsidP="00A2270B">
                      <w:pPr>
                        <w:numPr>
                          <w:ilvl w:val="1"/>
                          <w:numId w:val="6"/>
                        </w:numPr>
                        <w:spacing w:before="80"/>
                        <w:rPr>
                          <w:rFonts w:ascii="Segoe UI" w:hAnsi="Segoe UI" w:cs="Segoe UI"/>
                          <w:sz w:val="16"/>
                          <w:szCs w:val="16"/>
                        </w:rPr>
                      </w:pPr>
                      <w:r>
                        <w:rPr>
                          <w:rFonts w:ascii="Segoe UI" w:hAnsi="Segoe UI" w:cs="Segoe UI"/>
                          <w:sz w:val="16"/>
                          <w:szCs w:val="16"/>
                        </w:rPr>
                        <w:t>Τα μέτρα διευκόλυνσης</w:t>
                      </w:r>
                      <w:r w:rsidRPr="001F6149">
                        <w:rPr>
                          <w:rFonts w:ascii="Segoe UI" w:hAnsi="Segoe UI" w:cs="Segoe UI"/>
                          <w:sz w:val="16"/>
                          <w:szCs w:val="16"/>
                        </w:rPr>
                        <w:t xml:space="preserve"> </w:t>
                      </w:r>
                      <w:r>
                        <w:rPr>
                          <w:rFonts w:ascii="Segoe UI" w:hAnsi="Segoe UI" w:cs="Segoe UI"/>
                          <w:sz w:val="16"/>
                          <w:szCs w:val="16"/>
                        </w:rPr>
                        <w:t xml:space="preserve">καταβολής οφειλών </w:t>
                      </w:r>
                      <w:r w:rsidRPr="001F6149">
                        <w:rPr>
                          <w:rFonts w:ascii="Segoe UI" w:hAnsi="Segoe UI" w:cs="Segoe UI"/>
                          <w:sz w:val="16"/>
                          <w:szCs w:val="16"/>
                        </w:rPr>
                        <w:t>επιχειρήσε</w:t>
                      </w:r>
                      <w:r>
                        <w:rPr>
                          <w:rFonts w:ascii="Segoe UI" w:hAnsi="Segoe UI" w:cs="Segoe UI"/>
                          <w:sz w:val="16"/>
                          <w:szCs w:val="16"/>
                        </w:rPr>
                        <w:t xml:space="preserve">ων </w:t>
                      </w:r>
                      <w:r w:rsidRPr="001F6149">
                        <w:rPr>
                          <w:rFonts w:ascii="Segoe UI" w:hAnsi="Segoe UI" w:cs="Segoe UI"/>
                          <w:sz w:val="16"/>
                          <w:szCs w:val="16"/>
                        </w:rPr>
                        <w:t xml:space="preserve">και </w:t>
                      </w:r>
                      <w:r>
                        <w:rPr>
                          <w:rFonts w:ascii="Segoe UI" w:hAnsi="Segoe UI" w:cs="Segoe UI"/>
                          <w:sz w:val="16"/>
                          <w:szCs w:val="16"/>
                        </w:rPr>
                        <w:t xml:space="preserve">φυσικών προσώπων </w:t>
                      </w:r>
                      <w:r w:rsidRPr="001F6149">
                        <w:rPr>
                          <w:rFonts w:ascii="Segoe UI" w:hAnsi="Segoe UI" w:cs="Segoe UI"/>
                          <w:sz w:val="16"/>
                          <w:szCs w:val="16"/>
                        </w:rPr>
                        <w:t xml:space="preserve">αντιστοιχούν σε </w:t>
                      </w:r>
                      <w:r>
                        <w:rPr>
                          <w:rFonts w:ascii="Segoe UI" w:hAnsi="Segoe UI" w:cs="Segoe UI"/>
                          <w:sz w:val="16"/>
                          <w:szCs w:val="16"/>
                        </w:rPr>
                        <w:t xml:space="preserve">εγκεκριμένα </w:t>
                      </w:r>
                      <w:r w:rsidRPr="001F6149">
                        <w:rPr>
                          <w:rFonts w:ascii="Segoe UI" w:hAnsi="Segoe UI" w:cs="Segoe UI"/>
                          <w:sz w:val="16"/>
                          <w:szCs w:val="16"/>
                        </w:rPr>
                        <w:t>υπόλοιπα δανείων ύψους περίπου</w:t>
                      </w:r>
                      <w:r w:rsidRPr="00F77879">
                        <w:rPr>
                          <w:rFonts w:ascii="Segoe UI" w:hAnsi="Segoe UI" w:cs="Segoe UI"/>
                          <w:sz w:val="16"/>
                          <w:szCs w:val="16"/>
                        </w:rPr>
                        <w:t xml:space="preserve"> </w:t>
                      </w:r>
                      <w:r>
                        <w:rPr>
                          <w:rFonts w:ascii="Segoe UI" w:hAnsi="Segoe UI" w:cs="Segoe UI"/>
                          <w:sz w:val="16"/>
                          <w:szCs w:val="16"/>
                        </w:rPr>
                        <w:t>€3,6</w:t>
                      </w:r>
                      <w:r w:rsidRPr="001F6149">
                        <w:rPr>
                          <w:rFonts w:ascii="Segoe UI" w:hAnsi="Segoe UI" w:cs="Segoe UI"/>
                          <w:sz w:val="16"/>
                          <w:szCs w:val="16"/>
                        </w:rPr>
                        <w:t xml:space="preserve"> δισ.</w:t>
                      </w:r>
                      <w:r>
                        <w:rPr>
                          <w:rFonts w:ascii="Segoe UI" w:hAnsi="Segoe UI" w:cs="Segoe UI"/>
                          <w:sz w:val="16"/>
                          <w:szCs w:val="16"/>
                        </w:rPr>
                        <w:t xml:space="preserve">, εκ των οποίων €1,2 </w:t>
                      </w:r>
                      <w:r w:rsidRPr="001F6149">
                        <w:rPr>
                          <w:rFonts w:ascii="Segoe UI" w:hAnsi="Segoe UI" w:cs="Segoe UI"/>
                          <w:sz w:val="16"/>
                          <w:szCs w:val="16"/>
                        </w:rPr>
                        <w:t>δισ.</w:t>
                      </w:r>
                      <w:r>
                        <w:rPr>
                          <w:rFonts w:ascii="Segoe UI" w:hAnsi="Segoe UI" w:cs="Segoe UI"/>
                          <w:sz w:val="16"/>
                          <w:szCs w:val="16"/>
                        </w:rPr>
                        <w:t xml:space="preserve"> στεγαστικά δάνεια, €0,2 </w:t>
                      </w:r>
                      <w:r w:rsidRPr="001F6149">
                        <w:rPr>
                          <w:rFonts w:ascii="Segoe UI" w:hAnsi="Segoe UI" w:cs="Segoe UI"/>
                          <w:sz w:val="16"/>
                          <w:szCs w:val="16"/>
                        </w:rPr>
                        <w:t>δισ.</w:t>
                      </w:r>
                      <w:r>
                        <w:rPr>
                          <w:rFonts w:ascii="Segoe UI" w:hAnsi="Segoe UI" w:cs="Segoe UI"/>
                          <w:sz w:val="16"/>
                          <w:szCs w:val="16"/>
                        </w:rPr>
                        <w:t xml:space="preserve"> καταναλωτικά δάνεια </w:t>
                      </w:r>
                      <w:r w:rsidR="00D17ED6">
                        <w:rPr>
                          <w:rFonts w:ascii="Segoe UI" w:hAnsi="Segoe UI" w:cs="Segoe UI"/>
                          <w:sz w:val="16"/>
                          <w:szCs w:val="16"/>
                        </w:rPr>
                        <w:t>και δάνεια προς μικρ</w:t>
                      </w:r>
                      <w:r w:rsidR="00014247">
                        <w:rPr>
                          <w:rFonts w:ascii="Segoe UI" w:hAnsi="Segoe UI" w:cs="Segoe UI"/>
                          <w:sz w:val="16"/>
                          <w:szCs w:val="16"/>
                        </w:rPr>
                        <w:t>ές</w:t>
                      </w:r>
                      <w:r w:rsidR="00D17ED6">
                        <w:rPr>
                          <w:rFonts w:ascii="Segoe UI" w:hAnsi="Segoe UI" w:cs="Segoe UI"/>
                          <w:sz w:val="16"/>
                          <w:szCs w:val="16"/>
                        </w:rPr>
                        <w:t xml:space="preserve"> επιχειρ</w:t>
                      </w:r>
                      <w:r w:rsidR="00843FE6">
                        <w:rPr>
                          <w:rFonts w:ascii="Segoe UI" w:hAnsi="Segoe UI" w:cs="Segoe UI"/>
                          <w:sz w:val="16"/>
                          <w:szCs w:val="16"/>
                        </w:rPr>
                        <w:t xml:space="preserve">ήσεις </w:t>
                      </w:r>
                      <w:r>
                        <w:rPr>
                          <w:rFonts w:ascii="Segoe UI" w:hAnsi="Segoe UI" w:cs="Segoe UI"/>
                          <w:sz w:val="16"/>
                          <w:szCs w:val="16"/>
                        </w:rPr>
                        <w:t xml:space="preserve">και €2,1 </w:t>
                      </w:r>
                      <w:r w:rsidRPr="001F6149">
                        <w:rPr>
                          <w:rFonts w:ascii="Segoe UI" w:hAnsi="Segoe UI" w:cs="Segoe UI"/>
                          <w:sz w:val="16"/>
                          <w:szCs w:val="16"/>
                        </w:rPr>
                        <w:t>δισ.</w:t>
                      </w:r>
                      <w:r>
                        <w:rPr>
                          <w:rFonts w:ascii="Segoe UI" w:hAnsi="Segoe UI" w:cs="Segoe UI"/>
                          <w:sz w:val="16"/>
                          <w:szCs w:val="16"/>
                        </w:rPr>
                        <w:t xml:space="preserve"> επιχειρηματικά δάνεια</w:t>
                      </w:r>
                    </w:p>
                    <w:p w:rsidR="00D95F56" w:rsidRDefault="00D95F56" w:rsidP="005713C1">
                      <w:pPr>
                        <w:numPr>
                          <w:ilvl w:val="1"/>
                          <w:numId w:val="6"/>
                        </w:numPr>
                        <w:spacing w:before="80"/>
                        <w:rPr>
                          <w:rFonts w:ascii="Segoe UI" w:hAnsi="Segoe UI" w:cs="Segoe UI"/>
                          <w:sz w:val="16"/>
                          <w:szCs w:val="16"/>
                        </w:rPr>
                      </w:pPr>
                      <w:r>
                        <w:rPr>
                          <w:rFonts w:ascii="Segoe UI" w:hAnsi="Segoe UI" w:cs="Segoe UI"/>
                          <w:sz w:val="16"/>
                          <w:szCs w:val="16"/>
                        </w:rPr>
                        <w:t>Ενεργή σ</w:t>
                      </w:r>
                      <w:r w:rsidRPr="00B03621">
                        <w:rPr>
                          <w:rFonts w:ascii="Segoe UI" w:hAnsi="Segoe UI" w:cs="Segoe UI"/>
                          <w:sz w:val="16"/>
                          <w:szCs w:val="16"/>
                        </w:rPr>
                        <w:t xml:space="preserve">υμμετοχή σε όλα τα </w:t>
                      </w:r>
                      <w:r>
                        <w:rPr>
                          <w:rFonts w:ascii="Segoe UI" w:hAnsi="Segoe UI" w:cs="Segoe UI"/>
                          <w:sz w:val="16"/>
                          <w:szCs w:val="16"/>
                        </w:rPr>
                        <w:t xml:space="preserve">κυβερνητικά </w:t>
                      </w:r>
                      <w:r w:rsidRPr="00B03621">
                        <w:rPr>
                          <w:rFonts w:ascii="Segoe UI" w:hAnsi="Segoe UI" w:cs="Segoe UI"/>
                          <w:sz w:val="16"/>
                          <w:szCs w:val="16"/>
                        </w:rPr>
                        <w:t>προγράμματα στήριξης</w:t>
                      </w:r>
                      <w:r>
                        <w:rPr>
                          <w:rFonts w:ascii="Segoe UI" w:hAnsi="Segoe UI" w:cs="Segoe UI"/>
                          <w:sz w:val="16"/>
                          <w:szCs w:val="16"/>
                        </w:rPr>
                        <w:t xml:space="preserve"> για την πανδημία του κορωνοϊού</w:t>
                      </w:r>
                      <w:r w:rsidRPr="00B03621">
                        <w:rPr>
                          <w:rFonts w:ascii="Segoe UI" w:hAnsi="Segoe UI" w:cs="Segoe UI"/>
                          <w:sz w:val="16"/>
                          <w:szCs w:val="16"/>
                        </w:rPr>
                        <w:t xml:space="preserve">, συμπεριλαμβανομένου του </w:t>
                      </w:r>
                      <w:r>
                        <w:rPr>
                          <w:rFonts w:ascii="Segoe UI" w:hAnsi="Segoe UI" w:cs="Segoe UI"/>
                          <w:sz w:val="16"/>
                          <w:szCs w:val="16"/>
                        </w:rPr>
                        <w:t>ΤΕΠΙΧ-ΙΙ</w:t>
                      </w:r>
                      <w:r w:rsidRPr="005713C1">
                        <w:rPr>
                          <w:rFonts w:ascii="Segoe UI" w:hAnsi="Segoe UI" w:cs="Segoe UI"/>
                          <w:sz w:val="16"/>
                          <w:szCs w:val="16"/>
                        </w:rPr>
                        <w:t xml:space="preserve"> </w:t>
                      </w:r>
                      <w:r>
                        <w:rPr>
                          <w:rFonts w:ascii="Segoe UI" w:hAnsi="Segoe UI" w:cs="Segoe UI"/>
                          <w:sz w:val="16"/>
                          <w:szCs w:val="16"/>
                        </w:rPr>
                        <w:t xml:space="preserve">(έγκριση </w:t>
                      </w:r>
                      <w:r w:rsidRPr="000F5E8A">
                        <w:rPr>
                          <w:rFonts w:ascii="Segoe UI" w:hAnsi="Segoe UI" w:cs="Segoe UI"/>
                          <w:sz w:val="16"/>
                          <w:szCs w:val="16"/>
                        </w:rPr>
                        <w:t>5</w:t>
                      </w:r>
                      <w:r>
                        <w:rPr>
                          <w:rFonts w:ascii="Segoe UI" w:hAnsi="Segoe UI" w:cs="Segoe UI"/>
                          <w:sz w:val="16"/>
                          <w:szCs w:val="16"/>
                        </w:rPr>
                        <w:t>,</w:t>
                      </w:r>
                      <w:r w:rsidRPr="000F5E8A">
                        <w:rPr>
                          <w:rFonts w:ascii="Segoe UI" w:hAnsi="Segoe UI" w:cs="Segoe UI"/>
                          <w:sz w:val="16"/>
                          <w:szCs w:val="16"/>
                        </w:rPr>
                        <w:t>1</w:t>
                      </w:r>
                      <w:r>
                        <w:rPr>
                          <w:rFonts w:ascii="Segoe UI" w:hAnsi="Segoe UI" w:cs="Segoe UI"/>
                          <w:sz w:val="16"/>
                          <w:szCs w:val="16"/>
                        </w:rPr>
                        <w:t xml:space="preserve"> </w:t>
                      </w:r>
                      <w:r w:rsidRPr="00CD253C">
                        <w:rPr>
                          <w:rFonts w:ascii="Segoe UI" w:hAnsi="Segoe UI" w:cs="Segoe UI"/>
                          <w:sz w:val="16"/>
                          <w:szCs w:val="16"/>
                        </w:rPr>
                        <w:t xml:space="preserve">χιλ. </w:t>
                      </w:r>
                      <w:r>
                        <w:rPr>
                          <w:rFonts w:ascii="Segoe UI" w:hAnsi="Segoe UI" w:cs="Segoe UI"/>
                          <w:sz w:val="16"/>
                          <w:szCs w:val="16"/>
                        </w:rPr>
                        <w:t>αιτήσεων και περίπου €0,</w:t>
                      </w:r>
                      <w:r w:rsidR="00EA2F85">
                        <w:rPr>
                          <w:rFonts w:ascii="Segoe UI" w:hAnsi="Segoe UI" w:cs="Segoe UI"/>
                          <w:sz w:val="16"/>
                          <w:szCs w:val="16"/>
                        </w:rPr>
                        <w:t>4</w:t>
                      </w:r>
                      <w:r>
                        <w:rPr>
                          <w:rFonts w:ascii="Segoe UI" w:hAnsi="Segoe UI" w:cs="Segoe UI"/>
                          <w:sz w:val="16"/>
                          <w:szCs w:val="16"/>
                        </w:rPr>
                        <w:t xml:space="preserve"> δισ. δανείων), των δανείων με εγγύηση Δημοσίου </w:t>
                      </w:r>
                      <w:r w:rsidRPr="002D44B8">
                        <w:rPr>
                          <w:rFonts w:ascii="Segoe UI" w:hAnsi="Segoe UI" w:cs="Segoe UI"/>
                          <w:sz w:val="16"/>
                          <w:szCs w:val="16"/>
                        </w:rPr>
                        <w:t>για κεφάλαι</w:t>
                      </w:r>
                      <w:r>
                        <w:rPr>
                          <w:rFonts w:ascii="Segoe UI" w:hAnsi="Segoe UI" w:cs="Segoe UI"/>
                          <w:sz w:val="16"/>
                          <w:szCs w:val="16"/>
                        </w:rPr>
                        <w:t>ο</w:t>
                      </w:r>
                      <w:r w:rsidRPr="002D44B8">
                        <w:rPr>
                          <w:rFonts w:ascii="Segoe UI" w:hAnsi="Segoe UI" w:cs="Segoe UI"/>
                          <w:sz w:val="16"/>
                          <w:szCs w:val="16"/>
                        </w:rPr>
                        <w:t xml:space="preserve"> κίνησης επιχειρήσε</w:t>
                      </w:r>
                      <w:r>
                        <w:rPr>
                          <w:rFonts w:ascii="Segoe UI" w:hAnsi="Segoe UI" w:cs="Segoe UI"/>
                          <w:sz w:val="16"/>
                          <w:szCs w:val="16"/>
                        </w:rPr>
                        <w:t xml:space="preserve">ων </w:t>
                      </w:r>
                      <w:r w:rsidRPr="0035570A">
                        <w:rPr>
                          <w:rFonts w:ascii="Segoe UI" w:hAnsi="Segoe UI" w:cs="Segoe UI"/>
                          <w:sz w:val="16"/>
                          <w:szCs w:val="16"/>
                        </w:rPr>
                        <w:t xml:space="preserve">(εγκεκριμένα δάνεια </w:t>
                      </w:r>
                      <w:r>
                        <w:rPr>
                          <w:rFonts w:ascii="Segoe UI" w:hAnsi="Segoe UI" w:cs="Segoe UI"/>
                          <w:sz w:val="16"/>
                          <w:szCs w:val="16"/>
                        </w:rPr>
                        <w:t>πλέον των</w:t>
                      </w:r>
                      <w:r w:rsidRPr="0035570A">
                        <w:rPr>
                          <w:rFonts w:ascii="Segoe UI" w:hAnsi="Segoe UI" w:cs="Segoe UI"/>
                          <w:sz w:val="16"/>
                          <w:szCs w:val="16"/>
                        </w:rPr>
                        <w:t xml:space="preserve"> €</w:t>
                      </w:r>
                      <w:r w:rsidRPr="004C7538">
                        <w:rPr>
                          <w:rFonts w:ascii="Segoe UI" w:hAnsi="Segoe UI" w:cs="Segoe UI"/>
                          <w:sz w:val="16"/>
                          <w:szCs w:val="16"/>
                        </w:rPr>
                        <w:t>800</w:t>
                      </w:r>
                      <w:r w:rsidRPr="0035570A">
                        <w:rPr>
                          <w:rFonts w:ascii="Segoe UI" w:hAnsi="Segoe UI" w:cs="Segoe UI"/>
                          <w:sz w:val="16"/>
                          <w:szCs w:val="16"/>
                        </w:rPr>
                        <w:t xml:space="preserve"> εκατ.</w:t>
                      </w:r>
                      <w:r>
                        <w:rPr>
                          <w:rFonts w:ascii="Segoe UI" w:hAnsi="Segoe UI" w:cs="Segoe UI"/>
                          <w:sz w:val="16"/>
                          <w:szCs w:val="16"/>
                        </w:rPr>
                        <w:t xml:space="preserve">), καθώς και </w:t>
                      </w:r>
                      <w:r w:rsidRPr="007301C3">
                        <w:rPr>
                          <w:rFonts w:ascii="Segoe UI" w:hAnsi="Segoe UI" w:cs="Segoe UI"/>
                          <w:sz w:val="16"/>
                          <w:szCs w:val="16"/>
                        </w:rPr>
                        <w:t xml:space="preserve">των δανείων </w:t>
                      </w:r>
                      <w:r>
                        <w:rPr>
                          <w:rFonts w:ascii="Segoe UI" w:hAnsi="Segoe UI" w:cs="Segoe UI"/>
                          <w:sz w:val="16"/>
                          <w:szCs w:val="16"/>
                        </w:rPr>
                        <w:t xml:space="preserve">σε επιχειρήσεις με επιδότηση επιτοκίου </w:t>
                      </w:r>
                      <w:r w:rsidRPr="00DF19A6">
                        <w:rPr>
                          <w:rFonts w:ascii="Segoe UI" w:hAnsi="Segoe UI" w:cs="Segoe UI"/>
                          <w:sz w:val="16"/>
                          <w:szCs w:val="16"/>
                        </w:rPr>
                        <w:t xml:space="preserve">(περίπου </w:t>
                      </w:r>
                      <w:r w:rsidR="00EA2F85">
                        <w:rPr>
                          <w:rFonts w:ascii="Segoe UI" w:hAnsi="Segoe UI" w:cs="Segoe UI"/>
                          <w:sz w:val="16"/>
                          <w:szCs w:val="16"/>
                        </w:rPr>
                        <w:t>10,6</w:t>
                      </w:r>
                      <w:r w:rsidRPr="00DF19A6">
                        <w:rPr>
                          <w:rFonts w:ascii="Segoe UI" w:hAnsi="Segoe UI" w:cs="Segoe UI"/>
                          <w:sz w:val="16"/>
                          <w:szCs w:val="16"/>
                        </w:rPr>
                        <w:t xml:space="preserve"> χιλ. </w:t>
                      </w:r>
                      <w:r w:rsidR="00EA2F85">
                        <w:rPr>
                          <w:rFonts w:ascii="Segoe UI" w:hAnsi="Segoe UI" w:cs="Segoe UI"/>
                          <w:sz w:val="16"/>
                          <w:szCs w:val="16"/>
                        </w:rPr>
                        <w:t xml:space="preserve">λογαριασμοί </w:t>
                      </w:r>
                      <w:r>
                        <w:rPr>
                          <w:rFonts w:ascii="Segoe UI" w:hAnsi="Segoe UI" w:cs="Segoe UI"/>
                          <w:sz w:val="16"/>
                          <w:szCs w:val="16"/>
                        </w:rPr>
                        <w:t xml:space="preserve">κυρίως μικρών και μικρομεσαίων επιχειρήσεων που αντιστοιχούν σε </w:t>
                      </w:r>
                      <w:r w:rsidR="00EA2F85">
                        <w:rPr>
                          <w:rFonts w:ascii="Segoe UI" w:hAnsi="Segoe UI" w:cs="Segoe UI"/>
                          <w:sz w:val="16"/>
                          <w:szCs w:val="16"/>
                        </w:rPr>
                        <w:t xml:space="preserve">εγκεκριμένα </w:t>
                      </w:r>
                      <w:r w:rsidRPr="005713C1">
                        <w:rPr>
                          <w:rFonts w:ascii="Segoe UI" w:hAnsi="Segoe UI" w:cs="Segoe UI"/>
                          <w:sz w:val="16"/>
                          <w:szCs w:val="16"/>
                        </w:rPr>
                        <w:t>υπόλοιπα δανείων ύψους €</w:t>
                      </w:r>
                      <w:r>
                        <w:rPr>
                          <w:rFonts w:ascii="Segoe UI" w:hAnsi="Segoe UI" w:cs="Segoe UI"/>
                          <w:sz w:val="16"/>
                          <w:szCs w:val="16"/>
                        </w:rPr>
                        <w:t>2</w:t>
                      </w:r>
                      <w:r w:rsidRPr="005713C1">
                        <w:rPr>
                          <w:rFonts w:ascii="Segoe UI" w:hAnsi="Segoe UI" w:cs="Segoe UI"/>
                          <w:sz w:val="16"/>
                          <w:szCs w:val="16"/>
                        </w:rPr>
                        <w:t>,</w:t>
                      </w:r>
                      <w:r w:rsidRPr="009B4F0E">
                        <w:rPr>
                          <w:rFonts w:ascii="Segoe UI" w:hAnsi="Segoe UI" w:cs="Segoe UI"/>
                          <w:sz w:val="16"/>
                          <w:szCs w:val="16"/>
                        </w:rPr>
                        <w:t>3</w:t>
                      </w:r>
                      <w:r w:rsidRPr="005713C1">
                        <w:rPr>
                          <w:rFonts w:ascii="Segoe UI" w:hAnsi="Segoe UI" w:cs="Segoe UI"/>
                          <w:sz w:val="16"/>
                          <w:szCs w:val="16"/>
                        </w:rPr>
                        <w:t xml:space="preserve"> δισ.</w:t>
                      </w:r>
                      <w:r w:rsidRPr="00DF19A6">
                        <w:rPr>
                          <w:rFonts w:ascii="Segoe UI" w:hAnsi="Segoe UI" w:cs="Segoe UI"/>
                          <w:sz w:val="16"/>
                          <w:szCs w:val="16"/>
                        </w:rPr>
                        <w:t>)</w:t>
                      </w:r>
                    </w:p>
                    <w:p w:rsidR="00D95F56" w:rsidRDefault="00D95F56" w:rsidP="00E25180">
                      <w:pPr>
                        <w:numPr>
                          <w:ilvl w:val="1"/>
                          <w:numId w:val="6"/>
                        </w:numPr>
                        <w:spacing w:before="80"/>
                        <w:rPr>
                          <w:rFonts w:ascii="Segoe UI" w:hAnsi="Segoe UI" w:cs="Segoe UI"/>
                          <w:sz w:val="16"/>
                          <w:szCs w:val="16"/>
                        </w:rPr>
                      </w:pPr>
                      <w:r>
                        <w:rPr>
                          <w:rFonts w:ascii="Segoe UI" w:hAnsi="Segoe UI" w:cs="Segoe UI"/>
                          <w:sz w:val="16"/>
                          <w:szCs w:val="16"/>
                        </w:rPr>
                        <w:t xml:space="preserve">Δυνατότητα υπαγωγής στο κρατικό πρόγραμμα </w:t>
                      </w:r>
                      <w:r w:rsidRPr="00544440">
                        <w:rPr>
                          <w:rFonts w:ascii="Segoe UI" w:hAnsi="Segoe UI" w:cs="Segoe UI"/>
                          <w:sz w:val="16"/>
                          <w:szCs w:val="16"/>
                        </w:rPr>
                        <w:t>«</w:t>
                      </w:r>
                      <w:r>
                        <w:rPr>
                          <w:rFonts w:ascii="Segoe UI" w:hAnsi="Segoe UI" w:cs="Segoe UI"/>
                          <w:sz w:val="16"/>
                          <w:szCs w:val="16"/>
                        </w:rPr>
                        <w:t>Γέφυρα</w:t>
                      </w:r>
                      <w:r w:rsidRPr="00544440">
                        <w:rPr>
                          <w:rFonts w:ascii="Segoe UI" w:hAnsi="Segoe UI" w:cs="Segoe UI"/>
                          <w:sz w:val="16"/>
                          <w:szCs w:val="16"/>
                        </w:rPr>
                        <w:t xml:space="preserve">» </w:t>
                      </w:r>
                      <w:r>
                        <w:rPr>
                          <w:rFonts w:ascii="Segoe UI" w:hAnsi="Segoe UI" w:cs="Segoe UI"/>
                          <w:sz w:val="16"/>
                          <w:szCs w:val="16"/>
                        </w:rPr>
                        <w:t>επιδότησης δόσεων στεγαστικών</w:t>
                      </w:r>
                      <w:r w:rsidRPr="00544440">
                        <w:rPr>
                          <w:rFonts w:ascii="Segoe UI" w:hAnsi="Segoe UI" w:cs="Segoe UI"/>
                          <w:sz w:val="16"/>
                          <w:szCs w:val="16"/>
                        </w:rPr>
                        <w:t xml:space="preserve"> δανείων πρ</w:t>
                      </w:r>
                      <w:r>
                        <w:rPr>
                          <w:rFonts w:ascii="Segoe UI" w:hAnsi="Segoe UI" w:cs="Segoe UI"/>
                          <w:sz w:val="16"/>
                          <w:szCs w:val="16"/>
                        </w:rPr>
                        <w:t xml:space="preserve">ώτης </w:t>
                      </w:r>
                      <w:r w:rsidRPr="00544440">
                        <w:rPr>
                          <w:rFonts w:ascii="Segoe UI" w:hAnsi="Segoe UI" w:cs="Segoe UI"/>
                          <w:sz w:val="16"/>
                          <w:szCs w:val="16"/>
                        </w:rPr>
                        <w:t xml:space="preserve">κατοικίας </w:t>
                      </w:r>
                      <w:r>
                        <w:rPr>
                          <w:rFonts w:ascii="Segoe UI" w:hAnsi="Segoe UI" w:cs="Segoe UI"/>
                          <w:sz w:val="16"/>
                          <w:szCs w:val="16"/>
                        </w:rPr>
                        <w:t xml:space="preserve">σε πελάτες </w:t>
                      </w:r>
                      <w:r w:rsidRPr="00544440">
                        <w:rPr>
                          <w:rFonts w:ascii="Segoe UI" w:hAnsi="Segoe UI" w:cs="Segoe UI"/>
                          <w:sz w:val="16"/>
                          <w:szCs w:val="16"/>
                        </w:rPr>
                        <w:t xml:space="preserve">που επλήγησαν από τον </w:t>
                      </w:r>
                      <w:r>
                        <w:rPr>
                          <w:rFonts w:ascii="Segoe UI" w:hAnsi="Segoe UI" w:cs="Segoe UI"/>
                          <w:sz w:val="16"/>
                          <w:szCs w:val="16"/>
                        </w:rPr>
                        <w:t xml:space="preserve">κορωνοϊό. </w:t>
                      </w:r>
                      <w:r w:rsidRPr="00544440">
                        <w:rPr>
                          <w:rFonts w:ascii="Segoe UI" w:hAnsi="Segoe UI" w:cs="Segoe UI"/>
                          <w:sz w:val="16"/>
                          <w:szCs w:val="16"/>
                        </w:rPr>
                        <w:t xml:space="preserve">Οι </w:t>
                      </w:r>
                      <w:r>
                        <w:rPr>
                          <w:rFonts w:ascii="Segoe UI" w:hAnsi="Segoe UI" w:cs="Segoe UI"/>
                          <w:sz w:val="16"/>
                          <w:szCs w:val="16"/>
                        </w:rPr>
                        <w:t xml:space="preserve">δανειολήπτες </w:t>
                      </w:r>
                      <w:r w:rsidRPr="00544440">
                        <w:rPr>
                          <w:rFonts w:ascii="Segoe UI" w:hAnsi="Segoe UI" w:cs="Segoe UI"/>
                          <w:sz w:val="16"/>
                          <w:szCs w:val="16"/>
                        </w:rPr>
                        <w:t>της Εθνικής Τράπεζας</w:t>
                      </w:r>
                      <w:r>
                        <w:rPr>
                          <w:rFonts w:ascii="Segoe UI" w:hAnsi="Segoe UI" w:cs="Segoe UI"/>
                          <w:sz w:val="16"/>
                          <w:szCs w:val="16"/>
                        </w:rPr>
                        <w:t xml:space="preserve"> που μπορούν να </w:t>
                      </w:r>
                      <w:r w:rsidRPr="00544440">
                        <w:rPr>
                          <w:rFonts w:ascii="Segoe UI" w:hAnsi="Segoe UI" w:cs="Segoe UI"/>
                          <w:sz w:val="16"/>
                          <w:szCs w:val="16"/>
                        </w:rPr>
                        <w:t>λάβουν τ</w:t>
                      </w:r>
                      <w:r>
                        <w:rPr>
                          <w:rFonts w:ascii="Segoe UI" w:hAnsi="Segoe UI" w:cs="Segoe UI"/>
                          <w:sz w:val="16"/>
                          <w:szCs w:val="16"/>
                        </w:rPr>
                        <w:t>ην</w:t>
                      </w:r>
                      <w:r w:rsidRPr="00544440">
                        <w:rPr>
                          <w:rFonts w:ascii="Segoe UI" w:hAnsi="Segoe UI" w:cs="Segoe UI"/>
                          <w:sz w:val="16"/>
                          <w:szCs w:val="16"/>
                        </w:rPr>
                        <w:t xml:space="preserve"> επιδότηση </w:t>
                      </w:r>
                      <w:r w:rsidRPr="00E25180">
                        <w:rPr>
                          <w:rFonts w:ascii="Segoe UI" w:hAnsi="Segoe UI" w:cs="Segoe UI"/>
                          <w:sz w:val="16"/>
                          <w:szCs w:val="16"/>
                        </w:rPr>
                        <w:t xml:space="preserve">αντιστοιχούν σε υπόλοιπα δανείων ύψους περίπου </w:t>
                      </w:r>
                      <w:r>
                        <w:rPr>
                          <w:rFonts w:ascii="Segoe UI" w:hAnsi="Segoe UI" w:cs="Segoe UI"/>
                          <w:sz w:val="16"/>
                          <w:szCs w:val="16"/>
                        </w:rPr>
                        <w:t>€</w:t>
                      </w:r>
                      <w:r w:rsidRPr="00544440">
                        <w:rPr>
                          <w:rFonts w:ascii="Segoe UI" w:hAnsi="Segoe UI" w:cs="Segoe UI"/>
                          <w:sz w:val="16"/>
                          <w:szCs w:val="16"/>
                        </w:rPr>
                        <w:t>1,</w:t>
                      </w:r>
                      <w:r w:rsidR="008E1203">
                        <w:rPr>
                          <w:rFonts w:ascii="Segoe UI" w:hAnsi="Segoe UI" w:cs="Segoe UI"/>
                          <w:sz w:val="16"/>
                          <w:szCs w:val="16"/>
                        </w:rPr>
                        <w:t>2</w:t>
                      </w:r>
                      <w:r>
                        <w:rPr>
                          <w:rFonts w:ascii="Segoe UI" w:hAnsi="Segoe UI" w:cs="Segoe UI"/>
                          <w:sz w:val="16"/>
                          <w:szCs w:val="16"/>
                        </w:rPr>
                        <w:t xml:space="preserve"> δισ.</w:t>
                      </w:r>
                      <w:r w:rsidRPr="008C6D28">
                        <w:rPr>
                          <w:rFonts w:ascii="Segoe UI" w:hAnsi="Segoe UI" w:cs="Segoe UI"/>
                          <w:sz w:val="16"/>
                          <w:szCs w:val="16"/>
                        </w:rPr>
                        <w:t xml:space="preserve"> </w:t>
                      </w:r>
                      <w:r>
                        <w:rPr>
                          <w:rFonts w:ascii="Segoe UI" w:hAnsi="Segoe UI" w:cs="Segoe UI"/>
                          <w:sz w:val="16"/>
                          <w:szCs w:val="16"/>
                        </w:rPr>
                        <w:t>μέχρι σήμερα,</w:t>
                      </w:r>
                      <w:r w:rsidRPr="004E447D">
                        <w:rPr>
                          <w:rFonts w:ascii="Segoe UI" w:hAnsi="Segoe UI" w:cs="Segoe UI"/>
                          <w:sz w:val="16"/>
                          <w:szCs w:val="16"/>
                        </w:rPr>
                        <w:t xml:space="preserve"> </w:t>
                      </w:r>
                      <w:r>
                        <w:rPr>
                          <w:rFonts w:ascii="Segoe UI" w:hAnsi="Segoe UI" w:cs="Segoe UI"/>
                          <w:sz w:val="16"/>
                          <w:szCs w:val="16"/>
                        </w:rPr>
                        <w:t xml:space="preserve">εκ των οποίων περίπου το </w:t>
                      </w:r>
                      <w:r w:rsidRPr="00B241B1">
                        <w:rPr>
                          <w:rFonts w:ascii="Segoe UI" w:hAnsi="Segoe UI" w:cs="Segoe UI"/>
                          <w:sz w:val="16"/>
                          <w:szCs w:val="16"/>
                        </w:rPr>
                        <w:t xml:space="preserve">40% </w:t>
                      </w:r>
                      <w:r>
                        <w:rPr>
                          <w:rFonts w:ascii="Segoe UI" w:hAnsi="Segoe UI" w:cs="Segoe UI"/>
                          <w:sz w:val="16"/>
                          <w:szCs w:val="16"/>
                        </w:rPr>
                        <w:t>έχει εντάξει σε ρύθμιση τις οφειλές του</w:t>
                      </w:r>
                    </w:p>
                    <w:p w:rsidR="00D95F56" w:rsidRDefault="00D95F56" w:rsidP="00BC1604">
                      <w:pPr>
                        <w:numPr>
                          <w:ilvl w:val="1"/>
                          <w:numId w:val="6"/>
                        </w:numPr>
                        <w:spacing w:before="80"/>
                        <w:rPr>
                          <w:rFonts w:ascii="Segoe UI" w:hAnsi="Segoe UI" w:cs="Segoe UI"/>
                          <w:sz w:val="16"/>
                          <w:szCs w:val="16"/>
                        </w:rPr>
                      </w:pPr>
                      <w:r w:rsidRPr="00BC1604">
                        <w:rPr>
                          <w:rFonts w:ascii="Segoe UI" w:hAnsi="Segoe UI" w:cs="Segoe UI"/>
                          <w:sz w:val="16"/>
                          <w:szCs w:val="16"/>
                        </w:rPr>
                        <w:t xml:space="preserve">Μετά </w:t>
                      </w:r>
                      <w:r>
                        <w:rPr>
                          <w:rFonts w:ascii="Segoe UI" w:hAnsi="Segoe UI" w:cs="Segoe UI"/>
                          <w:sz w:val="16"/>
                          <w:szCs w:val="16"/>
                        </w:rPr>
                        <w:t xml:space="preserve">τη λήξη των μέτρων διευκόλυνσης </w:t>
                      </w:r>
                      <w:r w:rsidRPr="00277D80">
                        <w:rPr>
                          <w:rFonts w:ascii="Segoe UI" w:hAnsi="Segoe UI" w:cs="Segoe UI"/>
                          <w:sz w:val="16"/>
                          <w:szCs w:val="16"/>
                        </w:rPr>
                        <w:t>καταβολής οφειλών</w:t>
                      </w:r>
                      <w:r w:rsidRPr="00BC1604">
                        <w:rPr>
                          <w:rFonts w:ascii="Segoe UI" w:hAnsi="Segoe UI" w:cs="Segoe UI"/>
                          <w:sz w:val="16"/>
                          <w:szCs w:val="16"/>
                        </w:rPr>
                        <w:t xml:space="preserve">, </w:t>
                      </w:r>
                      <w:r w:rsidR="003D315E">
                        <w:rPr>
                          <w:rFonts w:ascii="Segoe UI" w:hAnsi="Segoe UI" w:cs="Segoe UI"/>
                          <w:sz w:val="16"/>
                          <w:szCs w:val="16"/>
                        </w:rPr>
                        <w:t>κατάλληλ</w:t>
                      </w:r>
                      <w:r w:rsidR="004F3D2E">
                        <w:rPr>
                          <w:rFonts w:ascii="Segoe UI" w:hAnsi="Segoe UI" w:cs="Segoe UI"/>
                          <w:sz w:val="16"/>
                          <w:szCs w:val="16"/>
                        </w:rPr>
                        <w:t xml:space="preserve">α προϊόντα </w:t>
                      </w:r>
                      <w:r w:rsidR="0094166A">
                        <w:rPr>
                          <w:rFonts w:ascii="Segoe UI" w:hAnsi="Segoe UI" w:cs="Segoe UI"/>
                          <w:sz w:val="16"/>
                          <w:szCs w:val="16"/>
                        </w:rPr>
                        <w:t xml:space="preserve">θα </w:t>
                      </w:r>
                      <w:r w:rsidR="004F3D2E">
                        <w:rPr>
                          <w:rFonts w:ascii="Segoe UI" w:hAnsi="Segoe UI" w:cs="Segoe UI"/>
                          <w:sz w:val="16"/>
                          <w:szCs w:val="16"/>
                        </w:rPr>
                        <w:t>προσφερθούν</w:t>
                      </w:r>
                      <w:r w:rsidR="0094166A">
                        <w:rPr>
                          <w:rFonts w:ascii="Segoe UI" w:hAnsi="Segoe UI" w:cs="Segoe UI"/>
                          <w:sz w:val="16"/>
                          <w:szCs w:val="16"/>
                        </w:rPr>
                        <w:t xml:space="preserve"> σ</w:t>
                      </w:r>
                      <w:r w:rsidRPr="00BC1604">
                        <w:rPr>
                          <w:rFonts w:ascii="Segoe UI" w:hAnsi="Segoe UI" w:cs="Segoe UI"/>
                          <w:sz w:val="16"/>
                          <w:szCs w:val="16"/>
                        </w:rPr>
                        <w:t xml:space="preserve">τους δανειολήπτες που </w:t>
                      </w:r>
                      <w:r>
                        <w:rPr>
                          <w:rFonts w:ascii="Segoe UI" w:hAnsi="Segoe UI" w:cs="Segoe UI"/>
                          <w:sz w:val="16"/>
                          <w:szCs w:val="16"/>
                        </w:rPr>
                        <w:t>ενδέχεται</w:t>
                      </w:r>
                      <w:r w:rsidRPr="00BC1604">
                        <w:rPr>
                          <w:rFonts w:ascii="Segoe UI" w:hAnsi="Segoe UI" w:cs="Segoe UI"/>
                          <w:sz w:val="16"/>
                          <w:szCs w:val="16"/>
                        </w:rPr>
                        <w:t xml:space="preserve"> να αντιμετωπίσουν </w:t>
                      </w:r>
                      <w:r>
                        <w:rPr>
                          <w:rFonts w:ascii="Segoe UI" w:hAnsi="Segoe UI" w:cs="Segoe UI"/>
                          <w:sz w:val="16"/>
                          <w:szCs w:val="16"/>
                        </w:rPr>
                        <w:t>προσωρινές δυσκολίες λόγω της κρίσης του κορωνοϊού</w:t>
                      </w:r>
                    </w:p>
                    <w:p w:rsidR="00D95F56" w:rsidRDefault="00D95F56" w:rsidP="00DB41A0">
                      <w:pPr>
                        <w:numPr>
                          <w:ilvl w:val="1"/>
                          <w:numId w:val="6"/>
                        </w:numPr>
                        <w:spacing w:before="80"/>
                        <w:rPr>
                          <w:rFonts w:ascii="Segoe UI" w:hAnsi="Segoe UI" w:cs="Segoe UI"/>
                          <w:sz w:val="16"/>
                          <w:szCs w:val="16"/>
                        </w:rPr>
                      </w:pPr>
                      <w:r w:rsidRPr="00600A1F">
                        <w:rPr>
                          <w:rFonts w:ascii="Segoe UI" w:hAnsi="Segoe UI" w:cs="Segoe UI"/>
                          <w:sz w:val="16"/>
                          <w:szCs w:val="16"/>
                        </w:rPr>
                        <w:t xml:space="preserve">Ο αριθμός των συναλλαγών </w:t>
                      </w:r>
                      <w:r>
                        <w:rPr>
                          <w:rFonts w:ascii="Segoe UI" w:hAnsi="Segoe UI" w:cs="Segoe UI"/>
                          <w:sz w:val="16"/>
                          <w:szCs w:val="16"/>
                        </w:rPr>
                        <w:t xml:space="preserve">στα </w:t>
                      </w:r>
                      <w:r w:rsidRPr="00600A1F">
                        <w:rPr>
                          <w:rFonts w:ascii="Segoe UI" w:hAnsi="Segoe UI" w:cs="Segoe UI"/>
                          <w:sz w:val="16"/>
                          <w:szCs w:val="16"/>
                        </w:rPr>
                        <w:t>καταστ</w:t>
                      </w:r>
                      <w:r>
                        <w:rPr>
                          <w:rFonts w:ascii="Segoe UI" w:hAnsi="Segoe UI" w:cs="Segoe UI"/>
                          <w:sz w:val="16"/>
                          <w:szCs w:val="16"/>
                        </w:rPr>
                        <w:t xml:space="preserve">ήματα </w:t>
                      </w:r>
                      <w:r w:rsidRPr="00600A1F">
                        <w:rPr>
                          <w:rFonts w:ascii="Segoe UI" w:hAnsi="Segoe UI" w:cs="Segoe UI"/>
                          <w:sz w:val="16"/>
                          <w:szCs w:val="16"/>
                        </w:rPr>
                        <w:t xml:space="preserve">μειώθηκε </w:t>
                      </w:r>
                      <w:r>
                        <w:rPr>
                          <w:rFonts w:ascii="Segoe UI" w:hAnsi="Segoe UI" w:cs="Segoe UI"/>
                          <w:sz w:val="16"/>
                          <w:szCs w:val="16"/>
                        </w:rPr>
                        <w:t xml:space="preserve">πλέον του </w:t>
                      </w:r>
                      <w:r w:rsidRPr="00600A1F">
                        <w:rPr>
                          <w:rFonts w:ascii="Segoe UI" w:hAnsi="Segoe UI" w:cs="Segoe UI"/>
                          <w:sz w:val="16"/>
                          <w:szCs w:val="16"/>
                        </w:rPr>
                        <w:t xml:space="preserve">60% τον Οκτώβριο σε σχέση με τα επίπεδα του Φεβρουαρίου, </w:t>
                      </w:r>
                      <w:r>
                        <w:rPr>
                          <w:rFonts w:ascii="Segoe UI" w:hAnsi="Segoe UI" w:cs="Segoe UI"/>
                          <w:sz w:val="16"/>
                          <w:szCs w:val="16"/>
                        </w:rPr>
                        <w:t xml:space="preserve">με τις </w:t>
                      </w:r>
                      <w:r w:rsidRPr="00600A1F">
                        <w:rPr>
                          <w:rFonts w:ascii="Segoe UI" w:hAnsi="Segoe UI" w:cs="Segoe UI"/>
                          <w:sz w:val="16"/>
                          <w:szCs w:val="16"/>
                        </w:rPr>
                        <w:t xml:space="preserve">συναλλαγές </w:t>
                      </w:r>
                      <w:r>
                        <w:rPr>
                          <w:rFonts w:ascii="Segoe UI" w:hAnsi="Segoe UI" w:cs="Segoe UI"/>
                          <w:sz w:val="16"/>
                          <w:szCs w:val="16"/>
                        </w:rPr>
                        <w:t xml:space="preserve">μέσω </w:t>
                      </w:r>
                      <w:r w:rsidRPr="00600A1F">
                        <w:rPr>
                          <w:rFonts w:ascii="Segoe UI" w:hAnsi="Segoe UI" w:cs="Segoe UI"/>
                          <w:sz w:val="16"/>
                          <w:szCs w:val="16"/>
                        </w:rPr>
                        <w:t xml:space="preserve">ψηφιακών και εναλλακτικών καναλιών </w:t>
                      </w:r>
                      <w:r>
                        <w:rPr>
                          <w:rFonts w:ascii="Segoe UI" w:hAnsi="Segoe UI" w:cs="Segoe UI"/>
                          <w:sz w:val="16"/>
                          <w:szCs w:val="16"/>
                        </w:rPr>
                        <w:t xml:space="preserve">να τις υπερκαλύπτουν, </w:t>
                      </w:r>
                      <w:r w:rsidRPr="00600A1F">
                        <w:rPr>
                          <w:rFonts w:ascii="Segoe UI" w:hAnsi="Segoe UI" w:cs="Segoe UI"/>
                          <w:sz w:val="16"/>
                          <w:szCs w:val="16"/>
                        </w:rPr>
                        <w:t>ενισχ</w:t>
                      </w:r>
                      <w:r>
                        <w:rPr>
                          <w:rFonts w:ascii="Segoe UI" w:hAnsi="Segoe UI" w:cs="Segoe UI"/>
                          <w:sz w:val="16"/>
                          <w:szCs w:val="16"/>
                        </w:rPr>
                        <w:t xml:space="preserve">υόμενες κατά </w:t>
                      </w:r>
                      <w:r w:rsidRPr="00600A1F">
                        <w:rPr>
                          <w:rFonts w:ascii="Segoe UI" w:hAnsi="Segoe UI" w:cs="Segoe UI"/>
                          <w:sz w:val="16"/>
                          <w:szCs w:val="16"/>
                        </w:rPr>
                        <w:t xml:space="preserve">33%. Οι συναλλαγές </w:t>
                      </w:r>
                      <w:r>
                        <w:rPr>
                          <w:rFonts w:ascii="Segoe UI" w:hAnsi="Segoe UI" w:cs="Segoe UI"/>
                          <w:sz w:val="16"/>
                          <w:szCs w:val="16"/>
                        </w:rPr>
                        <w:t xml:space="preserve">e-banking κατέγραψαν θεαματική αύξηση κατά </w:t>
                      </w:r>
                      <w:r w:rsidRPr="00600A1F">
                        <w:rPr>
                          <w:rFonts w:ascii="Segoe UI" w:hAnsi="Segoe UI" w:cs="Segoe UI"/>
                          <w:sz w:val="16"/>
                          <w:szCs w:val="16"/>
                        </w:rPr>
                        <w:t xml:space="preserve">71% κατά την ίδια περίοδο </w:t>
                      </w:r>
                    </w:p>
                    <w:p w:rsidR="00D95F56" w:rsidRDefault="00D95F56" w:rsidP="00DB41A0">
                      <w:pPr>
                        <w:numPr>
                          <w:ilvl w:val="1"/>
                          <w:numId w:val="6"/>
                        </w:numPr>
                        <w:spacing w:before="80"/>
                        <w:rPr>
                          <w:rFonts w:ascii="Segoe UI" w:hAnsi="Segoe UI" w:cs="Segoe UI"/>
                          <w:sz w:val="16"/>
                          <w:szCs w:val="16"/>
                        </w:rPr>
                      </w:pPr>
                      <w:r w:rsidRPr="00DB41A0">
                        <w:rPr>
                          <w:rFonts w:ascii="Segoe UI" w:hAnsi="Segoe UI" w:cs="Segoe UI"/>
                          <w:sz w:val="16"/>
                          <w:szCs w:val="16"/>
                        </w:rPr>
                        <w:t xml:space="preserve">Το μοντέλο εργασίας από το σπίτι συνεχίζει να λειτουργεί αποτελεσματικά, </w:t>
                      </w:r>
                      <w:r>
                        <w:rPr>
                          <w:rFonts w:ascii="Segoe UI" w:hAnsi="Segoe UI" w:cs="Segoe UI"/>
                          <w:sz w:val="16"/>
                          <w:szCs w:val="16"/>
                        </w:rPr>
                        <w:t xml:space="preserve">με το </w:t>
                      </w:r>
                      <w:r w:rsidRPr="00DB41A0">
                        <w:rPr>
                          <w:rFonts w:ascii="Segoe UI" w:hAnsi="Segoe UI" w:cs="Segoe UI"/>
                          <w:sz w:val="16"/>
                          <w:szCs w:val="16"/>
                        </w:rPr>
                        <w:t>ποσοστό του προσωπικ</w:t>
                      </w:r>
                      <w:r>
                        <w:rPr>
                          <w:rFonts w:ascii="Segoe UI" w:hAnsi="Segoe UI" w:cs="Segoe UI"/>
                          <w:sz w:val="16"/>
                          <w:szCs w:val="16"/>
                        </w:rPr>
                        <w:t>ού που εργάζεται εξ αποστάσεως να</w:t>
                      </w:r>
                      <w:r w:rsidRPr="00DB41A0">
                        <w:rPr>
                          <w:rFonts w:ascii="Segoe UI" w:hAnsi="Segoe UI" w:cs="Segoe UI"/>
                          <w:sz w:val="16"/>
                          <w:szCs w:val="16"/>
                        </w:rPr>
                        <w:t xml:space="preserve"> ανέρχεται σε περίπου 50% </w:t>
                      </w:r>
                    </w:p>
                    <w:p w:rsidR="00D95F56" w:rsidRPr="00DB41A0" w:rsidRDefault="00D95F56" w:rsidP="00C342A1">
                      <w:pPr>
                        <w:spacing w:before="80"/>
                        <w:ind w:left="644"/>
                        <w:rPr>
                          <w:rFonts w:ascii="Segoe UI" w:hAnsi="Segoe UI" w:cs="Segoe UI"/>
                          <w:sz w:val="16"/>
                          <w:szCs w:val="16"/>
                        </w:rPr>
                      </w:pPr>
                    </w:p>
                    <w:p w:rsidR="00D95F56" w:rsidRPr="00192FCD" w:rsidRDefault="00D95F56" w:rsidP="005E5A99">
                      <w:pPr>
                        <w:pStyle w:val="a7"/>
                        <w:numPr>
                          <w:ilvl w:val="0"/>
                          <w:numId w:val="6"/>
                        </w:numPr>
                        <w:spacing w:before="120" w:after="0" w:line="276" w:lineRule="auto"/>
                        <w:jc w:val="left"/>
                        <w:rPr>
                          <w:rFonts w:ascii="Segoe UI" w:hAnsi="Segoe UI" w:cs="Segoe UI"/>
                          <w:b/>
                          <w:sz w:val="16"/>
                          <w:szCs w:val="16"/>
                        </w:rPr>
                      </w:pPr>
                      <w:r>
                        <w:rPr>
                          <w:rFonts w:ascii="Segoe UI" w:hAnsi="Segoe UI" w:cs="Segoe UI"/>
                          <w:b/>
                          <w:sz w:val="16"/>
                          <w:szCs w:val="16"/>
                        </w:rPr>
                        <w:t>Τα κέρδη μετά από φόρους</w:t>
                      </w:r>
                      <w:r w:rsidRPr="005E5A99">
                        <w:rPr>
                          <w:rFonts w:ascii="Segoe UI" w:hAnsi="Segoe UI" w:cs="Segoe UI"/>
                          <w:b/>
                          <w:sz w:val="16"/>
                          <w:szCs w:val="16"/>
                          <w:vertAlign w:val="superscript"/>
                        </w:rPr>
                        <w:t>1</w:t>
                      </w:r>
                      <w:r>
                        <w:rPr>
                          <w:rFonts w:ascii="Segoe UI" w:hAnsi="Segoe UI" w:cs="Segoe UI"/>
                          <w:b/>
                          <w:sz w:val="16"/>
                          <w:szCs w:val="16"/>
                        </w:rPr>
                        <w:t xml:space="preserve"> ανήλθαν σε €137 εκατ</w:t>
                      </w:r>
                      <w:r w:rsidRPr="005E5A99">
                        <w:rPr>
                          <w:rFonts w:ascii="Segoe UI" w:hAnsi="Segoe UI" w:cs="Segoe UI"/>
                          <w:b/>
                          <w:sz w:val="16"/>
                          <w:szCs w:val="16"/>
                        </w:rPr>
                        <w:t>. το</w:t>
                      </w:r>
                      <w:r>
                        <w:rPr>
                          <w:rFonts w:ascii="Segoe UI" w:hAnsi="Segoe UI" w:cs="Segoe UI"/>
                          <w:b/>
                          <w:sz w:val="16"/>
                          <w:szCs w:val="16"/>
                        </w:rPr>
                        <w:t xml:space="preserve"> Γ</w:t>
                      </w:r>
                      <w:r w:rsidRPr="005C55AD">
                        <w:rPr>
                          <w:rFonts w:ascii="Segoe UI" w:hAnsi="Segoe UI" w:cs="Segoe UI"/>
                          <w:b/>
                          <w:sz w:val="16"/>
                          <w:szCs w:val="16"/>
                        </w:rPr>
                        <w:t xml:space="preserve">’ </w:t>
                      </w:r>
                      <w:r>
                        <w:rPr>
                          <w:rFonts w:ascii="Segoe UI" w:hAnsi="Segoe UI" w:cs="Segoe UI"/>
                          <w:b/>
                          <w:sz w:val="16"/>
                          <w:szCs w:val="16"/>
                        </w:rPr>
                        <w:t xml:space="preserve">τρίμηνο </w:t>
                      </w:r>
                      <w:r w:rsidRPr="005C55AD">
                        <w:rPr>
                          <w:rFonts w:ascii="Segoe UI" w:hAnsi="Segoe UI" w:cs="Segoe UI"/>
                          <w:b/>
                          <w:sz w:val="16"/>
                          <w:szCs w:val="16"/>
                        </w:rPr>
                        <w:t>2020</w:t>
                      </w:r>
                      <w:r>
                        <w:rPr>
                          <w:rFonts w:ascii="Segoe UI" w:hAnsi="Segoe UI" w:cs="Segoe UI"/>
                          <w:b/>
                          <w:sz w:val="16"/>
                          <w:szCs w:val="16"/>
                        </w:rPr>
                        <w:t xml:space="preserve"> από €58 εκατ. το</w:t>
                      </w:r>
                      <w:r w:rsidRPr="005E5A99">
                        <w:t xml:space="preserve"> </w:t>
                      </w:r>
                      <w:r>
                        <w:rPr>
                          <w:rFonts w:ascii="Segoe UI" w:hAnsi="Segoe UI" w:cs="Segoe UI"/>
                          <w:b/>
                          <w:sz w:val="16"/>
                          <w:szCs w:val="16"/>
                        </w:rPr>
                        <w:t>Β</w:t>
                      </w:r>
                      <w:r w:rsidRPr="005E5A99">
                        <w:rPr>
                          <w:rFonts w:ascii="Segoe UI" w:hAnsi="Segoe UI" w:cs="Segoe UI"/>
                          <w:b/>
                          <w:sz w:val="16"/>
                          <w:szCs w:val="16"/>
                        </w:rPr>
                        <w:t>’ τρίμηνο 2020</w:t>
                      </w:r>
                      <w:r>
                        <w:rPr>
                          <w:rFonts w:ascii="Segoe UI" w:hAnsi="Segoe UI" w:cs="Segoe UI"/>
                          <w:b/>
                          <w:sz w:val="16"/>
                          <w:szCs w:val="16"/>
                        </w:rPr>
                        <w:t xml:space="preserve">, </w:t>
                      </w:r>
                      <w:r w:rsidRPr="005E5A99">
                        <w:rPr>
                          <w:rFonts w:ascii="Segoe UI" w:hAnsi="Segoe UI" w:cs="Segoe UI"/>
                          <w:b/>
                          <w:sz w:val="16"/>
                          <w:szCs w:val="16"/>
                        </w:rPr>
                        <w:t xml:space="preserve">αντανακλώντας την </w:t>
                      </w:r>
                      <w:r>
                        <w:rPr>
                          <w:rFonts w:ascii="Segoe UI" w:hAnsi="Segoe UI" w:cs="Segoe UI"/>
                          <w:b/>
                          <w:sz w:val="16"/>
                          <w:szCs w:val="16"/>
                        </w:rPr>
                        <w:t xml:space="preserve">ισχυρή </w:t>
                      </w:r>
                      <w:r w:rsidRPr="005E5A99">
                        <w:rPr>
                          <w:rFonts w:ascii="Segoe UI" w:hAnsi="Segoe UI" w:cs="Segoe UI"/>
                          <w:b/>
                          <w:sz w:val="16"/>
                          <w:szCs w:val="16"/>
                        </w:rPr>
                        <w:t xml:space="preserve">ανάκαμψη των οργανικών εσόδων, τη διατήρηση της τάσης </w:t>
                      </w:r>
                      <w:r>
                        <w:rPr>
                          <w:rFonts w:ascii="Segoe UI" w:hAnsi="Segoe UI" w:cs="Segoe UI"/>
                          <w:b/>
                          <w:sz w:val="16"/>
                          <w:szCs w:val="16"/>
                        </w:rPr>
                        <w:t xml:space="preserve">μείωσης </w:t>
                      </w:r>
                      <w:r w:rsidRPr="005E5A99">
                        <w:rPr>
                          <w:rFonts w:ascii="Segoe UI" w:hAnsi="Segoe UI" w:cs="Segoe UI"/>
                          <w:b/>
                          <w:sz w:val="16"/>
                          <w:szCs w:val="16"/>
                        </w:rPr>
                        <w:t>των λειτουργικών εξόδων</w:t>
                      </w:r>
                      <w:r>
                        <w:rPr>
                          <w:rFonts w:ascii="Segoe UI" w:hAnsi="Segoe UI" w:cs="Segoe UI"/>
                          <w:b/>
                          <w:sz w:val="16"/>
                          <w:szCs w:val="16"/>
                        </w:rPr>
                        <w:t xml:space="preserve"> και τις σχετικά χαμηλές προβλέψεις</w:t>
                      </w:r>
                      <w:r w:rsidR="002A52E2">
                        <w:rPr>
                          <w:rFonts w:ascii="Segoe UI" w:hAnsi="Segoe UI" w:cs="Segoe UI"/>
                          <w:b/>
                          <w:sz w:val="16"/>
                          <w:szCs w:val="16"/>
                        </w:rPr>
                        <w:t>, αμετάβλητες</w:t>
                      </w:r>
                      <w:r>
                        <w:rPr>
                          <w:rFonts w:ascii="Segoe UI" w:hAnsi="Segoe UI" w:cs="Segoe UI"/>
                          <w:b/>
                          <w:sz w:val="16"/>
                          <w:szCs w:val="16"/>
                        </w:rPr>
                        <w:t xml:space="preserve"> σε τριμηνιαία βάση. Τα </w:t>
                      </w:r>
                      <w:r w:rsidRPr="005E5A99">
                        <w:rPr>
                          <w:rFonts w:ascii="Segoe UI" w:hAnsi="Segoe UI" w:cs="Segoe UI"/>
                          <w:b/>
                          <w:sz w:val="16"/>
                          <w:szCs w:val="16"/>
                        </w:rPr>
                        <w:t>κέρδη μετά από φόρους</w:t>
                      </w:r>
                      <w:r>
                        <w:rPr>
                          <w:rFonts w:ascii="Segoe UI" w:hAnsi="Segoe UI" w:cs="Segoe UI"/>
                          <w:b/>
                          <w:sz w:val="16"/>
                          <w:szCs w:val="16"/>
                        </w:rPr>
                        <w:t xml:space="preserve"> το Εννεάμηνο </w:t>
                      </w:r>
                      <w:r w:rsidRPr="00950C03">
                        <w:rPr>
                          <w:rFonts w:ascii="Segoe UI" w:hAnsi="Segoe UI" w:cs="Segoe UI"/>
                          <w:b/>
                          <w:sz w:val="16"/>
                          <w:szCs w:val="16"/>
                        </w:rPr>
                        <w:t>2020</w:t>
                      </w:r>
                      <w:r>
                        <w:rPr>
                          <w:rFonts w:ascii="Segoe UI" w:hAnsi="Segoe UI" w:cs="Segoe UI"/>
                          <w:b/>
                          <w:sz w:val="16"/>
                          <w:szCs w:val="16"/>
                        </w:rPr>
                        <w:t xml:space="preserve"> διαμορφώθηκαν σε €602 εκατ.</w:t>
                      </w:r>
                      <w:r>
                        <w:rPr>
                          <w:rFonts w:ascii="Segoe UI" w:hAnsi="Segoe UI" w:cs="Segoe UI"/>
                          <w:b/>
                          <w:sz w:val="16"/>
                          <w:szCs w:val="16"/>
                          <w:vertAlign w:val="superscript"/>
                        </w:rPr>
                        <w:t>1</w:t>
                      </w:r>
                      <w:r>
                        <w:rPr>
                          <w:rFonts w:ascii="Segoe UI" w:hAnsi="Segoe UI" w:cs="Segoe UI"/>
                          <w:b/>
                          <w:sz w:val="16"/>
                          <w:szCs w:val="16"/>
                        </w:rPr>
                        <w:t>, αυξημένα κατά 33% σε ετήσια βάση</w:t>
                      </w:r>
                    </w:p>
                    <w:p w:rsidR="00D95F56" w:rsidRPr="00CE5D55" w:rsidRDefault="008074EF" w:rsidP="0080571D">
                      <w:pPr>
                        <w:numPr>
                          <w:ilvl w:val="1"/>
                          <w:numId w:val="6"/>
                        </w:numPr>
                        <w:spacing w:before="80"/>
                        <w:rPr>
                          <w:rFonts w:ascii="Segoe UI" w:hAnsi="Segoe UI" w:cs="Segoe UI"/>
                          <w:sz w:val="16"/>
                          <w:szCs w:val="16"/>
                        </w:rPr>
                      </w:pPr>
                      <w:r>
                        <w:rPr>
                          <w:rFonts w:ascii="Segoe UI" w:hAnsi="Segoe UI" w:cs="Segoe UI"/>
                          <w:sz w:val="16"/>
                          <w:szCs w:val="16"/>
                        </w:rPr>
                        <w:t>Τ</w:t>
                      </w:r>
                      <w:r w:rsidR="00D95F56">
                        <w:rPr>
                          <w:rFonts w:ascii="Segoe UI" w:hAnsi="Segoe UI" w:cs="Segoe UI"/>
                          <w:sz w:val="16"/>
                          <w:szCs w:val="16"/>
                        </w:rPr>
                        <w:t>α κ</w:t>
                      </w:r>
                      <w:r w:rsidR="00D95F56" w:rsidRPr="00CE5D55">
                        <w:rPr>
                          <w:rFonts w:ascii="Segoe UI" w:hAnsi="Segoe UI" w:cs="Segoe UI"/>
                          <w:sz w:val="16"/>
                          <w:szCs w:val="16"/>
                        </w:rPr>
                        <w:t xml:space="preserve">αθαρά έσοδα από τόκους </w:t>
                      </w:r>
                      <w:r w:rsidR="00D95F56">
                        <w:rPr>
                          <w:rFonts w:ascii="Segoe UI" w:hAnsi="Segoe UI" w:cs="Segoe UI"/>
                          <w:sz w:val="16"/>
                          <w:szCs w:val="16"/>
                        </w:rPr>
                        <w:t xml:space="preserve">ανέκαμψαν σημαντικά κατά 12% </w:t>
                      </w:r>
                      <w:r w:rsidR="00886A9C">
                        <w:rPr>
                          <w:rFonts w:ascii="Segoe UI" w:hAnsi="Segoe UI" w:cs="Segoe UI"/>
                          <w:sz w:val="16"/>
                          <w:szCs w:val="16"/>
                        </w:rPr>
                        <w:t xml:space="preserve">ή €32 εκατ. </w:t>
                      </w:r>
                      <w:r w:rsidR="00D95F56">
                        <w:rPr>
                          <w:rFonts w:ascii="Segoe UI" w:hAnsi="Segoe UI" w:cs="Segoe UI"/>
                          <w:sz w:val="16"/>
                          <w:szCs w:val="16"/>
                        </w:rPr>
                        <w:t>σε τριμηνιαία βάση και διαμορφώθηκαν σε €304 εκατ.</w:t>
                      </w:r>
                      <w:r w:rsidR="00886A9C">
                        <w:rPr>
                          <w:rFonts w:ascii="Segoe UI" w:hAnsi="Segoe UI" w:cs="Segoe UI"/>
                          <w:sz w:val="16"/>
                          <w:szCs w:val="16"/>
                        </w:rPr>
                        <w:t xml:space="preserve"> </w:t>
                      </w:r>
                      <w:r w:rsidR="00D95F56" w:rsidRPr="00CE5D55">
                        <w:rPr>
                          <w:rFonts w:ascii="Segoe UI" w:hAnsi="Segoe UI" w:cs="Segoe UI"/>
                          <w:sz w:val="16"/>
                          <w:szCs w:val="16"/>
                        </w:rPr>
                        <w:t xml:space="preserve">το </w:t>
                      </w:r>
                      <w:r w:rsidR="00D95F56">
                        <w:rPr>
                          <w:rFonts w:ascii="Segoe UI" w:hAnsi="Segoe UI" w:cs="Segoe UI"/>
                          <w:sz w:val="16"/>
                          <w:szCs w:val="16"/>
                        </w:rPr>
                        <w:t>Γ</w:t>
                      </w:r>
                      <w:r w:rsidR="00D95F56" w:rsidRPr="00CE5D55">
                        <w:rPr>
                          <w:rFonts w:ascii="Segoe UI" w:hAnsi="Segoe UI" w:cs="Segoe UI"/>
                          <w:sz w:val="16"/>
                          <w:szCs w:val="16"/>
                        </w:rPr>
                        <w:t xml:space="preserve">’ τρίμηνο 2020, </w:t>
                      </w:r>
                      <w:r w:rsidR="00D95F56">
                        <w:rPr>
                          <w:rFonts w:ascii="Segoe UI" w:hAnsi="Segoe UI" w:cs="Segoe UI"/>
                          <w:sz w:val="16"/>
                          <w:szCs w:val="16"/>
                        </w:rPr>
                        <w:t xml:space="preserve">αντανακλώντας την αύξηση στα υπόλοιπα των εξυπηρετούμενων δανείων, καθώς και το όφελος από το χαμηλότερο κόστος χρηματοδότησης λόγω της αυξημένης </w:t>
                      </w:r>
                      <w:r w:rsidR="00D95F56" w:rsidRPr="0080571D">
                        <w:rPr>
                          <w:rFonts w:ascii="Segoe UI" w:hAnsi="Segoe UI" w:cs="Segoe UI"/>
                          <w:sz w:val="16"/>
                          <w:szCs w:val="16"/>
                        </w:rPr>
                        <w:t>συμμετοχής</w:t>
                      </w:r>
                      <w:r w:rsidR="00D95F56">
                        <w:rPr>
                          <w:rFonts w:ascii="Segoe UI" w:hAnsi="Segoe UI" w:cs="Segoe UI"/>
                          <w:sz w:val="16"/>
                          <w:szCs w:val="16"/>
                        </w:rPr>
                        <w:t xml:space="preserve"> της ΕΤΕ στο </w:t>
                      </w:r>
                      <w:r w:rsidR="00D95F56" w:rsidRPr="00CF2D9A">
                        <w:rPr>
                          <w:rFonts w:ascii="Segoe UI" w:hAnsi="Segoe UI" w:cs="Segoe UI"/>
                          <w:sz w:val="16"/>
                          <w:szCs w:val="16"/>
                        </w:rPr>
                        <w:t>Πρόγραμμα Συναλλαγών Μακροχρόνιας Αναχρηματοδότησης (TLTRO) της Ευρωπαϊκής Κεντρικής Τράπεζας (ΕΚΤ)</w:t>
                      </w:r>
                      <w:r w:rsidR="00D95F56">
                        <w:rPr>
                          <w:rFonts w:ascii="Segoe UI" w:hAnsi="Segoe UI" w:cs="Segoe UI"/>
                          <w:sz w:val="16"/>
                          <w:szCs w:val="16"/>
                        </w:rPr>
                        <w:t xml:space="preserve"> και της συνεχιζόμενης ανατιμολόγησης καταθέσεων προθεσμίας </w:t>
                      </w:r>
                    </w:p>
                    <w:p w:rsidR="00D95F56" w:rsidRPr="00192FCD" w:rsidRDefault="00D95F56" w:rsidP="009248CE">
                      <w:pPr>
                        <w:numPr>
                          <w:ilvl w:val="1"/>
                          <w:numId w:val="6"/>
                        </w:numPr>
                        <w:spacing w:before="80"/>
                        <w:rPr>
                          <w:rFonts w:ascii="Segoe UI" w:hAnsi="Segoe UI" w:cs="Segoe UI"/>
                          <w:sz w:val="16"/>
                          <w:szCs w:val="16"/>
                        </w:rPr>
                      </w:pPr>
                      <w:r>
                        <w:rPr>
                          <w:rFonts w:ascii="Segoe UI" w:hAnsi="Segoe UI" w:cs="Segoe UI"/>
                          <w:sz w:val="16"/>
                          <w:szCs w:val="16"/>
                        </w:rPr>
                        <w:t xml:space="preserve">Μετά </w:t>
                      </w:r>
                      <w:r w:rsidR="006F7E4E">
                        <w:rPr>
                          <w:rFonts w:ascii="Segoe UI" w:hAnsi="Segoe UI" w:cs="Segoe UI"/>
                          <w:sz w:val="16"/>
                          <w:szCs w:val="16"/>
                        </w:rPr>
                        <w:t xml:space="preserve">την αρνητική επίδραση του γενικού απαγορευτικού </w:t>
                      </w:r>
                      <w:r w:rsidRPr="00745EF1">
                        <w:rPr>
                          <w:rFonts w:ascii="Segoe UI" w:hAnsi="Segoe UI" w:cs="Segoe UI"/>
                          <w:sz w:val="16"/>
                          <w:szCs w:val="16"/>
                        </w:rPr>
                        <w:t>στη διεξαγωγή συναλλαγών</w:t>
                      </w:r>
                      <w:r w:rsidRPr="007B41A8">
                        <w:rPr>
                          <w:rFonts w:ascii="Segoe UI" w:hAnsi="Segoe UI" w:cs="Segoe UI"/>
                          <w:sz w:val="16"/>
                          <w:szCs w:val="16"/>
                        </w:rPr>
                        <w:t xml:space="preserve"> </w:t>
                      </w:r>
                      <w:r>
                        <w:rPr>
                          <w:rFonts w:ascii="Segoe UI" w:hAnsi="Segoe UI" w:cs="Segoe UI"/>
                          <w:sz w:val="16"/>
                          <w:szCs w:val="16"/>
                        </w:rPr>
                        <w:t>κατά το Β’ τρίμηνο 2020, τ</w:t>
                      </w:r>
                      <w:r w:rsidRPr="007B41A8">
                        <w:rPr>
                          <w:rFonts w:ascii="Segoe UI" w:hAnsi="Segoe UI" w:cs="Segoe UI"/>
                          <w:sz w:val="16"/>
                          <w:szCs w:val="16"/>
                        </w:rPr>
                        <w:t xml:space="preserve">α καθαρά έσοδα από προμήθειες </w:t>
                      </w:r>
                      <w:r>
                        <w:rPr>
                          <w:rFonts w:ascii="Segoe UI" w:hAnsi="Segoe UI" w:cs="Segoe UI"/>
                          <w:sz w:val="16"/>
                          <w:szCs w:val="16"/>
                        </w:rPr>
                        <w:t xml:space="preserve">σημείωσαν αύξηση ύψους </w:t>
                      </w:r>
                      <w:r w:rsidRPr="007B41A8">
                        <w:rPr>
                          <w:rFonts w:ascii="Segoe UI" w:hAnsi="Segoe UI" w:cs="Segoe UI"/>
                          <w:sz w:val="16"/>
                          <w:szCs w:val="16"/>
                        </w:rPr>
                        <w:t>1</w:t>
                      </w:r>
                      <w:r>
                        <w:rPr>
                          <w:rFonts w:ascii="Segoe UI" w:hAnsi="Segoe UI" w:cs="Segoe UI"/>
                          <w:sz w:val="16"/>
                          <w:szCs w:val="16"/>
                        </w:rPr>
                        <w:t>3</w:t>
                      </w:r>
                      <w:r w:rsidRPr="007B41A8">
                        <w:rPr>
                          <w:rFonts w:ascii="Segoe UI" w:hAnsi="Segoe UI" w:cs="Segoe UI"/>
                          <w:sz w:val="16"/>
                          <w:szCs w:val="16"/>
                        </w:rPr>
                        <w:t xml:space="preserve">% σε </w:t>
                      </w:r>
                      <w:r>
                        <w:rPr>
                          <w:rFonts w:ascii="Segoe UI" w:hAnsi="Segoe UI" w:cs="Segoe UI"/>
                          <w:sz w:val="16"/>
                          <w:szCs w:val="16"/>
                        </w:rPr>
                        <w:t>τριμηνιαία βάση</w:t>
                      </w:r>
                      <w:r w:rsidR="009248CE">
                        <w:rPr>
                          <w:rFonts w:ascii="Segoe UI" w:hAnsi="Segoe UI" w:cs="Segoe UI"/>
                          <w:sz w:val="16"/>
                          <w:szCs w:val="16"/>
                        </w:rPr>
                        <w:t xml:space="preserve"> το</w:t>
                      </w:r>
                      <w:r w:rsidR="009248CE" w:rsidRPr="009248CE">
                        <w:rPr>
                          <w:rFonts w:ascii="Segoe UI" w:hAnsi="Segoe UI" w:cs="Segoe UI"/>
                          <w:sz w:val="16"/>
                          <w:szCs w:val="16"/>
                        </w:rPr>
                        <w:t xml:space="preserve"> Γ’ τρίμηνο 2020</w:t>
                      </w:r>
                      <w:r>
                        <w:rPr>
                          <w:rFonts w:ascii="Segoe UI" w:hAnsi="Segoe UI" w:cs="Segoe UI"/>
                          <w:sz w:val="16"/>
                          <w:szCs w:val="16"/>
                        </w:rPr>
                        <w:t>, ως αποτέλεσμα της ανάκαμψης των προμηθειών τόσο Λιανικής όσο και Εταιρικής Τραπεζικής.</w:t>
                      </w:r>
                      <w:r w:rsidRPr="007B41A8">
                        <w:rPr>
                          <w:rFonts w:ascii="Segoe UI" w:hAnsi="Segoe UI" w:cs="Segoe UI"/>
                          <w:sz w:val="16"/>
                          <w:szCs w:val="16"/>
                        </w:rPr>
                        <w:t xml:space="preserve"> </w:t>
                      </w:r>
                      <w:r>
                        <w:rPr>
                          <w:rFonts w:ascii="Segoe UI" w:hAnsi="Segoe UI" w:cs="Segoe UI"/>
                          <w:sz w:val="16"/>
                          <w:szCs w:val="16"/>
                        </w:rPr>
                        <w:t>Σε επίπεδο εννεαμήνου και πα</w:t>
                      </w:r>
                      <w:r w:rsidRPr="00745EF1">
                        <w:rPr>
                          <w:rFonts w:ascii="Segoe UI" w:hAnsi="Segoe UI" w:cs="Segoe UI"/>
                          <w:sz w:val="16"/>
                          <w:szCs w:val="16"/>
                        </w:rPr>
                        <w:t>ρά τις δυσμενείς συνθήκες λόγω της πανδημίας του κορωνοϊού</w:t>
                      </w:r>
                      <w:r>
                        <w:rPr>
                          <w:rFonts w:ascii="Segoe UI" w:hAnsi="Segoe UI" w:cs="Segoe UI"/>
                          <w:sz w:val="16"/>
                          <w:szCs w:val="16"/>
                        </w:rPr>
                        <w:t xml:space="preserve">, </w:t>
                      </w:r>
                      <w:r w:rsidRPr="008330F2">
                        <w:rPr>
                          <w:rFonts w:ascii="Segoe UI" w:hAnsi="Segoe UI" w:cs="Segoe UI"/>
                          <w:sz w:val="16"/>
                          <w:szCs w:val="16"/>
                        </w:rPr>
                        <w:t xml:space="preserve">τα καθαρά έσοδα από προμήθειες </w:t>
                      </w:r>
                      <w:r>
                        <w:rPr>
                          <w:rFonts w:ascii="Segoe UI" w:hAnsi="Segoe UI" w:cs="Segoe UI"/>
                          <w:sz w:val="16"/>
                          <w:szCs w:val="16"/>
                        </w:rPr>
                        <w:t>αυξήθηκαν</w:t>
                      </w:r>
                      <w:r w:rsidRPr="007B41A8">
                        <w:rPr>
                          <w:rFonts w:ascii="Segoe UI" w:hAnsi="Segoe UI" w:cs="Segoe UI"/>
                          <w:sz w:val="16"/>
                          <w:szCs w:val="16"/>
                        </w:rPr>
                        <w:t xml:space="preserve"> κατά </w:t>
                      </w:r>
                      <w:r>
                        <w:rPr>
                          <w:rFonts w:ascii="Segoe UI" w:hAnsi="Segoe UI" w:cs="Segoe UI"/>
                          <w:sz w:val="16"/>
                          <w:szCs w:val="16"/>
                        </w:rPr>
                        <w:t>2</w:t>
                      </w:r>
                      <w:r w:rsidRPr="007B41A8">
                        <w:rPr>
                          <w:rFonts w:ascii="Segoe UI" w:hAnsi="Segoe UI" w:cs="Segoe UI"/>
                          <w:sz w:val="16"/>
                          <w:szCs w:val="16"/>
                        </w:rPr>
                        <w:t xml:space="preserve">% </w:t>
                      </w:r>
                      <w:r w:rsidR="00405938">
                        <w:rPr>
                          <w:rFonts w:ascii="Segoe UI" w:hAnsi="Segoe UI" w:cs="Segoe UI"/>
                          <w:sz w:val="16"/>
                          <w:szCs w:val="16"/>
                        </w:rPr>
                        <w:t xml:space="preserve">σε ετήσια βάση, </w:t>
                      </w:r>
                      <w:r>
                        <w:rPr>
                          <w:rFonts w:ascii="Segoe UI" w:hAnsi="Segoe UI" w:cs="Segoe UI"/>
                          <w:sz w:val="16"/>
                          <w:szCs w:val="16"/>
                        </w:rPr>
                        <w:t>σε €188 εκατ.</w:t>
                      </w:r>
                      <w:r w:rsidR="00405938">
                        <w:rPr>
                          <w:rFonts w:ascii="Segoe UI" w:hAnsi="Segoe UI" w:cs="Segoe UI"/>
                          <w:sz w:val="16"/>
                          <w:szCs w:val="16"/>
                        </w:rPr>
                        <w:t xml:space="preserve">, </w:t>
                      </w:r>
                      <w:r w:rsidRPr="00745EF1">
                        <w:rPr>
                          <w:rFonts w:ascii="Segoe UI" w:hAnsi="Segoe UI" w:cs="Segoe UI"/>
                          <w:sz w:val="16"/>
                          <w:szCs w:val="16"/>
                        </w:rPr>
                        <w:t xml:space="preserve">αντανακλώντας την ενίσχυση </w:t>
                      </w:r>
                      <w:r w:rsidRPr="00192FCD">
                        <w:rPr>
                          <w:rFonts w:ascii="Segoe UI" w:hAnsi="Segoe UI" w:cs="Segoe UI"/>
                          <w:sz w:val="16"/>
                          <w:szCs w:val="16"/>
                        </w:rPr>
                        <w:t xml:space="preserve">των εσόδων από προμήθειες Λιανικής Τραπεζικής </w:t>
                      </w:r>
                    </w:p>
                    <w:p w:rsidR="00D95F56" w:rsidRDefault="00D95F56" w:rsidP="00576FF1">
                      <w:pPr>
                        <w:numPr>
                          <w:ilvl w:val="1"/>
                          <w:numId w:val="6"/>
                        </w:numPr>
                        <w:spacing w:before="80"/>
                        <w:rPr>
                          <w:rFonts w:ascii="Segoe UI" w:hAnsi="Segoe UI" w:cs="Segoe UI"/>
                          <w:sz w:val="16"/>
                          <w:szCs w:val="16"/>
                        </w:rPr>
                      </w:pPr>
                      <w:r w:rsidRPr="00731E1F">
                        <w:rPr>
                          <w:rFonts w:ascii="Segoe UI" w:hAnsi="Segoe UI" w:cs="Segoe UI"/>
                          <w:sz w:val="16"/>
                          <w:szCs w:val="16"/>
                        </w:rPr>
                        <w:t xml:space="preserve">Τα κέρδη από χρηματοοικονομικές πράξεις και </w:t>
                      </w:r>
                      <w:r w:rsidR="00006D0C">
                        <w:rPr>
                          <w:rFonts w:ascii="Segoe UI" w:hAnsi="Segoe UI" w:cs="Segoe UI"/>
                          <w:sz w:val="16"/>
                          <w:szCs w:val="16"/>
                        </w:rPr>
                        <w:t>λοιπά έσοδα διαμορφώθηκαν σε €43</w:t>
                      </w:r>
                      <w:r w:rsidRPr="00731E1F">
                        <w:rPr>
                          <w:rFonts w:ascii="Segoe UI" w:hAnsi="Segoe UI" w:cs="Segoe UI"/>
                          <w:sz w:val="16"/>
                          <w:szCs w:val="16"/>
                        </w:rPr>
                        <w:t xml:space="preserve"> εκατ. το Γ’ τρίμηνο 2020. Το Εννεάμηνο 2020, τα κέρδη από χρηματοοικονομικές πράξεις και λοιπά έσοδα ανήλθαν σε €830 εκατ., ενσωματώνοντας υψηλά μη επαναλαμβανόμενα κέρδη σχετιζόμενα με την ανταλλαγή τριών υφιστάμενων Ομολόγων Ελληνικού Δημοσίου (ΟΕΔ) που κατείχε η ΕΤΕ με ένα νέο ΟΕΔ, καθώς και την πώληση ΟΕΔ στο χαρτοφυλάκιο «διακρατούμενων για την είσπραξη συμβατικών ταμειακών ροών και για ενδεχόμενη πώληση» (HTCS) συνολικού ύψους €779 εκατ. κατά τη</w:t>
                      </w:r>
                      <w:r>
                        <w:rPr>
                          <w:rFonts w:ascii="Segoe UI" w:hAnsi="Segoe UI" w:cs="Segoe UI"/>
                          <w:sz w:val="16"/>
                          <w:szCs w:val="16"/>
                        </w:rPr>
                        <w:t xml:space="preserve"> διάρκεια του Α’ τριμήνου 2020</w:t>
                      </w:r>
                      <w:r w:rsidRPr="00576FF1">
                        <w:rPr>
                          <w:rFonts w:ascii="Segoe UI" w:hAnsi="Segoe UI" w:cs="Segoe UI"/>
                          <w:sz w:val="16"/>
                          <w:szCs w:val="16"/>
                        </w:rPr>
                        <w:t xml:space="preserve"> </w:t>
                      </w:r>
                    </w:p>
                    <w:p w:rsidR="00D95F56" w:rsidRDefault="00AD4F0C" w:rsidP="005A22F8">
                      <w:pPr>
                        <w:numPr>
                          <w:ilvl w:val="1"/>
                          <w:numId w:val="6"/>
                        </w:numPr>
                        <w:spacing w:before="80"/>
                        <w:rPr>
                          <w:rFonts w:ascii="Segoe UI" w:hAnsi="Segoe UI" w:cs="Segoe UI"/>
                          <w:sz w:val="16"/>
                          <w:szCs w:val="16"/>
                        </w:rPr>
                      </w:pPr>
                      <w:r>
                        <w:rPr>
                          <w:rFonts w:ascii="Segoe UI" w:hAnsi="Segoe UI" w:cs="Segoe UI"/>
                          <w:sz w:val="16"/>
                          <w:szCs w:val="16"/>
                        </w:rPr>
                        <w:t>Στην Ελλάδα, η</w:t>
                      </w:r>
                      <w:r w:rsidR="00D95F56" w:rsidRPr="00821D60">
                        <w:rPr>
                          <w:rFonts w:ascii="Segoe UI" w:hAnsi="Segoe UI" w:cs="Segoe UI"/>
                          <w:sz w:val="16"/>
                          <w:szCs w:val="16"/>
                        </w:rPr>
                        <w:t xml:space="preserve"> περιστολή των δαπανών προσωπικού και των γενικών διοικητικών και λοιπών λειτουργικών εξόδων</w:t>
                      </w:r>
                      <w:r w:rsidR="00D95F56">
                        <w:rPr>
                          <w:rFonts w:ascii="Segoe UI" w:hAnsi="Segoe UI" w:cs="Segoe UI"/>
                          <w:sz w:val="16"/>
                          <w:szCs w:val="16"/>
                        </w:rPr>
                        <w:t xml:space="preserve"> </w:t>
                      </w:r>
                      <w:r w:rsidR="00D95F56" w:rsidRPr="00821D60">
                        <w:rPr>
                          <w:rFonts w:ascii="Segoe UI" w:hAnsi="Segoe UI" w:cs="Segoe UI"/>
                          <w:sz w:val="16"/>
                          <w:szCs w:val="16"/>
                        </w:rPr>
                        <w:t xml:space="preserve">το </w:t>
                      </w:r>
                      <w:r w:rsidR="00D95F56">
                        <w:rPr>
                          <w:rFonts w:ascii="Segoe UI" w:hAnsi="Segoe UI" w:cs="Segoe UI"/>
                          <w:sz w:val="16"/>
                          <w:szCs w:val="16"/>
                        </w:rPr>
                        <w:t xml:space="preserve">Γ’ </w:t>
                      </w:r>
                      <w:r w:rsidR="00D95F56" w:rsidRPr="00821D60">
                        <w:rPr>
                          <w:rFonts w:ascii="Segoe UI" w:hAnsi="Segoe UI" w:cs="Segoe UI"/>
                          <w:sz w:val="16"/>
                          <w:szCs w:val="16"/>
                        </w:rPr>
                        <w:t xml:space="preserve">τρίμηνο 2020 </w:t>
                      </w:r>
                      <w:r w:rsidR="00D95F56">
                        <w:rPr>
                          <w:rFonts w:ascii="Segoe UI" w:hAnsi="Segoe UI" w:cs="Segoe UI"/>
                          <w:sz w:val="16"/>
                          <w:szCs w:val="16"/>
                        </w:rPr>
                        <w:t xml:space="preserve">(-1% σε τριμηνιαία βάση) </w:t>
                      </w:r>
                      <w:r w:rsidR="00D95F56" w:rsidRPr="00821D60">
                        <w:rPr>
                          <w:rFonts w:ascii="Segoe UI" w:hAnsi="Segoe UI" w:cs="Segoe UI"/>
                          <w:sz w:val="16"/>
                          <w:szCs w:val="16"/>
                        </w:rPr>
                        <w:t>είχε ως αποτέλεσμα τη σ</w:t>
                      </w:r>
                      <w:r w:rsidR="000C3C89">
                        <w:rPr>
                          <w:rFonts w:ascii="Segoe UI" w:hAnsi="Segoe UI" w:cs="Segoe UI"/>
                          <w:sz w:val="16"/>
                          <w:szCs w:val="16"/>
                        </w:rPr>
                        <w:t>ημαντική αποκλιμάκωσή τους κατά 8,5</w:t>
                      </w:r>
                      <w:r w:rsidR="00D95F56" w:rsidRPr="00821D60">
                        <w:rPr>
                          <w:rFonts w:ascii="Segoe UI" w:hAnsi="Segoe UI" w:cs="Segoe UI"/>
                          <w:sz w:val="16"/>
                          <w:szCs w:val="16"/>
                        </w:rPr>
                        <w:t xml:space="preserve">% και </w:t>
                      </w:r>
                      <w:r w:rsidR="000C3C89">
                        <w:rPr>
                          <w:rFonts w:ascii="Segoe UI" w:hAnsi="Segoe UI" w:cs="Segoe UI"/>
                          <w:sz w:val="16"/>
                          <w:szCs w:val="16"/>
                        </w:rPr>
                        <w:t>9,7</w:t>
                      </w:r>
                      <w:bookmarkStart w:id="1" w:name="_GoBack"/>
                      <w:bookmarkEnd w:id="1"/>
                      <w:r w:rsidR="00D95F56">
                        <w:rPr>
                          <w:rFonts w:ascii="Segoe UI" w:hAnsi="Segoe UI" w:cs="Segoe UI"/>
                          <w:sz w:val="16"/>
                          <w:szCs w:val="16"/>
                        </w:rPr>
                        <w:t xml:space="preserve">% σε ετήσια βάση, αντίστοιχα, </w:t>
                      </w:r>
                      <w:r w:rsidR="00D95F56" w:rsidRPr="00214C08">
                        <w:rPr>
                          <w:rFonts w:ascii="Segoe UI" w:hAnsi="Segoe UI" w:cs="Segoe UI"/>
                          <w:sz w:val="16"/>
                          <w:szCs w:val="16"/>
                        </w:rPr>
                        <w:t xml:space="preserve">το </w:t>
                      </w:r>
                      <w:r w:rsidR="00D95F56">
                        <w:rPr>
                          <w:rFonts w:ascii="Segoe UI" w:hAnsi="Segoe UI" w:cs="Segoe UI"/>
                          <w:sz w:val="16"/>
                          <w:szCs w:val="16"/>
                        </w:rPr>
                        <w:t xml:space="preserve">Εννεάμηνο </w:t>
                      </w:r>
                      <w:r w:rsidR="00D95F56" w:rsidRPr="00214C08">
                        <w:rPr>
                          <w:rFonts w:ascii="Segoe UI" w:hAnsi="Segoe UI" w:cs="Segoe UI"/>
                          <w:sz w:val="16"/>
                          <w:szCs w:val="16"/>
                        </w:rPr>
                        <w:t>2020</w:t>
                      </w:r>
                      <w:r w:rsidR="001969E5">
                        <w:rPr>
                          <w:rFonts w:ascii="Segoe UI" w:hAnsi="Segoe UI" w:cs="Segoe UI"/>
                          <w:sz w:val="16"/>
                          <w:szCs w:val="16"/>
                        </w:rPr>
                        <w:t xml:space="preserve">. Οι λειτουργικές δαπάνες </w:t>
                      </w:r>
                      <w:r w:rsidR="00D95F56">
                        <w:rPr>
                          <w:rFonts w:ascii="Segoe UI" w:hAnsi="Segoe UI" w:cs="Segoe UI"/>
                          <w:sz w:val="16"/>
                          <w:szCs w:val="16"/>
                        </w:rPr>
                        <w:t>σημείωσαν πτώση 4% σε ετήσια βάση</w:t>
                      </w:r>
                      <w:r w:rsidR="00D95F56" w:rsidRPr="00821D60">
                        <w:rPr>
                          <w:rFonts w:ascii="Segoe UI" w:hAnsi="Segoe UI" w:cs="Segoe UI"/>
                          <w:sz w:val="16"/>
                          <w:szCs w:val="16"/>
                        </w:rPr>
                        <w:t>, απορροφώντας την αύξηση των αποσβέσεων ως αποτέλεσμα της αρνητικής επίπτωσης από τη μετάβαση στο διεθνές λογιστικό πρότυπο 16 (ΔΠΧΑ 16)</w:t>
                      </w:r>
                      <w:r w:rsidR="00D95F56">
                        <w:rPr>
                          <w:rFonts w:ascii="Segoe UI" w:hAnsi="Segoe UI" w:cs="Segoe UI"/>
                          <w:sz w:val="16"/>
                          <w:szCs w:val="16"/>
                        </w:rPr>
                        <w:t>,</w:t>
                      </w:r>
                      <w:r w:rsidR="00D95F56" w:rsidRPr="00821D60">
                        <w:rPr>
                          <w:rFonts w:ascii="Segoe UI" w:hAnsi="Segoe UI" w:cs="Segoe UI"/>
                          <w:sz w:val="16"/>
                          <w:szCs w:val="16"/>
                        </w:rPr>
                        <w:t xml:space="preserve"> </w:t>
                      </w:r>
                      <w:r w:rsidR="00D95F56">
                        <w:rPr>
                          <w:rFonts w:ascii="Segoe UI" w:hAnsi="Segoe UI" w:cs="Segoe UI"/>
                          <w:sz w:val="16"/>
                          <w:szCs w:val="16"/>
                        </w:rPr>
                        <w:t xml:space="preserve">λόγω της </w:t>
                      </w:r>
                      <w:r w:rsidR="00D95F56" w:rsidRPr="00821D60">
                        <w:rPr>
                          <w:rFonts w:ascii="Segoe UI" w:hAnsi="Segoe UI" w:cs="Segoe UI"/>
                          <w:sz w:val="16"/>
                          <w:szCs w:val="16"/>
                        </w:rPr>
                        <w:t>πώληση</w:t>
                      </w:r>
                      <w:r w:rsidR="00D95F56">
                        <w:rPr>
                          <w:rFonts w:ascii="Segoe UI" w:hAnsi="Segoe UI" w:cs="Segoe UI"/>
                          <w:sz w:val="16"/>
                          <w:szCs w:val="16"/>
                        </w:rPr>
                        <w:t>ς</w:t>
                      </w:r>
                      <w:r w:rsidR="00D95F56" w:rsidRPr="00821D60">
                        <w:rPr>
                          <w:rFonts w:ascii="Segoe UI" w:hAnsi="Segoe UI" w:cs="Segoe UI"/>
                          <w:sz w:val="16"/>
                          <w:szCs w:val="16"/>
                        </w:rPr>
                        <w:t xml:space="preserve"> του μειοψηφικού ποσοστού της ΕΤΕ στην ΠΑΝΓΑΙΑ (νυν «Prodea») στα μέσα του 2019 </w:t>
                      </w:r>
                    </w:p>
                    <w:p w:rsidR="00D95F56" w:rsidRDefault="00D95F56" w:rsidP="005A22F8">
                      <w:pPr>
                        <w:spacing w:before="80"/>
                        <w:ind w:left="644"/>
                        <w:rPr>
                          <w:rFonts w:ascii="Segoe UI" w:hAnsi="Segoe UI" w:cs="Segoe UI"/>
                          <w:sz w:val="16"/>
                          <w:szCs w:val="16"/>
                        </w:rPr>
                      </w:pPr>
                    </w:p>
                  </w:txbxContent>
                </v:textbox>
                <w10:anchorlock/>
              </v:shape>
            </w:pict>
          </mc:Fallback>
        </mc:AlternateContent>
      </w:r>
    </w:p>
    <w:p w:rsidR="0061399D" w:rsidRDefault="009F7797" w:rsidP="00D11BCD">
      <w:pPr>
        <w:pStyle w:val="body"/>
        <w:rPr>
          <w:rFonts w:ascii="Segoe UI" w:hAnsi="Segoe UI" w:cs="Segoe UI"/>
        </w:rPr>
      </w:pPr>
      <w:r>
        <w:rPr>
          <w:rFonts w:ascii="Segoe UI" w:hAnsi="Segoe UI" w:cs="Segoe UI"/>
          <w:noProof/>
          <w:color w:val="auto"/>
          <w:sz w:val="24"/>
          <w:szCs w:val="24"/>
          <w:lang w:eastAsia="el-GR"/>
        </w:rPr>
        <w:lastRenderedPageBreak/>
        <mc:AlternateContent>
          <mc:Choice Requires="wps">
            <w:drawing>
              <wp:inline distT="0" distB="0" distL="0" distR="0">
                <wp:extent cx="6471920" cy="9232900"/>
                <wp:effectExtent l="6985" t="5715" r="7620" b="635"/>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9232900"/>
                        </a:xfrm>
                        <a:prstGeom prst="rect">
                          <a:avLst/>
                        </a:prstGeom>
                        <a:solidFill>
                          <a:srgbClr val="F1F1F1">
                            <a:alpha val="89803"/>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5F56" w:rsidRPr="0017545C" w:rsidRDefault="00D95F56" w:rsidP="00791C9B">
                            <w:pPr>
                              <w:numPr>
                                <w:ilvl w:val="1"/>
                                <w:numId w:val="6"/>
                              </w:numPr>
                              <w:spacing w:before="80"/>
                              <w:rPr>
                                <w:rFonts w:ascii="Segoe UI" w:hAnsi="Segoe UI" w:cs="Segoe UI"/>
                                <w:sz w:val="16"/>
                                <w:szCs w:val="16"/>
                              </w:rPr>
                            </w:pPr>
                            <w:r w:rsidRPr="0017545C">
                              <w:rPr>
                                <w:rFonts w:ascii="Segoe UI" w:hAnsi="Segoe UI" w:cs="Segoe UI"/>
                                <w:sz w:val="16"/>
                                <w:szCs w:val="16"/>
                              </w:rPr>
                              <w:t>Οι προβλέψεις για επισφαλείς απαιτήσεις ύψο</w:t>
                            </w:r>
                            <w:r w:rsidR="00F620AE">
                              <w:rPr>
                                <w:rFonts w:ascii="Segoe UI" w:hAnsi="Segoe UI" w:cs="Segoe UI"/>
                                <w:sz w:val="16"/>
                                <w:szCs w:val="16"/>
                              </w:rPr>
                              <w:t xml:space="preserve">υς €640 εκατ. το Εννεάμηνο 2020, ήτοι 244μ.β. επί των δανείων μετά </w:t>
                            </w:r>
                            <w:r w:rsidR="00290253">
                              <w:rPr>
                                <w:rFonts w:ascii="Segoe UI" w:hAnsi="Segoe UI" w:cs="Segoe UI"/>
                                <w:sz w:val="16"/>
                                <w:szCs w:val="16"/>
                              </w:rPr>
                              <w:t>από</w:t>
                            </w:r>
                            <w:r w:rsidR="00F620AE">
                              <w:rPr>
                                <w:rFonts w:ascii="Segoe UI" w:hAnsi="Segoe UI" w:cs="Segoe UI"/>
                                <w:sz w:val="16"/>
                                <w:szCs w:val="16"/>
                              </w:rPr>
                              <w:t xml:space="preserve"> προβλέψε</w:t>
                            </w:r>
                            <w:r w:rsidR="00290253">
                              <w:rPr>
                                <w:rFonts w:ascii="Segoe UI" w:hAnsi="Segoe UI" w:cs="Segoe UI"/>
                                <w:sz w:val="16"/>
                                <w:szCs w:val="16"/>
                              </w:rPr>
                              <w:t>ις</w:t>
                            </w:r>
                            <w:r w:rsidR="00F620AE">
                              <w:rPr>
                                <w:rFonts w:ascii="Segoe UI" w:hAnsi="Segoe UI" w:cs="Segoe UI"/>
                                <w:sz w:val="16"/>
                                <w:szCs w:val="16"/>
                              </w:rPr>
                              <w:t xml:space="preserve">, </w:t>
                            </w:r>
                            <w:r w:rsidRPr="0017545C">
                              <w:rPr>
                                <w:rFonts w:ascii="Segoe UI" w:hAnsi="Segoe UI" w:cs="Segoe UI"/>
                                <w:sz w:val="16"/>
                                <w:szCs w:val="16"/>
                              </w:rPr>
                              <w:t>ενσωματώνουν τις προβλέψεις απομείωσης σχετιζόμενες με την πανδημία του κορωνοϊού</w:t>
                            </w:r>
                            <w:r w:rsidRPr="00114E52">
                              <w:rPr>
                                <w:rFonts w:ascii="Segoe UI" w:hAnsi="Segoe UI" w:cs="Segoe UI"/>
                                <w:sz w:val="16"/>
                                <w:szCs w:val="16"/>
                                <w:vertAlign w:val="superscript"/>
                              </w:rPr>
                              <w:t>2</w:t>
                            </w:r>
                            <w:r>
                              <w:rPr>
                                <w:rFonts w:ascii="Segoe UI" w:hAnsi="Segoe UI" w:cs="Segoe UI"/>
                                <w:sz w:val="16"/>
                                <w:szCs w:val="16"/>
                              </w:rPr>
                              <w:t xml:space="preserve">, οι οποίες επιβάρυναν κυρίως τα αποτελέσματα του Α’ τριμήνου 2020 και αντιστοιχούν σε </w:t>
                            </w:r>
                            <w:r w:rsidR="000328E9" w:rsidRPr="000328E9">
                              <w:rPr>
                                <w:rFonts w:ascii="Segoe UI" w:hAnsi="Segoe UI" w:cs="Segoe UI"/>
                                <w:sz w:val="16"/>
                                <w:szCs w:val="16"/>
                              </w:rPr>
                              <w:t>147</w:t>
                            </w:r>
                            <w:r>
                              <w:rPr>
                                <w:rFonts w:ascii="Segoe UI" w:hAnsi="Segoe UI" w:cs="Segoe UI"/>
                                <w:sz w:val="16"/>
                                <w:szCs w:val="16"/>
                              </w:rPr>
                              <w:t xml:space="preserve">μ.β. επί των δανείων </w:t>
                            </w:r>
                            <w:r w:rsidRPr="00791C9B">
                              <w:rPr>
                                <w:rFonts w:ascii="Segoe UI" w:hAnsi="Segoe UI" w:cs="Segoe UI"/>
                                <w:sz w:val="16"/>
                                <w:szCs w:val="16"/>
                              </w:rPr>
                              <w:t xml:space="preserve">μετά από προβλέψεις </w:t>
                            </w:r>
                            <w:r>
                              <w:rPr>
                                <w:rFonts w:ascii="Segoe UI" w:hAnsi="Segoe UI" w:cs="Segoe UI"/>
                                <w:sz w:val="16"/>
                                <w:szCs w:val="16"/>
                              </w:rPr>
                              <w:t>σε μη ετησιοποιημένη βάση. Ε</w:t>
                            </w:r>
                            <w:r w:rsidRPr="0017545C">
                              <w:rPr>
                                <w:rFonts w:ascii="Segoe UI" w:hAnsi="Segoe UI" w:cs="Segoe UI"/>
                                <w:sz w:val="16"/>
                                <w:szCs w:val="16"/>
                              </w:rPr>
                              <w:t xml:space="preserve">ξαιρουμένων των εν λόγω προβλέψεων, το κόστος πιστωτικού κινδύνου διαμορφώνεται σε περίπου 97μ.β. το </w:t>
                            </w:r>
                            <w:r>
                              <w:rPr>
                                <w:rFonts w:ascii="Segoe UI" w:hAnsi="Segoe UI" w:cs="Segoe UI"/>
                                <w:sz w:val="16"/>
                                <w:szCs w:val="16"/>
                              </w:rPr>
                              <w:t xml:space="preserve">Εννεάμηνο </w:t>
                            </w:r>
                            <w:r w:rsidRPr="0017545C">
                              <w:rPr>
                                <w:rFonts w:ascii="Segoe UI" w:hAnsi="Segoe UI" w:cs="Segoe UI"/>
                                <w:sz w:val="16"/>
                                <w:szCs w:val="16"/>
                              </w:rPr>
                              <w:t>2020</w:t>
                            </w:r>
                            <w:r w:rsidR="00F8125B">
                              <w:rPr>
                                <w:rFonts w:ascii="Segoe UI" w:hAnsi="Segoe UI" w:cs="Segoe UI"/>
                                <w:sz w:val="16"/>
                                <w:szCs w:val="16"/>
                              </w:rPr>
                              <w:t xml:space="preserve"> </w:t>
                            </w:r>
                          </w:p>
                          <w:p w:rsidR="00D95F56" w:rsidRDefault="00D95F56" w:rsidP="004B74D4">
                            <w:pPr>
                              <w:spacing w:before="120"/>
                              <w:rPr>
                                <w:rFonts w:ascii="Segoe UI" w:hAnsi="Segoe UI" w:cs="Segoe UI"/>
                                <w:b/>
                                <w:sz w:val="16"/>
                                <w:szCs w:val="16"/>
                              </w:rPr>
                            </w:pPr>
                          </w:p>
                          <w:p w:rsidR="00D95F56" w:rsidRPr="00322F1D" w:rsidRDefault="00D95F56" w:rsidP="004B74D4">
                            <w:pPr>
                              <w:numPr>
                                <w:ilvl w:val="0"/>
                                <w:numId w:val="6"/>
                              </w:numPr>
                              <w:spacing w:before="120"/>
                              <w:rPr>
                                <w:rFonts w:ascii="Segoe UI" w:hAnsi="Segoe UI" w:cs="Segoe UI"/>
                                <w:b/>
                                <w:sz w:val="16"/>
                                <w:szCs w:val="16"/>
                              </w:rPr>
                            </w:pPr>
                            <w:r>
                              <w:rPr>
                                <w:rFonts w:ascii="Segoe UI" w:hAnsi="Segoe UI" w:cs="Segoe UI"/>
                                <w:b/>
                                <w:sz w:val="16"/>
                                <w:szCs w:val="16"/>
                              </w:rPr>
                              <w:t>Τ</w:t>
                            </w:r>
                            <w:r w:rsidRPr="004B74D4">
                              <w:rPr>
                                <w:rFonts w:ascii="Segoe UI" w:hAnsi="Segoe UI" w:cs="Segoe UI"/>
                                <w:b/>
                                <w:sz w:val="16"/>
                                <w:szCs w:val="16"/>
                              </w:rPr>
                              <w:t>ο υπόλοιπο Μ</w:t>
                            </w:r>
                            <w:r>
                              <w:rPr>
                                <w:rFonts w:ascii="Segoe UI" w:hAnsi="Segoe UI" w:cs="Segoe UI"/>
                                <w:b/>
                                <w:sz w:val="16"/>
                                <w:szCs w:val="16"/>
                              </w:rPr>
                              <w:t xml:space="preserve">η </w:t>
                            </w:r>
                            <w:r w:rsidRPr="004B74D4">
                              <w:rPr>
                                <w:rFonts w:ascii="Segoe UI" w:hAnsi="Segoe UI" w:cs="Segoe UI"/>
                                <w:b/>
                                <w:sz w:val="16"/>
                                <w:szCs w:val="16"/>
                              </w:rPr>
                              <w:t>Ε</w:t>
                            </w:r>
                            <w:r>
                              <w:rPr>
                                <w:rFonts w:ascii="Segoe UI" w:hAnsi="Segoe UI" w:cs="Segoe UI"/>
                                <w:b/>
                                <w:sz w:val="16"/>
                                <w:szCs w:val="16"/>
                              </w:rPr>
                              <w:t xml:space="preserve">ξυπηρετούμενων </w:t>
                            </w:r>
                            <w:r w:rsidRPr="004B74D4">
                              <w:rPr>
                                <w:rFonts w:ascii="Segoe UI" w:hAnsi="Segoe UI" w:cs="Segoe UI"/>
                                <w:b/>
                                <w:sz w:val="16"/>
                                <w:szCs w:val="16"/>
                              </w:rPr>
                              <w:t>Α</w:t>
                            </w:r>
                            <w:r>
                              <w:rPr>
                                <w:rFonts w:ascii="Segoe UI" w:hAnsi="Segoe UI" w:cs="Segoe UI"/>
                                <w:b/>
                                <w:sz w:val="16"/>
                                <w:szCs w:val="16"/>
                              </w:rPr>
                              <w:t>νοιγμάτων (ΜΕΑ)</w:t>
                            </w:r>
                            <w:r w:rsidRPr="004B74D4">
                              <w:rPr>
                                <w:rFonts w:ascii="Segoe UI" w:hAnsi="Segoe UI" w:cs="Segoe UI"/>
                                <w:b/>
                                <w:sz w:val="16"/>
                                <w:szCs w:val="16"/>
                              </w:rPr>
                              <w:t xml:space="preserve"> σε επίπεδο Τράπεζας </w:t>
                            </w:r>
                            <w:r>
                              <w:rPr>
                                <w:rFonts w:ascii="Segoe UI" w:hAnsi="Segoe UI" w:cs="Segoe UI"/>
                                <w:b/>
                                <w:sz w:val="16"/>
                                <w:szCs w:val="16"/>
                              </w:rPr>
                              <w:t xml:space="preserve">μειώθηκε σε επίπεδα κάτω των </w:t>
                            </w:r>
                            <w:r w:rsidRPr="004B74D4">
                              <w:rPr>
                                <w:rFonts w:ascii="Segoe UI" w:hAnsi="Segoe UI" w:cs="Segoe UI"/>
                                <w:b/>
                                <w:sz w:val="16"/>
                                <w:szCs w:val="16"/>
                              </w:rPr>
                              <w:t>€10</w:t>
                            </w:r>
                            <w:r>
                              <w:rPr>
                                <w:rFonts w:ascii="Segoe UI" w:hAnsi="Segoe UI" w:cs="Segoe UI"/>
                                <w:b/>
                                <w:sz w:val="16"/>
                                <w:szCs w:val="16"/>
                              </w:rPr>
                              <w:t xml:space="preserve"> </w:t>
                            </w:r>
                            <w:r w:rsidRPr="004B74D4">
                              <w:rPr>
                                <w:rFonts w:ascii="Segoe UI" w:hAnsi="Segoe UI" w:cs="Segoe UI"/>
                                <w:b/>
                                <w:sz w:val="16"/>
                                <w:szCs w:val="16"/>
                              </w:rPr>
                              <w:t xml:space="preserve">δισ. το </w:t>
                            </w:r>
                            <w:r>
                              <w:rPr>
                                <w:rFonts w:ascii="Segoe UI" w:hAnsi="Segoe UI" w:cs="Segoe UI"/>
                                <w:b/>
                                <w:sz w:val="16"/>
                                <w:szCs w:val="16"/>
                              </w:rPr>
                              <w:t>Γ</w:t>
                            </w:r>
                            <w:r w:rsidRPr="004B74D4">
                              <w:rPr>
                                <w:rFonts w:ascii="Segoe UI" w:hAnsi="Segoe UI" w:cs="Segoe UI"/>
                                <w:b/>
                                <w:sz w:val="16"/>
                                <w:szCs w:val="16"/>
                              </w:rPr>
                              <w:t>’ τρίμηνο 2020</w:t>
                            </w:r>
                          </w:p>
                          <w:p w:rsidR="00D95F56" w:rsidRDefault="00D95F56" w:rsidP="0000442E">
                            <w:pPr>
                              <w:pStyle w:val="ListParagraph"/>
                              <w:numPr>
                                <w:ilvl w:val="0"/>
                                <w:numId w:val="7"/>
                              </w:numPr>
                              <w:spacing w:before="100" w:after="0" w:line="240" w:lineRule="auto"/>
                              <w:jc w:val="left"/>
                              <w:rPr>
                                <w:rFonts w:ascii="Segoe UI" w:hAnsi="Segoe UI" w:cs="Segoe UI"/>
                                <w:sz w:val="16"/>
                                <w:szCs w:val="16"/>
                              </w:rPr>
                            </w:pPr>
                            <w:r w:rsidRPr="008524FF">
                              <w:rPr>
                                <w:rFonts w:ascii="Segoe UI" w:hAnsi="Segoe UI" w:cs="Segoe UI"/>
                                <w:sz w:val="16"/>
                                <w:szCs w:val="16"/>
                              </w:rPr>
                              <w:t>Τα ΜΕΑ μειώθηκαν κατά €0,2 δισ. σε τριμηνιαία βάση και διαμορφώθηκαν σε €9,96 εκατ. το Γ’ τρίμηνο 2020, αντανακλώντας οργανικές ενέργειες</w:t>
                            </w:r>
                            <w:r w:rsidR="00746D66">
                              <w:rPr>
                                <w:rFonts w:ascii="Segoe UI" w:hAnsi="Segoe UI" w:cs="Segoe UI"/>
                                <w:sz w:val="16"/>
                                <w:szCs w:val="16"/>
                              </w:rPr>
                              <w:t xml:space="preserve"> και κυρίως τη μικρή αύξηση στις </w:t>
                            </w:r>
                            <w:r w:rsidRPr="008524FF">
                              <w:rPr>
                                <w:rFonts w:ascii="Segoe UI" w:hAnsi="Segoe UI" w:cs="Segoe UI"/>
                                <w:sz w:val="16"/>
                                <w:szCs w:val="16"/>
                              </w:rPr>
                              <w:t>ρευστοποιήσε</w:t>
                            </w:r>
                            <w:r w:rsidR="00746D66">
                              <w:rPr>
                                <w:rFonts w:ascii="Segoe UI" w:hAnsi="Segoe UI" w:cs="Segoe UI"/>
                                <w:sz w:val="16"/>
                                <w:szCs w:val="16"/>
                              </w:rPr>
                              <w:t>ις</w:t>
                            </w:r>
                            <w:r w:rsidRPr="008524FF">
                              <w:rPr>
                                <w:rFonts w:ascii="Segoe UI" w:hAnsi="Segoe UI" w:cs="Segoe UI"/>
                                <w:sz w:val="16"/>
                                <w:szCs w:val="16"/>
                              </w:rPr>
                              <w:t xml:space="preserve"> ενεχύρων και τις αναδιαρθρώσεις δανείων που ενέχουν διαγραφή οφειλών </w:t>
                            </w:r>
                          </w:p>
                          <w:p w:rsidR="00D95F56" w:rsidRDefault="00D95F56" w:rsidP="0000442E">
                            <w:pPr>
                              <w:pStyle w:val="ListParagraph"/>
                              <w:numPr>
                                <w:ilvl w:val="0"/>
                                <w:numId w:val="7"/>
                              </w:numPr>
                              <w:spacing w:before="100" w:after="0" w:line="240" w:lineRule="auto"/>
                              <w:jc w:val="left"/>
                              <w:rPr>
                                <w:rFonts w:ascii="Segoe UI" w:hAnsi="Segoe UI" w:cs="Segoe UI"/>
                                <w:sz w:val="16"/>
                                <w:szCs w:val="16"/>
                              </w:rPr>
                            </w:pPr>
                            <w:r w:rsidRPr="008524FF">
                              <w:rPr>
                                <w:rFonts w:ascii="Segoe UI" w:hAnsi="Segoe UI" w:cs="Segoe UI"/>
                                <w:sz w:val="16"/>
                                <w:szCs w:val="16"/>
                              </w:rPr>
                              <w:t xml:space="preserve">Οι </w:t>
                            </w:r>
                            <w:r>
                              <w:rPr>
                                <w:rFonts w:ascii="Segoe UI" w:hAnsi="Segoe UI" w:cs="Segoe UI"/>
                                <w:sz w:val="16"/>
                                <w:szCs w:val="16"/>
                              </w:rPr>
                              <w:t>νέες αθετήσεις δανείων (</w:t>
                            </w:r>
                            <w:r>
                              <w:rPr>
                                <w:rFonts w:ascii="Segoe UI" w:hAnsi="Segoe UI" w:cs="Segoe UI"/>
                                <w:sz w:val="16"/>
                                <w:szCs w:val="16"/>
                                <w:lang w:val="en-US"/>
                              </w:rPr>
                              <w:t>defaults</w:t>
                            </w:r>
                            <w:r w:rsidRPr="00A97020">
                              <w:rPr>
                                <w:rFonts w:ascii="Segoe UI" w:hAnsi="Segoe UI" w:cs="Segoe UI"/>
                                <w:sz w:val="16"/>
                                <w:szCs w:val="16"/>
                              </w:rPr>
                              <w:t xml:space="preserve">) </w:t>
                            </w:r>
                            <w:r>
                              <w:rPr>
                                <w:rFonts w:ascii="Segoe UI" w:hAnsi="Segoe UI" w:cs="Segoe UI"/>
                                <w:sz w:val="16"/>
                                <w:szCs w:val="16"/>
                              </w:rPr>
                              <w:t xml:space="preserve">διατηρούνται </w:t>
                            </w:r>
                            <w:r w:rsidRPr="008524FF">
                              <w:rPr>
                                <w:rFonts w:ascii="Segoe UI" w:hAnsi="Segoe UI" w:cs="Segoe UI"/>
                                <w:sz w:val="16"/>
                                <w:szCs w:val="16"/>
                              </w:rPr>
                              <w:t>σε χαμηλά επίπεδα,</w:t>
                            </w:r>
                            <w:r>
                              <w:rPr>
                                <w:rFonts w:ascii="Segoe UI" w:hAnsi="Segoe UI" w:cs="Segoe UI"/>
                                <w:sz w:val="16"/>
                                <w:szCs w:val="16"/>
                              </w:rPr>
                              <w:t xml:space="preserve"> </w:t>
                            </w:r>
                            <w:r w:rsidRPr="008524FF">
                              <w:rPr>
                                <w:rFonts w:ascii="Segoe UI" w:hAnsi="Segoe UI" w:cs="Segoe UI"/>
                                <w:sz w:val="16"/>
                                <w:szCs w:val="16"/>
                              </w:rPr>
                              <w:t xml:space="preserve">καθώς η αρνητική επίπτωση της συρρίκνωσης της οικονομικής δραστηριότητας αντισταθμίζεται </w:t>
                            </w:r>
                            <w:r>
                              <w:rPr>
                                <w:rFonts w:ascii="Segoe UI" w:hAnsi="Segoe UI" w:cs="Segoe UI"/>
                                <w:sz w:val="16"/>
                                <w:szCs w:val="16"/>
                              </w:rPr>
                              <w:t xml:space="preserve">σε μεγάλο βαθμό </w:t>
                            </w:r>
                            <w:r w:rsidRPr="008524FF">
                              <w:rPr>
                                <w:rFonts w:ascii="Segoe UI" w:hAnsi="Segoe UI" w:cs="Segoe UI"/>
                                <w:sz w:val="16"/>
                                <w:szCs w:val="16"/>
                              </w:rPr>
                              <w:t xml:space="preserve">από τη στοχευμένη εφαρμογή μέτρων διευκόλυνσης καταβολής οφειλών </w:t>
                            </w:r>
                            <w:r>
                              <w:rPr>
                                <w:rFonts w:ascii="Segoe UI" w:hAnsi="Segoe UI" w:cs="Segoe UI"/>
                                <w:sz w:val="16"/>
                                <w:szCs w:val="16"/>
                              </w:rPr>
                              <w:t>της Τράπεζας</w:t>
                            </w:r>
                            <w:r w:rsidR="00AA4319" w:rsidRPr="00AA4319">
                              <w:rPr>
                                <w:rFonts w:ascii="Segoe UI" w:hAnsi="Segoe UI" w:cs="Segoe UI"/>
                                <w:sz w:val="16"/>
                                <w:szCs w:val="16"/>
                              </w:rPr>
                              <w:t>,</w:t>
                            </w:r>
                            <w:r>
                              <w:rPr>
                                <w:rFonts w:ascii="Segoe UI" w:hAnsi="Segoe UI" w:cs="Segoe UI"/>
                                <w:sz w:val="16"/>
                                <w:szCs w:val="16"/>
                              </w:rPr>
                              <w:t xml:space="preserve"> καθώς και των </w:t>
                            </w:r>
                            <w:r w:rsidRPr="008524FF">
                              <w:rPr>
                                <w:rFonts w:ascii="Segoe UI" w:hAnsi="Segoe UI" w:cs="Segoe UI"/>
                                <w:sz w:val="16"/>
                                <w:szCs w:val="16"/>
                              </w:rPr>
                              <w:t>κυβερνητικ</w:t>
                            </w:r>
                            <w:r>
                              <w:rPr>
                                <w:rFonts w:ascii="Segoe UI" w:hAnsi="Segoe UI" w:cs="Segoe UI"/>
                                <w:sz w:val="16"/>
                                <w:szCs w:val="16"/>
                              </w:rPr>
                              <w:t>ών</w:t>
                            </w:r>
                            <w:r w:rsidRPr="008524FF">
                              <w:rPr>
                                <w:rFonts w:ascii="Segoe UI" w:hAnsi="Segoe UI" w:cs="Segoe UI"/>
                                <w:sz w:val="16"/>
                                <w:szCs w:val="16"/>
                              </w:rPr>
                              <w:t xml:space="preserve"> προγραμμάτ</w:t>
                            </w:r>
                            <w:r>
                              <w:rPr>
                                <w:rFonts w:ascii="Segoe UI" w:hAnsi="Segoe UI" w:cs="Segoe UI"/>
                                <w:sz w:val="16"/>
                                <w:szCs w:val="16"/>
                              </w:rPr>
                              <w:t>ων</w:t>
                            </w:r>
                            <w:r w:rsidRPr="008524FF">
                              <w:rPr>
                                <w:rFonts w:ascii="Segoe UI" w:hAnsi="Segoe UI" w:cs="Segoe UI"/>
                                <w:sz w:val="16"/>
                                <w:szCs w:val="16"/>
                              </w:rPr>
                              <w:t xml:space="preserve"> στήριξης </w:t>
                            </w:r>
                          </w:p>
                          <w:p w:rsidR="00D95F56" w:rsidRDefault="00D95F56" w:rsidP="00C37B2B">
                            <w:pPr>
                              <w:pStyle w:val="ListParagraph"/>
                              <w:spacing w:before="100" w:after="0" w:line="240" w:lineRule="auto"/>
                              <w:ind w:left="644"/>
                              <w:jc w:val="left"/>
                              <w:rPr>
                                <w:rFonts w:ascii="Segoe UI" w:hAnsi="Segoe UI" w:cs="Segoe UI"/>
                                <w:sz w:val="16"/>
                                <w:szCs w:val="16"/>
                              </w:rPr>
                            </w:pPr>
                          </w:p>
                          <w:p w:rsidR="00D95F56" w:rsidRPr="00322F1D" w:rsidRDefault="00D95F56" w:rsidP="0061399D">
                            <w:pPr>
                              <w:numPr>
                                <w:ilvl w:val="0"/>
                                <w:numId w:val="6"/>
                              </w:numPr>
                              <w:spacing w:before="120"/>
                              <w:ind w:left="351" w:hanging="357"/>
                              <w:rPr>
                                <w:rFonts w:ascii="Segoe UI" w:hAnsi="Segoe UI" w:cs="Segoe UI"/>
                                <w:b/>
                                <w:sz w:val="16"/>
                                <w:szCs w:val="16"/>
                              </w:rPr>
                            </w:pPr>
                            <w:r w:rsidRPr="00322F1D">
                              <w:rPr>
                                <w:rFonts w:ascii="Segoe UI" w:hAnsi="Segoe UI" w:cs="Segoe UI"/>
                                <w:b/>
                                <w:sz w:val="16"/>
                                <w:szCs w:val="16"/>
                              </w:rPr>
                              <w:t xml:space="preserve">Οι </w:t>
                            </w:r>
                            <w:r>
                              <w:rPr>
                                <w:rFonts w:ascii="Segoe UI" w:hAnsi="Segoe UI" w:cs="Segoe UI"/>
                                <w:b/>
                                <w:sz w:val="16"/>
                                <w:szCs w:val="16"/>
                              </w:rPr>
                              <w:t>εκταμιεύσεις δανείων</w:t>
                            </w:r>
                            <w:r w:rsidRPr="00322F1D">
                              <w:rPr>
                                <w:rFonts w:ascii="Segoe UI" w:hAnsi="Segoe UI" w:cs="Segoe UI"/>
                                <w:b/>
                                <w:sz w:val="16"/>
                                <w:szCs w:val="16"/>
                              </w:rPr>
                              <w:t xml:space="preserve"> στην Ελλάδα ανήλθαν σε €</w:t>
                            </w:r>
                            <w:r>
                              <w:rPr>
                                <w:rFonts w:ascii="Segoe UI" w:hAnsi="Segoe UI" w:cs="Segoe UI"/>
                                <w:b/>
                                <w:sz w:val="16"/>
                                <w:szCs w:val="16"/>
                              </w:rPr>
                              <w:t>3,</w:t>
                            </w:r>
                            <w:r w:rsidR="003F2CD7">
                              <w:rPr>
                                <w:rFonts w:ascii="Segoe UI" w:hAnsi="Segoe UI" w:cs="Segoe UI"/>
                                <w:b/>
                                <w:sz w:val="16"/>
                                <w:szCs w:val="16"/>
                              </w:rPr>
                              <w:t>5</w:t>
                            </w:r>
                            <w:r w:rsidRPr="00322F1D">
                              <w:rPr>
                                <w:rFonts w:ascii="Segoe UI" w:hAnsi="Segoe UI" w:cs="Segoe UI"/>
                                <w:b/>
                                <w:sz w:val="16"/>
                                <w:szCs w:val="16"/>
                              </w:rPr>
                              <w:t xml:space="preserve"> δισ. </w:t>
                            </w:r>
                            <w:r>
                              <w:rPr>
                                <w:rFonts w:ascii="Segoe UI" w:hAnsi="Segoe UI" w:cs="Segoe UI"/>
                                <w:b/>
                                <w:sz w:val="16"/>
                                <w:szCs w:val="16"/>
                              </w:rPr>
                              <w:t>το δεκάμηνο 2020, ενισχυμένες κατά 42% σε ετήσια βάση, αντανακλώντας τις εκταμιεύσεις δανείων προς επιχειρήσεις</w:t>
                            </w:r>
                          </w:p>
                          <w:p w:rsidR="00D95F56" w:rsidRDefault="00D95F56" w:rsidP="00FA0B08">
                            <w:pPr>
                              <w:pStyle w:val="ListParagraph"/>
                              <w:numPr>
                                <w:ilvl w:val="0"/>
                                <w:numId w:val="7"/>
                              </w:numPr>
                              <w:spacing w:before="100" w:after="0" w:line="240" w:lineRule="auto"/>
                              <w:jc w:val="left"/>
                              <w:rPr>
                                <w:rFonts w:ascii="Segoe UI" w:hAnsi="Segoe UI" w:cs="Segoe UI"/>
                                <w:sz w:val="16"/>
                                <w:szCs w:val="16"/>
                              </w:rPr>
                            </w:pPr>
                            <w:r>
                              <w:rPr>
                                <w:rFonts w:ascii="Segoe UI" w:hAnsi="Segoe UI" w:cs="Segoe UI"/>
                                <w:sz w:val="16"/>
                                <w:szCs w:val="16"/>
                              </w:rPr>
                              <w:t xml:space="preserve">Οι νέες εκταμιεύσεις δανείων </w:t>
                            </w:r>
                            <w:r w:rsidRPr="00836B14">
                              <w:rPr>
                                <w:rFonts w:ascii="Segoe UI" w:hAnsi="Segoe UI" w:cs="Segoe UI"/>
                                <w:sz w:val="16"/>
                                <w:szCs w:val="16"/>
                              </w:rPr>
                              <w:t>αναμένεται να υπερβ</w:t>
                            </w:r>
                            <w:r>
                              <w:rPr>
                                <w:rFonts w:ascii="Segoe UI" w:hAnsi="Segoe UI" w:cs="Segoe UI"/>
                                <w:sz w:val="16"/>
                                <w:szCs w:val="16"/>
                              </w:rPr>
                              <w:t>ούν</w:t>
                            </w:r>
                            <w:r w:rsidR="00FA0B08" w:rsidRPr="00FA0B08">
                              <w:rPr>
                                <w:rFonts w:ascii="Segoe UI" w:hAnsi="Segoe UI" w:cs="Segoe UI"/>
                                <w:sz w:val="16"/>
                                <w:szCs w:val="16"/>
                              </w:rPr>
                              <w:t xml:space="preserve"> σημαντικά </w:t>
                            </w:r>
                            <w:r>
                              <w:rPr>
                                <w:rFonts w:ascii="Segoe UI" w:hAnsi="Segoe UI" w:cs="Segoe UI"/>
                                <w:sz w:val="16"/>
                                <w:szCs w:val="16"/>
                              </w:rPr>
                              <w:t xml:space="preserve">τον στόχο των </w:t>
                            </w:r>
                            <w:r w:rsidRPr="004A5DBC">
                              <w:rPr>
                                <w:rFonts w:ascii="Segoe UI" w:hAnsi="Segoe UI" w:cs="Segoe UI"/>
                                <w:sz w:val="16"/>
                                <w:szCs w:val="16"/>
                              </w:rPr>
                              <w:t>€4 δισ. για το 2020</w:t>
                            </w:r>
                            <w:r>
                              <w:rPr>
                                <w:rFonts w:ascii="Segoe UI" w:hAnsi="Segoe UI" w:cs="Segoe UI"/>
                                <w:sz w:val="16"/>
                                <w:szCs w:val="16"/>
                              </w:rPr>
                              <w:t xml:space="preserve"> </w:t>
                            </w:r>
                            <w:r w:rsidRPr="007B7E68">
                              <w:rPr>
                                <w:rFonts w:ascii="Segoe UI" w:hAnsi="Segoe UI" w:cs="Segoe UI"/>
                                <w:sz w:val="16"/>
                                <w:szCs w:val="16"/>
                              </w:rPr>
                              <w:t>που είχ</w:t>
                            </w:r>
                            <w:r>
                              <w:rPr>
                                <w:rFonts w:ascii="Segoe UI" w:hAnsi="Segoe UI" w:cs="Segoe UI"/>
                                <w:sz w:val="16"/>
                                <w:szCs w:val="16"/>
                              </w:rPr>
                              <w:t>ε θέσει η Τράπεζα προ κορωνοϊού, επωφελούμενες από τα κ</w:t>
                            </w:r>
                            <w:r w:rsidRPr="004B00A2">
                              <w:rPr>
                                <w:rFonts w:ascii="Segoe UI" w:hAnsi="Segoe UI" w:cs="Segoe UI"/>
                                <w:sz w:val="16"/>
                                <w:szCs w:val="16"/>
                              </w:rPr>
                              <w:t>υβ</w:t>
                            </w:r>
                            <w:r>
                              <w:rPr>
                                <w:rFonts w:ascii="Segoe UI" w:hAnsi="Segoe UI" w:cs="Segoe UI"/>
                                <w:sz w:val="16"/>
                                <w:szCs w:val="16"/>
                              </w:rPr>
                              <w:t xml:space="preserve">ερνητικά </w:t>
                            </w:r>
                            <w:r w:rsidRPr="004B00A2">
                              <w:rPr>
                                <w:rFonts w:ascii="Segoe UI" w:hAnsi="Segoe UI" w:cs="Segoe UI"/>
                                <w:sz w:val="16"/>
                                <w:szCs w:val="16"/>
                              </w:rPr>
                              <w:t>προγράμματ</w:t>
                            </w:r>
                            <w:r>
                              <w:rPr>
                                <w:rFonts w:ascii="Segoe UI" w:hAnsi="Segoe UI" w:cs="Segoe UI"/>
                                <w:sz w:val="16"/>
                                <w:szCs w:val="16"/>
                              </w:rPr>
                              <w:t>α</w:t>
                            </w:r>
                            <w:r w:rsidRPr="004B00A2">
                              <w:rPr>
                                <w:rFonts w:ascii="Segoe UI" w:hAnsi="Segoe UI" w:cs="Segoe UI"/>
                                <w:sz w:val="16"/>
                                <w:szCs w:val="16"/>
                              </w:rPr>
                              <w:t xml:space="preserve"> στήριξης </w:t>
                            </w:r>
                            <w:r>
                              <w:rPr>
                                <w:rFonts w:ascii="Segoe UI" w:hAnsi="Segoe UI" w:cs="Segoe UI"/>
                                <w:sz w:val="16"/>
                                <w:szCs w:val="16"/>
                              </w:rPr>
                              <w:t>των επιχειρήσεων για την αντιμετώπιση των επιπτώσεων της πανδημίας του κορωνοϊού</w:t>
                            </w:r>
                          </w:p>
                          <w:p w:rsidR="00D95F56" w:rsidRPr="00A70C0D" w:rsidRDefault="00D95F56" w:rsidP="00BD03A8">
                            <w:pPr>
                              <w:pStyle w:val="ListParagraph"/>
                              <w:numPr>
                                <w:ilvl w:val="0"/>
                                <w:numId w:val="7"/>
                              </w:numPr>
                              <w:spacing w:before="100" w:after="0" w:line="240" w:lineRule="auto"/>
                              <w:jc w:val="left"/>
                              <w:rPr>
                                <w:rFonts w:ascii="Segoe UI" w:hAnsi="Segoe UI" w:cs="Segoe UI"/>
                                <w:sz w:val="16"/>
                                <w:szCs w:val="16"/>
                              </w:rPr>
                            </w:pPr>
                            <w:r w:rsidRPr="00A70C0D">
                              <w:rPr>
                                <w:rFonts w:ascii="Segoe UI" w:hAnsi="Segoe UI" w:cs="Segoe UI"/>
                                <w:sz w:val="16"/>
                                <w:szCs w:val="16"/>
                              </w:rPr>
                              <w:t>Οι εγχώρι</w:t>
                            </w:r>
                            <w:r>
                              <w:rPr>
                                <w:rFonts w:ascii="Segoe UI" w:hAnsi="Segoe UI" w:cs="Segoe UI"/>
                                <w:sz w:val="16"/>
                                <w:szCs w:val="16"/>
                              </w:rPr>
                              <w:t>ες καταθέσεις αυξήθηκαν κατά €1,5 δισ. ή 3</w:t>
                            </w:r>
                            <w:r w:rsidRPr="00A70C0D">
                              <w:rPr>
                                <w:rFonts w:ascii="Segoe UI" w:hAnsi="Segoe UI" w:cs="Segoe UI"/>
                                <w:sz w:val="16"/>
                                <w:szCs w:val="16"/>
                              </w:rPr>
                              <w:t xml:space="preserve">% </w:t>
                            </w:r>
                            <w:r>
                              <w:rPr>
                                <w:rFonts w:ascii="Segoe UI" w:hAnsi="Segoe UI" w:cs="Segoe UI"/>
                                <w:sz w:val="16"/>
                                <w:szCs w:val="16"/>
                              </w:rPr>
                              <w:t>από την αρχή του έτους σε €43,7 δισ.</w:t>
                            </w:r>
                            <w:r w:rsidRPr="00A70C0D">
                              <w:rPr>
                                <w:rFonts w:ascii="Segoe UI" w:hAnsi="Segoe UI" w:cs="Segoe UI"/>
                                <w:sz w:val="16"/>
                                <w:szCs w:val="16"/>
                              </w:rPr>
                              <w:t>, αντανακλώντας εισροές καταθέσεων ιδιωτών</w:t>
                            </w:r>
                            <w:r>
                              <w:rPr>
                                <w:rFonts w:ascii="Segoe UI" w:hAnsi="Segoe UI" w:cs="Segoe UI"/>
                                <w:sz w:val="16"/>
                                <w:szCs w:val="16"/>
                              </w:rPr>
                              <w:t xml:space="preserve">, ως αποτέλεσμα της αύξησης των αποταμιεύσεων των επιχειρήσεων και των νοικοκυριών. </w:t>
                            </w:r>
                            <w:r w:rsidRPr="00A70C0D">
                              <w:rPr>
                                <w:rFonts w:ascii="Segoe UI" w:hAnsi="Segoe UI" w:cs="Segoe UI"/>
                                <w:sz w:val="16"/>
                                <w:szCs w:val="16"/>
                              </w:rPr>
                              <w:t>Οι δείκτες Κάλυψης Ρευστότητας (</w:t>
                            </w:r>
                            <w:r w:rsidRPr="00A70C0D">
                              <w:rPr>
                                <w:rFonts w:ascii="Segoe UI" w:hAnsi="Segoe UI" w:cs="Segoe UI"/>
                                <w:sz w:val="16"/>
                                <w:szCs w:val="16"/>
                                <w:lang w:val="en-US"/>
                              </w:rPr>
                              <w:t>Liquidity</w:t>
                            </w:r>
                            <w:r w:rsidRPr="00A70C0D">
                              <w:rPr>
                                <w:rFonts w:ascii="Segoe UI" w:hAnsi="Segoe UI" w:cs="Segoe UI"/>
                                <w:sz w:val="16"/>
                                <w:szCs w:val="16"/>
                              </w:rPr>
                              <w:t xml:space="preserve"> </w:t>
                            </w:r>
                            <w:r w:rsidRPr="00A70C0D">
                              <w:rPr>
                                <w:rFonts w:ascii="Segoe UI" w:hAnsi="Segoe UI" w:cs="Segoe UI"/>
                                <w:sz w:val="16"/>
                                <w:szCs w:val="16"/>
                                <w:lang w:val="en-US"/>
                              </w:rPr>
                              <w:t>Coverage</w:t>
                            </w:r>
                            <w:r w:rsidRPr="00A70C0D">
                              <w:rPr>
                                <w:rFonts w:ascii="Segoe UI" w:hAnsi="Segoe UI" w:cs="Segoe UI"/>
                                <w:sz w:val="16"/>
                                <w:szCs w:val="16"/>
                              </w:rPr>
                              <w:t xml:space="preserve"> </w:t>
                            </w:r>
                            <w:r w:rsidRPr="00A70C0D">
                              <w:rPr>
                                <w:rFonts w:ascii="Segoe UI" w:hAnsi="Segoe UI" w:cs="Segoe UI"/>
                                <w:sz w:val="16"/>
                                <w:szCs w:val="16"/>
                                <w:lang w:val="en-US"/>
                              </w:rPr>
                              <w:t>Ratio</w:t>
                            </w:r>
                            <w:r w:rsidRPr="00A70C0D">
                              <w:rPr>
                                <w:rFonts w:ascii="Segoe UI" w:hAnsi="Segoe UI" w:cs="Segoe UI"/>
                                <w:sz w:val="16"/>
                                <w:szCs w:val="16"/>
                              </w:rPr>
                              <w:t xml:space="preserve"> - </w:t>
                            </w:r>
                            <w:r w:rsidRPr="00A70C0D">
                              <w:rPr>
                                <w:rFonts w:ascii="Segoe UI" w:hAnsi="Segoe UI" w:cs="Segoe UI"/>
                                <w:sz w:val="16"/>
                                <w:szCs w:val="16"/>
                                <w:lang w:val="en-US"/>
                              </w:rPr>
                              <w:t>LCR</w:t>
                            </w:r>
                            <w:r w:rsidRPr="00A70C0D">
                              <w:rPr>
                                <w:rFonts w:ascii="Segoe UI" w:hAnsi="Segoe UI" w:cs="Segoe UI"/>
                                <w:sz w:val="16"/>
                                <w:szCs w:val="16"/>
                              </w:rPr>
                              <w:t>) και Καθαρής Σταθερής Χρηματοδότησης (</w:t>
                            </w:r>
                            <w:r w:rsidRPr="00A70C0D">
                              <w:rPr>
                                <w:rFonts w:ascii="Segoe UI" w:hAnsi="Segoe UI" w:cs="Segoe UI"/>
                                <w:sz w:val="16"/>
                                <w:szCs w:val="16"/>
                                <w:lang w:val="en-US"/>
                              </w:rPr>
                              <w:t>Net</w:t>
                            </w:r>
                            <w:r w:rsidRPr="00A70C0D">
                              <w:rPr>
                                <w:rFonts w:ascii="Segoe UI" w:hAnsi="Segoe UI" w:cs="Segoe UI"/>
                                <w:sz w:val="16"/>
                                <w:szCs w:val="16"/>
                              </w:rPr>
                              <w:t xml:space="preserve"> </w:t>
                            </w:r>
                            <w:r w:rsidRPr="00A70C0D">
                              <w:rPr>
                                <w:rFonts w:ascii="Segoe UI" w:hAnsi="Segoe UI" w:cs="Segoe UI"/>
                                <w:sz w:val="16"/>
                                <w:szCs w:val="16"/>
                                <w:lang w:val="en-US"/>
                              </w:rPr>
                              <w:t>Stable</w:t>
                            </w:r>
                            <w:r w:rsidRPr="00A70C0D">
                              <w:rPr>
                                <w:rFonts w:ascii="Segoe UI" w:hAnsi="Segoe UI" w:cs="Segoe UI"/>
                                <w:sz w:val="16"/>
                                <w:szCs w:val="16"/>
                              </w:rPr>
                              <w:t xml:space="preserve"> </w:t>
                            </w:r>
                            <w:r w:rsidRPr="00A70C0D">
                              <w:rPr>
                                <w:rFonts w:ascii="Segoe UI" w:hAnsi="Segoe UI" w:cs="Segoe UI"/>
                                <w:sz w:val="16"/>
                                <w:szCs w:val="16"/>
                                <w:lang w:val="en-US"/>
                              </w:rPr>
                              <w:t>Funding</w:t>
                            </w:r>
                            <w:r w:rsidRPr="00A70C0D">
                              <w:rPr>
                                <w:rFonts w:ascii="Segoe UI" w:hAnsi="Segoe UI" w:cs="Segoe UI"/>
                                <w:sz w:val="16"/>
                                <w:szCs w:val="16"/>
                              </w:rPr>
                              <w:t xml:space="preserve"> </w:t>
                            </w:r>
                            <w:r w:rsidRPr="00A70C0D">
                              <w:rPr>
                                <w:rFonts w:ascii="Segoe UI" w:hAnsi="Segoe UI" w:cs="Segoe UI"/>
                                <w:sz w:val="16"/>
                                <w:szCs w:val="16"/>
                                <w:lang w:val="en-US"/>
                              </w:rPr>
                              <w:t>Ratio</w:t>
                            </w:r>
                            <w:r w:rsidRPr="00A70C0D">
                              <w:rPr>
                                <w:rFonts w:ascii="Segoe UI" w:hAnsi="Segoe UI" w:cs="Segoe UI"/>
                                <w:sz w:val="16"/>
                                <w:szCs w:val="16"/>
                              </w:rPr>
                              <w:t xml:space="preserve"> – </w:t>
                            </w:r>
                            <w:r w:rsidRPr="00A70C0D">
                              <w:rPr>
                                <w:rFonts w:ascii="Segoe UI" w:hAnsi="Segoe UI" w:cs="Segoe UI"/>
                                <w:sz w:val="16"/>
                                <w:szCs w:val="16"/>
                                <w:lang w:val="en-US"/>
                              </w:rPr>
                              <w:t>NSFR</w:t>
                            </w:r>
                            <w:r w:rsidRPr="00A70C0D">
                              <w:rPr>
                                <w:rFonts w:ascii="Segoe UI" w:hAnsi="Segoe UI" w:cs="Segoe UI"/>
                                <w:sz w:val="16"/>
                                <w:szCs w:val="16"/>
                              </w:rPr>
                              <w:t>) διατηρ</w:t>
                            </w:r>
                            <w:r>
                              <w:rPr>
                                <w:rFonts w:ascii="Segoe UI" w:hAnsi="Segoe UI" w:cs="Segoe UI"/>
                                <w:sz w:val="16"/>
                                <w:szCs w:val="16"/>
                              </w:rPr>
                              <w:t xml:space="preserve">ήθηκαν </w:t>
                            </w:r>
                            <w:r w:rsidRPr="00A70C0D">
                              <w:rPr>
                                <w:rFonts w:ascii="Segoe UI" w:hAnsi="Segoe UI" w:cs="Segoe UI"/>
                                <w:sz w:val="16"/>
                                <w:szCs w:val="16"/>
                              </w:rPr>
                              <w:t>σε επίπεδα πλέον του 100</w:t>
                            </w:r>
                            <w:r>
                              <w:rPr>
                                <w:rFonts w:ascii="Segoe UI" w:hAnsi="Segoe UI" w:cs="Segoe UI"/>
                                <w:sz w:val="16"/>
                                <w:szCs w:val="16"/>
                              </w:rPr>
                              <w:t>%, υπερβαίνοντας κατά πολύ τα ελάχιστα εποπτικά όρια</w:t>
                            </w:r>
                            <w:r w:rsidRPr="00A70C0D">
                              <w:rPr>
                                <w:rFonts w:ascii="Segoe UI" w:hAnsi="Segoe UI" w:cs="Segoe UI"/>
                                <w:sz w:val="16"/>
                                <w:szCs w:val="16"/>
                              </w:rPr>
                              <w:t xml:space="preserve"> </w:t>
                            </w:r>
                          </w:p>
                          <w:p w:rsidR="00D95F56" w:rsidRPr="00D85A91" w:rsidRDefault="00D95F56" w:rsidP="0000442E">
                            <w:pPr>
                              <w:pStyle w:val="ListParagraph"/>
                              <w:numPr>
                                <w:ilvl w:val="0"/>
                                <w:numId w:val="7"/>
                              </w:numPr>
                              <w:spacing w:before="100" w:after="0" w:line="240" w:lineRule="auto"/>
                              <w:jc w:val="left"/>
                              <w:rPr>
                                <w:rFonts w:ascii="Segoe UI" w:hAnsi="Segoe UI" w:cs="Segoe UI"/>
                                <w:sz w:val="2"/>
                                <w:szCs w:val="2"/>
                              </w:rPr>
                            </w:pPr>
                            <w:r w:rsidRPr="00522711">
                              <w:rPr>
                                <w:rFonts w:ascii="Segoe UI" w:hAnsi="Segoe UI" w:cs="Segoe UI"/>
                                <w:sz w:val="16"/>
                                <w:szCs w:val="16"/>
                              </w:rPr>
                              <w:t>Η επιτυχής έκδοση πράσινου ομολόγου υψηλής εξασφάλισης ύψους €500</w:t>
                            </w:r>
                            <w:r w:rsidR="002004BB">
                              <w:rPr>
                                <w:rFonts w:ascii="Segoe UI" w:hAnsi="Segoe UI" w:cs="Segoe UI"/>
                                <w:sz w:val="16"/>
                                <w:szCs w:val="16"/>
                              </w:rPr>
                              <w:t xml:space="preserve"> </w:t>
                            </w:r>
                            <w:r w:rsidRPr="00522711">
                              <w:rPr>
                                <w:rFonts w:ascii="Segoe UI" w:hAnsi="Segoe UI" w:cs="Segoe UI"/>
                                <w:sz w:val="16"/>
                                <w:szCs w:val="16"/>
                              </w:rPr>
                              <w:t>εκατ. με εξαετή διάρκεια και τοκομερίδιο 2,75% αποτελεί μέρος της στρατηγικής βελτιστοποίησης της κεφαλαιακής δομής της Τράπεζας μέσω της διεύρυνσης των κεφαλαίων δεύτερης διαβάθμισης (Minimum Required Eligible Liabilities – MREL).</w:t>
                            </w:r>
                            <w:r w:rsidRPr="00AD588A">
                              <w:t xml:space="preserve"> </w:t>
                            </w:r>
                            <w:r w:rsidRPr="00522711">
                              <w:rPr>
                                <w:rFonts w:ascii="Segoe UI" w:hAnsi="Segoe UI" w:cs="Segoe UI"/>
                                <w:sz w:val="16"/>
                                <w:szCs w:val="16"/>
                              </w:rPr>
                              <w:t xml:space="preserve">Η εν λόγω συναλλαγή αποτελεί </w:t>
                            </w:r>
                            <w:r>
                              <w:rPr>
                                <w:rFonts w:ascii="Segoe UI" w:hAnsi="Segoe UI" w:cs="Segoe UI"/>
                                <w:sz w:val="16"/>
                                <w:szCs w:val="16"/>
                              </w:rPr>
                              <w:t xml:space="preserve">επίσης </w:t>
                            </w:r>
                            <w:r w:rsidRPr="00522711">
                              <w:rPr>
                                <w:rFonts w:ascii="Segoe UI" w:hAnsi="Segoe UI" w:cs="Segoe UI"/>
                                <w:sz w:val="16"/>
                                <w:szCs w:val="16"/>
                              </w:rPr>
                              <w:t>έμπρακτη επιβεβαίωση της δέσμευσης τη</w:t>
                            </w:r>
                            <w:r>
                              <w:rPr>
                                <w:rFonts w:ascii="Segoe UI" w:hAnsi="Segoe UI" w:cs="Segoe UI"/>
                                <w:sz w:val="16"/>
                                <w:szCs w:val="16"/>
                              </w:rPr>
                              <w:t>ς</w:t>
                            </w:r>
                            <w:r w:rsidRPr="00522711">
                              <w:rPr>
                                <w:rFonts w:ascii="Segoe UI" w:hAnsi="Segoe UI" w:cs="Segoe UI"/>
                                <w:sz w:val="16"/>
                                <w:szCs w:val="16"/>
                              </w:rPr>
                              <w:t xml:space="preserve"> Εθνική</w:t>
                            </w:r>
                            <w:r>
                              <w:rPr>
                                <w:rFonts w:ascii="Segoe UI" w:hAnsi="Segoe UI" w:cs="Segoe UI"/>
                                <w:sz w:val="16"/>
                                <w:szCs w:val="16"/>
                              </w:rPr>
                              <w:t>ς</w:t>
                            </w:r>
                            <w:r w:rsidRPr="00522711">
                              <w:rPr>
                                <w:rFonts w:ascii="Segoe UI" w:hAnsi="Segoe UI" w:cs="Segoe UI"/>
                                <w:sz w:val="16"/>
                                <w:szCs w:val="16"/>
                              </w:rPr>
                              <w:t xml:space="preserve"> Τράπεζας να στηρίξει την ελληνική οικονομία, με την χρηματοδότηση έργων στον κλάδο της ενέργειας να αποτελεί στρατηγικό στόχο της Τράπεζας </w:t>
                            </w:r>
                          </w:p>
                          <w:p w:rsidR="00D95F56" w:rsidRPr="00D85A91" w:rsidRDefault="00D95F56" w:rsidP="00D85A91">
                            <w:pPr>
                              <w:pStyle w:val="ListParagraph"/>
                              <w:spacing w:before="100" w:after="0" w:line="240" w:lineRule="auto"/>
                              <w:ind w:left="644"/>
                              <w:jc w:val="left"/>
                              <w:rPr>
                                <w:rFonts w:ascii="Segoe UI" w:hAnsi="Segoe UI" w:cs="Segoe UI"/>
                                <w:sz w:val="16"/>
                                <w:szCs w:val="16"/>
                              </w:rPr>
                            </w:pPr>
                          </w:p>
                          <w:p w:rsidR="00D95F56" w:rsidRPr="00322F1D" w:rsidRDefault="00D95F56" w:rsidP="00074812">
                            <w:pPr>
                              <w:numPr>
                                <w:ilvl w:val="0"/>
                                <w:numId w:val="6"/>
                              </w:numPr>
                              <w:spacing w:before="120"/>
                              <w:rPr>
                                <w:rFonts w:ascii="Segoe UI" w:hAnsi="Segoe UI" w:cs="Segoe UI"/>
                                <w:b/>
                                <w:sz w:val="16"/>
                                <w:szCs w:val="16"/>
                              </w:rPr>
                            </w:pPr>
                            <w:r w:rsidRPr="00322F1D">
                              <w:rPr>
                                <w:rFonts w:ascii="Segoe UI" w:hAnsi="Segoe UI" w:cs="Segoe UI"/>
                                <w:b/>
                                <w:sz w:val="16"/>
                                <w:szCs w:val="16"/>
                              </w:rPr>
                              <w:t xml:space="preserve">Δείκτης </w:t>
                            </w:r>
                            <w:r w:rsidRPr="00322F1D">
                              <w:rPr>
                                <w:rFonts w:ascii="Segoe UI" w:hAnsi="Segoe UI" w:cs="Segoe UI"/>
                                <w:b/>
                                <w:sz w:val="16"/>
                                <w:szCs w:val="16"/>
                                <w:lang w:val="en-US"/>
                              </w:rPr>
                              <w:t>CET</w:t>
                            </w:r>
                            <w:r w:rsidRPr="00322F1D">
                              <w:rPr>
                                <w:rFonts w:ascii="Segoe UI" w:hAnsi="Segoe UI" w:cs="Segoe UI"/>
                                <w:b/>
                                <w:sz w:val="16"/>
                                <w:szCs w:val="16"/>
                              </w:rPr>
                              <w:t xml:space="preserve">1 στο </w:t>
                            </w:r>
                            <w:r>
                              <w:rPr>
                                <w:rFonts w:ascii="Segoe UI" w:hAnsi="Segoe UI" w:cs="Segoe UI"/>
                                <w:b/>
                                <w:sz w:val="16"/>
                                <w:szCs w:val="16"/>
                              </w:rPr>
                              <w:t>15,</w:t>
                            </w:r>
                            <w:r w:rsidRPr="00283FBA">
                              <w:rPr>
                                <w:rFonts w:ascii="Segoe UI" w:hAnsi="Segoe UI" w:cs="Segoe UI"/>
                                <w:b/>
                                <w:sz w:val="16"/>
                                <w:szCs w:val="16"/>
                              </w:rPr>
                              <w:t>9</w:t>
                            </w:r>
                            <w:r w:rsidRPr="00322F1D">
                              <w:rPr>
                                <w:rFonts w:ascii="Segoe UI" w:hAnsi="Segoe UI" w:cs="Segoe UI"/>
                                <w:b/>
                                <w:sz w:val="16"/>
                                <w:szCs w:val="16"/>
                              </w:rPr>
                              <w:t>%</w:t>
                            </w:r>
                            <w:r>
                              <w:rPr>
                                <w:rFonts w:ascii="Segoe UI" w:hAnsi="Segoe UI" w:cs="Segoe UI"/>
                                <w:b/>
                                <w:sz w:val="16"/>
                                <w:szCs w:val="16"/>
                                <w:vertAlign w:val="superscript"/>
                              </w:rPr>
                              <w:t>3</w:t>
                            </w:r>
                            <w:r w:rsidRPr="00322F1D">
                              <w:rPr>
                                <w:rFonts w:ascii="Segoe UI" w:hAnsi="Segoe UI" w:cs="Segoe UI"/>
                                <w:b/>
                                <w:sz w:val="16"/>
                                <w:szCs w:val="16"/>
                              </w:rPr>
                              <w:t xml:space="preserve">, </w:t>
                            </w:r>
                            <w:r>
                              <w:rPr>
                                <w:rFonts w:ascii="Segoe UI" w:hAnsi="Segoe UI" w:cs="Segoe UI"/>
                                <w:b/>
                                <w:sz w:val="16"/>
                                <w:szCs w:val="16"/>
                              </w:rPr>
                              <w:t xml:space="preserve">με το </w:t>
                            </w:r>
                            <w:r w:rsidRPr="00074812">
                              <w:rPr>
                                <w:rFonts w:ascii="Segoe UI" w:hAnsi="Segoe UI" w:cs="Segoe UI"/>
                                <w:b/>
                                <w:sz w:val="16"/>
                                <w:szCs w:val="16"/>
                              </w:rPr>
                              <w:t xml:space="preserve">Συνολικό Δείκτη Κεφαλαιακή Επάρκειας </w:t>
                            </w:r>
                            <w:r>
                              <w:rPr>
                                <w:rFonts w:ascii="Segoe UI" w:hAnsi="Segoe UI" w:cs="Segoe UI"/>
                                <w:b/>
                                <w:sz w:val="16"/>
                                <w:szCs w:val="16"/>
                              </w:rPr>
                              <w:t xml:space="preserve">να ανέρχεται </w:t>
                            </w:r>
                            <w:r w:rsidRPr="00074812">
                              <w:rPr>
                                <w:rFonts w:ascii="Segoe UI" w:hAnsi="Segoe UI" w:cs="Segoe UI"/>
                                <w:b/>
                                <w:sz w:val="16"/>
                                <w:szCs w:val="16"/>
                              </w:rPr>
                              <w:t>σε 16,</w:t>
                            </w:r>
                            <w:r>
                              <w:rPr>
                                <w:rFonts w:ascii="Segoe UI" w:hAnsi="Segoe UI" w:cs="Segoe UI"/>
                                <w:b/>
                                <w:sz w:val="16"/>
                                <w:szCs w:val="16"/>
                              </w:rPr>
                              <w:t>9</w:t>
                            </w:r>
                            <w:r w:rsidRPr="00074812">
                              <w:rPr>
                                <w:rFonts w:ascii="Segoe UI" w:hAnsi="Segoe UI" w:cs="Segoe UI"/>
                                <w:b/>
                                <w:sz w:val="16"/>
                                <w:szCs w:val="16"/>
                              </w:rPr>
                              <w:t>%</w:t>
                            </w:r>
                            <w:r>
                              <w:rPr>
                                <w:rFonts w:ascii="Segoe UI" w:hAnsi="Segoe UI" w:cs="Segoe UI"/>
                                <w:b/>
                                <w:sz w:val="16"/>
                                <w:szCs w:val="16"/>
                                <w:vertAlign w:val="superscript"/>
                              </w:rPr>
                              <w:t>3</w:t>
                            </w:r>
                            <w:r w:rsidRPr="00322F1D">
                              <w:rPr>
                                <w:rFonts w:ascii="Segoe UI" w:hAnsi="Segoe UI" w:cs="Segoe UI"/>
                                <w:b/>
                                <w:sz w:val="16"/>
                                <w:szCs w:val="16"/>
                              </w:rPr>
                              <w:t xml:space="preserve"> </w:t>
                            </w:r>
                          </w:p>
                          <w:p w:rsidR="00D95F56" w:rsidRPr="00807C0E" w:rsidRDefault="00D95F56" w:rsidP="00807C0E">
                            <w:pPr>
                              <w:pStyle w:val="ListParagraph"/>
                              <w:numPr>
                                <w:ilvl w:val="0"/>
                                <w:numId w:val="8"/>
                              </w:numPr>
                              <w:spacing w:before="100" w:after="0" w:line="240" w:lineRule="auto"/>
                              <w:jc w:val="left"/>
                              <w:rPr>
                                <w:rFonts w:ascii="Segoe UI" w:hAnsi="Segoe UI" w:cs="Segoe UI"/>
                                <w:sz w:val="16"/>
                                <w:szCs w:val="16"/>
                              </w:rPr>
                            </w:pPr>
                            <w:r w:rsidRPr="001565D8">
                              <w:rPr>
                                <w:rFonts w:ascii="Segoe UI" w:hAnsi="Segoe UI" w:cs="Segoe UI"/>
                                <w:sz w:val="16"/>
                                <w:szCs w:val="16"/>
                              </w:rPr>
                              <w:t xml:space="preserve">Ο δείκτης </w:t>
                            </w:r>
                            <w:r w:rsidRPr="001565D8">
                              <w:rPr>
                                <w:rFonts w:ascii="Segoe UI" w:hAnsi="Segoe UI" w:cs="Segoe UI"/>
                                <w:sz w:val="16"/>
                                <w:szCs w:val="16"/>
                                <w:lang w:val="en-US"/>
                              </w:rPr>
                              <w:t>CET</w:t>
                            </w:r>
                            <w:r w:rsidRPr="001565D8">
                              <w:rPr>
                                <w:rFonts w:ascii="Segoe UI" w:hAnsi="Segoe UI" w:cs="Segoe UI"/>
                                <w:sz w:val="16"/>
                                <w:szCs w:val="16"/>
                              </w:rPr>
                              <w:t xml:space="preserve">1 </w:t>
                            </w:r>
                            <w:r>
                              <w:rPr>
                                <w:rFonts w:ascii="Segoe UI" w:hAnsi="Segoe UI" w:cs="Segoe UI"/>
                                <w:sz w:val="16"/>
                                <w:szCs w:val="16"/>
                              </w:rPr>
                              <w:t>ύψους 15,9</w:t>
                            </w:r>
                            <w:r w:rsidRPr="001565D8">
                              <w:rPr>
                                <w:rFonts w:ascii="Segoe UI" w:hAnsi="Segoe UI" w:cs="Segoe UI"/>
                                <w:sz w:val="16"/>
                                <w:szCs w:val="16"/>
                              </w:rPr>
                              <w:t>%</w:t>
                            </w:r>
                            <w:r>
                              <w:rPr>
                                <w:rFonts w:ascii="Segoe UI" w:hAnsi="Segoe UI" w:cs="Segoe UI"/>
                                <w:sz w:val="16"/>
                                <w:szCs w:val="16"/>
                                <w:vertAlign w:val="superscript"/>
                              </w:rPr>
                              <w:t>3</w:t>
                            </w:r>
                            <w:r w:rsidRPr="001565D8">
                              <w:rPr>
                                <w:rFonts w:ascii="Segoe UI" w:hAnsi="Segoe UI" w:cs="Segoe UI"/>
                                <w:sz w:val="16"/>
                                <w:szCs w:val="16"/>
                              </w:rPr>
                              <w:t xml:space="preserve"> </w:t>
                            </w:r>
                            <w:r>
                              <w:rPr>
                                <w:rFonts w:ascii="Segoe UI" w:hAnsi="Segoe UI" w:cs="Segoe UI"/>
                                <w:sz w:val="16"/>
                                <w:szCs w:val="16"/>
                              </w:rPr>
                              <w:t>το Γ’ τρίμηνο 2020 ενσωματώνει την αρνητική επίπτωση των</w:t>
                            </w:r>
                            <w:r w:rsidRPr="00465AAF">
                              <w:rPr>
                                <w:rFonts w:ascii="Segoe UI" w:hAnsi="Segoe UI" w:cs="Segoe UI"/>
                                <w:sz w:val="16"/>
                                <w:szCs w:val="16"/>
                              </w:rPr>
                              <w:t xml:space="preserve"> προβλέψε</w:t>
                            </w:r>
                            <w:r>
                              <w:rPr>
                                <w:rFonts w:ascii="Segoe UI" w:hAnsi="Segoe UI" w:cs="Segoe UI"/>
                                <w:sz w:val="16"/>
                                <w:szCs w:val="16"/>
                              </w:rPr>
                              <w:t>ων</w:t>
                            </w:r>
                            <w:r w:rsidRPr="00465AAF">
                              <w:rPr>
                                <w:rFonts w:ascii="Segoe UI" w:hAnsi="Segoe UI" w:cs="Segoe UI"/>
                                <w:sz w:val="16"/>
                                <w:szCs w:val="16"/>
                              </w:rPr>
                              <w:t xml:space="preserve"> απομείωσης σχετιζόμενες με την πανδημία του κορωνοϊού</w:t>
                            </w:r>
                            <w:r w:rsidRPr="00F557BB">
                              <w:rPr>
                                <w:rFonts w:ascii="Segoe UI" w:hAnsi="Segoe UI" w:cs="Segoe UI"/>
                                <w:sz w:val="16"/>
                                <w:szCs w:val="16"/>
                                <w:vertAlign w:val="superscript"/>
                              </w:rPr>
                              <w:t>2</w:t>
                            </w:r>
                            <w:r>
                              <w:rPr>
                                <w:rFonts w:ascii="Segoe UI" w:hAnsi="Segoe UI" w:cs="Segoe UI"/>
                                <w:sz w:val="16"/>
                                <w:szCs w:val="16"/>
                              </w:rPr>
                              <w:t xml:space="preserve"> ύψους €429 εκατ.</w:t>
                            </w:r>
                            <w:r w:rsidRPr="00465AAF">
                              <w:rPr>
                                <w:rFonts w:ascii="Segoe UI" w:hAnsi="Segoe UI" w:cs="Segoe UI"/>
                                <w:sz w:val="16"/>
                                <w:szCs w:val="16"/>
                              </w:rPr>
                              <w:t xml:space="preserve"> το </w:t>
                            </w:r>
                            <w:r>
                              <w:rPr>
                                <w:rFonts w:ascii="Segoe UI" w:hAnsi="Segoe UI" w:cs="Segoe UI"/>
                                <w:sz w:val="16"/>
                                <w:szCs w:val="16"/>
                              </w:rPr>
                              <w:t xml:space="preserve">Εννεάμηνο </w:t>
                            </w:r>
                            <w:r w:rsidRPr="00465AAF">
                              <w:rPr>
                                <w:rFonts w:ascii="Segoe UI" w:hAnsi="Segoe UI" w:cs="Segoe UI"/>
                                <w:sz w:val="16"/>
                                <w:szCs w:val="16"/>
                              </w:rPr>
                              <w:t>2020</w:t>
                            </w:r>
                            <w:r>
                              <w:rPr>
                                <w:rFonts w:ascii="Segoe UI" w:hAnsi="Segoe UI" w:cs="Segoe UI"/>
                                <w:sz w:val="16"/>
                                <w:szCs w:val="16"/>
                              </w:rPr>
                              <w:t xml:space="preserve">. </w:t>
                            </w:r>
                            <w:r w:rsidRPr="00465AAF">
                              <w:rPr>
                                <w:rFonts w:ascii="Segoe UI" w:hAnsi="Segoe UI" w:cs="Segoe UI"/>
                                <w:sz w:val="16"/>
                                <w:szCs w:val="16"/>
                              </w:rPr>
                              <w:t>Ενσωματώνοντας την πλήρη επίδραση του ΔΠΧΑ 9, ο δείκτης CET1 διαμορφώνεται σε 1</w:t>
                            </w:r>
                            <w:r>
                              <w:rPr>
                                <w:rFonts w:ascii="Segoe UI" w:hAnsi="Segoe UI" w:cs="Segoe UI"/>
                                <w:sz w:val="16"/>
                                <w:szCs w:val="16"/>
                              </w:rPr>
                              <w:t>3,0</w:t>
                            </w:r>
                            <w:r w:rsidRPr="00465AAF">
                              <w:rPr>
                                <w:rFonts w:ascii="Segoe UI" w:hAnsi="Segoe UI" w:cs="Segoe UI"/>
                                <w:sz w:val="16"/>
                                <w:szCs w:val="16"/>
                              </w:rPr>
                              <w:t>%</w:t>
                            </w:r>
                            <w:r>
                              <w:rPr>
                                <w:rFonts w:ascii="Segoe UI" w:hAnsi="Segoe UI" w:cs="Segoe UI"/>
                                <w:sz w:val="16"/>
                                <w:szCs w:val="16"/>
                                <w:vertAlign w:val="superscript"/>
                              </w:rPr>
                              <w:t>3</w:t>
                            </w:r>
                          </w:p>
                          <w:p w:rsidR="00D95F56" w:rsidRDefault="00D95F56" w:rsidP="00807C0E">
                            <w:pPr>
                              <w:pStyle w:val="ListParagraph"/>
                              <w:numPr>
                                <w:ilvl w:val="0"/>
                                <w:numId w:val="8"/>
                              </w:numPr>
                              <w:spacing w:before="100" w:after="0" w:line="240" w:lineRule="auto"/>
                              <w:jc w:val="left"/>
                              <w:rPr>
                                <w:rFonts w:ascii="Segoe UI" w:hAnsi="Segoe UI" w:cs="Segoe UI"/>
                                <w:sz w:val="16"/>
                                <w:szCs w:val="16"/>
                              </w:rPr>
                            </w:pPr>
                            <w:r w:rsidRPr="00807C0E">
                              <w:rPr>
                                <w:rFonts w:ascii="Segoe UI" w:hAnsi="Segoe UI" w:cs="Segoe UI"/>
                                <w:sz w:val="16"/>
                                <w:szCs w:val="16"/>
                              </w:rPr>
                              <w:t>Ο Συνολικός Δείκτης Κεφα</w:t>
                            </w:r>
                            <w:r>
                              <w:rPr>
                                <w:rFonts w:ascii="Segoe UI" w:hAnsi="Segoe UI" w:cs="Segoe UI"/>
                                <w:sz w:val="16"/>
                                <w:szCs w:val="16"/>
                              </w:rPr>
                              <w:t>λαιακής Επάρκειας ανήλθε σε 16,9</w:t>
                            </w:r>
                            <w:r w:rsidRPr="00807C0E">
                              <w:rPr>
                                <w:rFonts w:ascii="Segoe UI" w:hAnsi="Segoe UI" w:cs="Segoe UI"/>
                                <w:sz w:val="16"/>
                                <w:szCs w:val="16"/>
                              </w:rPr>
                              <w:t>%</w:t>
                            </w:r>
                            <w:r w:rsidRPr="00807C0E">
                              <w:rPr>
                                <w:rFonts w:ascii="Segoe UI" w:hAnsi="Segoe UI" w:cs="Segoe UI"/>
                                <w:sz w:val="16"/>
                                <w:szCs w:val="16"/>
                                <w:vertAlign w:val="superscript"/>
                              </w:rPr>
                              <w:t>3</w:t>
                            </w:r>
                            <w:r>
                              <w:rPr>
                                <w:rFonts w:ascii="Segoe UI" w:hAnsi="Segoe UI" w:cs="Segoe UI"/>
                                <w:sz w:val="16"/>
                                <w:szCs w:val="16"/>
                              </w:rPr>
                              <w:t xml:space="preserve"> και υπερβαίνει κατά σχεδόν 600μ</w:t>
                            </w:r>
                            <w:r w:rsidRPr="00807C0E">
                              <w:rPr>
                                <w:rFonts w:ascii="Segoe UI" w:hAnsi="Segoe UI" w:cs="Segoe UI"/>
                                <w:sz w:val="16"/>
                                <w:szCs w:val="16"/>
                              </w:rPr>
                              <w:t xml:space="preserve">.β. τις προσαρμοσμένες για την πανδημία του κορωνοϊού κεφαλαιακές απαιτήσεις για το 2020 </w:t>
                            </w:r>
                          </w:p>
                          <w:p w:rsidR="00D95F56" w:rsidRPr="00807C0E" w:rsidRDefault="00D95F56" w:rsidP="00E96A91">
                            <w:pPr>
                              <w:pStyle w:val="ListParagraph"/>
                              <w:spacing w:before="100" w:after="0" w:line="240" w:lineRule="auto"/>
                              <w:ind w:left="644"/>
                              <w:jc w:val="left"/>
                              <w:rPr>
                                <w:rFonts w:ascii="Segoe UI" w:hAnsi="Segoe UI" w:cs="Segoe UI"/>
                                <w:sz w:val="16"/>
                                <w:szCs w:val="16"/>
                              </w:rPr>
                            </w:pPr>
                          </w:p>
                          <w:p w:rsidR="00D95F56" w:rsidRPr="006462D9" w:rsidRDefault="00D95F56" w:rsidP="0064401F">
                            <w:pPr>
                              <w:spacing w:before="120"/>
                              <w:ind w:left="1440"/>
                              <w:jc w:val="right"/>
                              <w:rPr>
                                <w:rFonts w:ascii="Segoe UI" w:hAnsi="Segoe UI" w:cs="Segoe UI"/>
                                <w:sz w:val="14"/>
                                <w:szCs w:val="14"/>
                              </w:rPr>
                            </w:pPr>
                            <w:r>
                              <w:rPr>
                                <w:rFonts w:ascii="Segoe UI" w:hAnsi="Segoe UI" w:cs="Segoe UI"/>
                                <w:sz w:val="14"/>
                                <w:szCs w:val="14"/>
                              </w:rPr>
                              <w:t>Αθήνα, 30 Νοεμβρίου 2020</w:t>
                            </w:r>
                          </w:p>
                          <w:p w:rsidR="00D95F56" w:rsidRDefault="00D95F56" w:rsidP="00CB4A2F">
                            <w:pPr>
                              <w:pStyle w:val="ListParagraph"/>
                              <w:spacing w:before="120" w:after="0" w:line="240" w:lineRule="auto"/>
                              <w:ind w:left="644"/>
                              <w:jc w:val="left"/>
                              <w:rPr>
                                <w:rFonts w:ascii="Segoe UI" w:hAnsi="Segoe UI" w:cs="Segoe UI"/>
                                <w:sz w:val="10"/>
                                <w:szCs w:val="16"/>
                              </w:rPr>
                            </w:pPr>
                          </w:p>
                          <w:p w:rsidR="00D95F56" w:rsidRDefault="00D95F56" w:rsidP="00CB4A2F">
                            <w:pPr>
                              <w:pStyle w:val="ListParagraph"/>
                              <w:spacing w:before="120" w:after="0" w:line="240" w:lineRule="auto"/>
                              <w:ind w:left="644"/>
                              <w:jc w:val="left"/>
                              <w:rPr>
                                <w:rFonts w:ascii="Segoe UI" w:hAnsi="Segoe UI" w:cs="Segoe UI"/>
                                <w:sz w:val="10"/>
                                <w:szCs w:val="16"/>
                              </w:rPr>
                            </w:pPr>
                          </w:p>
                          <w:p w:rsidR="00D95F56" w:rsidRDefault="00D95F56" w:rsidP="00CB4A2F">
                            <w:pPr>
                              <w:pStyle w:val="ListParagraph"/>
                              <w:spacing w:before="120" w:after="0" w:line="240" w:lineRule="auto"/>
                              <w:ind w:left="644"/>
                              <w:jc w:val="left"/>
                              <w:rPr>
                                <w:rFonts w:ascii="Segoe UI" w:hAnsi="Segoe UI" w:cs="Segoe UI"/>
                                <w:sz w:val="10"/>
                                <w:szCs w:val="16"/>
                              </w:rPr>
                            </w:pPr>
                          </w:p>
                          <w:p w:rsidR="00D95F56" w:rsidRDefault="00D95F56" w:rsidP="00CB4A2F">
                            <w:pPr>
                              <w:pStyle w:val="ListParagraph"/>
                              <w:spacing w:before="120" w:after="0" w:line="240" w:lineRule="auto"/>
                              <w:ind w:left="644"/>
                              <w:jc w:val="left"/>
                              <w:rPr>
                                <w:rFonts w:ascii="Segoe UI" w:hAnsi="Segoe UI" w:cs="Segoe UI"/>
                                <w:sz w:val="10"/>
                                <w:szCs w:val="16"/>
                              </w:rPr>
                            </w:pPr>
                          </w:p>
                          <w:p w:rsidR="00D95F56" w:rsidRDefault="00D95F56" w:rsidP="00CB4A2F">
                            <w:pPr>
                              <w:pStyle w:val="ListParagraph"/>
                              <w:spacing w:before="120" w:after="0" w:line="240" w:lineRule="auto"/>
                              <w:ind w:left="644"/>
                              <w:jc w:val="left"/>
                              <w:rPr>
                                <w:rFonts w:ascii="Segoe UI" w:hAnsi="Segoe UI" w:cs="Segoe UI"/>
                                <w:sz w:val="10"/>
                                <w:szCs w:val="16"/>
                              </w:rPr>
                            </w:pPr>
                          </w:p>
                          <w:p w:rsidR="00D95F56" w:rsidRDefault="00D95F56" w:rsidP="00CB4A2F">
                            <w:pPr>
                              <w:pStyle w:val="ListParagraph"/>
                              <w:spacing w:before="120" w:after="0" w:line="240" w:lineRule="auto"/>
                              <w:ind w:left="644"/>
                              <w:jc w:val="left"/>
                              <w:rPr>
                                <w:rFonts w:ascii="Segoe UI" w:hAnsi="Segoe UI" w:cs="Segoe UI"/>
                                <w:sz w:val="10"/>
                                <w:szCs w:val="16"/>
                              </w:rPr>
                            </w:pPr>
                          </w:p>
                          <w:p w:rsidR="00D95F56" w:rsidRDefault="00D95F56" w:rsidP="00CB4A2F">
                            <w:pPr>
                              <w:pStyle w:val="ListParagraph"/>
                              <w:spacing w:before="120" w:after="0" w:line="240" w:lineRule="auto"/>
                              <w:ind w:left="644"/>
                              <w:jc w:val="left"/>
                              <w:rPr>
                                <w:rFonts w:ascii="Segoe UI" w:hAnsi="Segoe UI" w:cs="Segoe UI"/>
                                <w:sz w:val="10"/>
                                <w:szCs w:val="16"/>
                              </w:rPr>
                            </w:pPr>
                          </w:p>
                          <w:p w:rsidR="00D95F56" w:rsidRDefault="00D95F56" w:rsidP="00CB4A2F">
                            <w:pPr>
                              <w:pStyle w:val="ListParagraph"/>
                              <w:spacing w:before="120" w:after="0" w:line="240" w:lineRule="auto"/>
                              <w:ind w:left="644"/>
                              <w:jc w:val="left"/>
                              <w:rPr>
                                <w:rFonts w:ascii="Segoe UI" w:hAnsi="Segoe UI" w:cs="Segoe UI"/>
                                <w:sz w:val="10"/>
                                <w:szCs w:val="16"/>
                              </w:rPr>
                            </w:pPr>
                          </w:p>
                          <w:p w:rsidR="00D95F56" w:rsidRDefault="00D95F56" w:rsidP="00CB4A2F">
                            <w:pPr>
                              <w:pStyle w:val="ListParagraph"/>
                              <w:spacing w:before="120" w:after="0" w:line="240" w:lineRule="auto"/>
                              <w:ind w:left="644"/>
                              <w:jc w:val="left"/>
                              <w:rPr>
                                <w:rFonts w:ascii="Segoe UI" w:hAnsi="Segoe UI" w:cs="Segoe UI"/>
                                <w:sz w:val="10"/>
                                <w:szCs w:val="16"/>
                              </w:rPr>
                            </w:pPr>
                          </w:p>
                          <w:p w:rsidR="00D95F56" w:rsidRDefault="00D95F56" w:rsidP="00CB4A2F">
                            <w:pPr>
                              <w:pStyle w:val="ListParagraph"/>
                              <w:spacing w:before="120" w:after="0" w:line="240" w:lineRule="auto"/>
                              <w:ind w:left="644"/>
                              <w:jc w:val="left"/>
                              <w:rPr>
                                <w:rFonts w:ascii="Segoe UI" w:hAnsi="Segoe UI" w:cs="Segoe UI"/>
                                <w:sz w:val="10"/>
                                <w:szCs w:val="16"/>
                              </w:rPr>
                            </w:pPr>
                          </w:p>
                          <w:p w:rsidR="00D95F56" w:rsidRDefault="00D95F56" w:rsidP="00CB4A2F">
                            <w:pPr>
                              <w:pStyle w:val="ListParagraph"/>
                              <w:spacing w:before="120" w:after="0" w:line="240" w:lineRule="auto"/>
                              <w:ind w:left="644"/>
                              <w:jc w:val="left"/>
                              <w:rPr>
                                <w:rFonts w:ascii="Segoe UI" w:hAnsi="Segoe UI" w:cs="Segoe UI"/>
                                <w:sz w:val="10"/>
                                <w:szCs w:val="16"/>
                              </w:rPr>
                            </w:pPr>
                          </w:p>
                          <w:p w:rsidR="00D95F56" w:rsidRDefault="00D95F56" w:rsidP="00CB4A2F">
                            <w:pPr>
                              <w:pStyle w:val="ListParagraph"/>
                              <w:spacing w:before="120" w:after="0" w:line="240" w:lineRule="auto"/>
                              <w:ind w:left="644"/>
                              <w:jc w:val="left"/>
                              <w:rPr>
                                <w:rFonts w:ascii="Segoe UI" w:hAnsi="Segoe UI" w:cs="Segoe UI"/>
                                <w:sz w:val="10"/>
                                <w:szCs w:val="16"/>
                              </w:rPr>
                            </w:pPr>
                          </w:p>
                          <w:p w:rsidR="00D95F56" w:rsidRDefault="00D95F56" w:rsidP="00CB4A2F">
                            <w:pPr>
                              <w:pStyle w:val="ListParagraph"/>
                              <w:spacing w:before="120" w:after="0" w:line="240" w:lineRule="auto"/>
                              <w:ind w:left="644"/>
                              <w:jc w:val="left"/>
                              <w:rPr>
                                <w:rFonts w:ascii="Segoe UI" w:hAnsi="Segoe UI" w:cs="Segoe UI"/>
                                <w:sz w:val="10"/>
                                <w:szCs w:val="16"/>
                              </w:rPr>
                            </w:pPr>
                          </w:p>
                          <w:p w:rsidR="00D95F56" w:rsidRDefault="00D95F56" w:rsidP="00CB4A2F">
                            <w:pPr>
                              <w:pStyle w:val="ListParagraph"/>
                              <w:spacing w:before="120" w:after="0" w:line="240" w:lineRule="auto"/>
                              <w:ind w:left="644"/>
                              <w:jc w:val="left"/>
                              <w:rPr>
                                <w:rFonts w:ascii="Segoe UI" w:hAnsi="Segoe UI" w:cs="Segoe UI"/>
                                <w:sz w:val="10"/>
                                <w:szCs w:val="16"/>
                              </w:rPr>
                            </w:pPr>
                          </w:p>
                          <w:p w:rsidR="00D95F56" w:rsidRPr="005156B8" w:rsidRDefault="00D95F56" w:rsidP="00CB4A2F">
                            <w:pPr>
                              <w:pStyle w:val="ListParagraph"/>
                              <w:spacing w:before="120" w:after="0" w:line="240" w:lineRule="auto"/>
                              <w:ind w:left="644"/>
                              <w:jc w:val="left"/>
                              <w:rPr>
                                <w:rFonts w:ascii="Segoe UI" w:hAnsi="Segoe UI" w:cs="Segoe UI"/>
                                <w:sz w:val="10"/>
                                <w:szCs w:val="16"/>
                              </w:rPr>
                            </w:pPr>
                          </w:p>
                          <w:p w:rsidR="00D95F56" w:rsidRPr="006A0F43" w:rsidRDefault="00D95F56" w:rsidP="00D45A05">
                            <w:pPr>
                              <w:jc w:val="both"/>
                              <w:rPr>
                                <w:rFonts w:ascii="Segoe UI" w:hAnsi="Segoe UI" w:cs="Segoe UI"/>
                                <w:sz w:val="12"/>
                                <w:szCs w:val="16"/>
                              </w:rPr>
                            </w:pPr>
                            <w:r w:rsidRPr="003E514D">
                              <w:rPr>
                                <w:rFonts w:ascii="Segoe UI" w:hAnsi="Segoe UI" w:cs="Segoe UI"/>
                                <w:sz w:val="12"/>
                                <w:szCs w:val="16"/>
                                <w:vertAlign w:val="superscript"/>
                              </w:rPr>
                              <w:t>1</w:t>
                            </w:r>
                            <w:r>
                              <w:rPr>
                                <w:rFonts w:ascii="Segoe UI" w:hAnsi="Segoe UI" w:cs="Segoe UI"/>
                                <w:sz w:val="12"/>
                                <w:szCs w:val="16"/>
                                <w:vertAlign w:val="superscript"/>
                              </w:rPr>
                              <w:t xml:space="preserve"> </w:t>
                            </w:r>
                            <w:r>
                              <w:rPr>
                                <w:rFonts w:ascii="Segoe UI" w:hAnsi="Segoe UI" w:cs="Segoe UI"/>
                                <w:sz w:val="12"/>
                                <w:szCs w:val="16"/>
                              </w:rPr>
                              <w:t>Κ</w:t>
                            </w:r>
                            <w:r w:rsidRPr="009F6F6A">
                              <w:rPr>
                                <w:rFonts w:ascii="Segoe UI" w:hAnsi="Segoe UI" w:cs="Segoe UI"/>
                                <w:sz w:val="12"/>
                                <w:szCs w:val="16"/>
                              </w:rPr>
                              <w:t>έρδη μετά από φόρους από συνεχιζόμενες</w:t>
                            </w:r>
                            <w:r w:rsidRPr="006A0F43">
                              <w:rPr>
                                <w:rFonts w:ascii="Segoe UI" w:hAnsi="Segoe UI" w:cs="Segoe UI"/>
                                <w:sz w:val="12"/>
                                <w:szCs w:val="16"/>
                              </w:rPr>
                              <w:t xml:space="preserve"> δραστ</w:t>
                            </w:r>
                            <w:r>
                              <w:rPr>
                                <w:rFonts w:ascii="Segoe UI" w:hAnsi="Segoe UI" w:cs="Segoe UI"/>
                                <w:sz w:val="12"/>
                                <w:szCs w:val="16"/>
                              </w:rPr>
                              <w:t>ηριό</w:t>
                            </w:r>
                            <w:r w:rsidRPr="006A0F43">
                              <w:rPr>
                                <w:rFonts w:ascii="Segoe UI" w:hAnsi="Segoe UI" w:cs="Segoe UI"/>
                                <w:sz w:val="12"/>
                                <w:szCs w:val="16"/>
                              </w:rPr>
                              <w:t>τητες</w:t>
                            </w:r>
                          </w:p>
                          <w:p w:rsidR="00D95F56" w:rsidRPr="00574A1A" w:rsidRDefault="00D95F56" w:rsidP="00D45A05">
                            <w:pPr>
                              <w:jc w:val="both"/>
                              <w:rPr>
                                <w:rFonts w:ascii="Segoe UI" w:hAnsi="Segoe UI" w:cs="Segoe UI"/>
                                <w:sz w:val="12"/>
                                <w:szCs w:val="16"/>
                              </w:rPr>
                            </w:pPr>
                            <w:r w:rsidRPr="006A0F43">
                              <w:rPr>
                                <w:rFonts w:ascii="Segoe UI" w:hAnsi="Segoe UI" w:cs="Segoe UI"/>
                                <w:sz w:val="12"/>
                                <w:szCs w:val="16"/>
                                <w:vertAlign w:val="superscript"/>
                              </w:rPr>
                              <w:t>2</w:t>
                            </w:r>
                            <w:r>
                              <w:rPr>
                                <w:rFonts w:ascii="Segoe UI" w:hAnsi="Segoe UI" w:cs="Segoe UI"/>
                                <w:sz w:val="12"/>
                                <w:szCs w:val="16"/>
                              </w:rPr>
                              <w:t xml:space="preserve"> </w:t>
                            </w:r>
                            <w:r w:rsidRPr="00D03872">
                              <w:rPr>
                                <w:rFonts w:ascii="Segoe UI" w:hAnsi="Segoe UI" w:cs="Segoe UI"/>
                                <w:sz w:val="12"/>
                                <w:szCs w:val="16"/>
                              </w:rPr>
                              <w:t>Ενσωματώνοντας όλες τις διαθέσιμες πληροφορίες κατά τη στιγμή της αξιολόγησης και δεδομένων των πρωτοφανών επιπέδων αβεβαιότητας</w:t>
                            </w:r>
                          </w:p>
                          <w:p w:rsidR="00D95F56" w:rsidRPr="004E6CF7" w:rsidRDefault="00D95F56" w:rsidP="004E6CF7">
                            <w:pPr>
                              <w:jc w:val="both"/>
                              <w:rPr>
                                <w:rFonts w:ascii="Segoe UI" w:hAnsi="Segoe UI" w:cs="Segoe UI"/>
                                <w:sz w:val="12"/>
                                <w:szCs w:val="10"/>
                              </w:rPr>
                            </w:pPr>
                            <w:r>
                              <w:rPr>
                                <w:rFonts w:ascii="Segoe UI" w:hAnsi="Segoe UI" w:cs="Segoe UI"/>
                                <w:sz w:val="12"/>
                                <w:szCs w:val="16"/>
                                <w:vertAlign w:val="superscript"/>
                              </w:rPr>
                              <w:t xml:space="preserve">3 </w:t>
                            </w:r>
                            <w:r w:rsidRPr="003E514D">
                              <w:rPr>
                                <w:rFonts w:ascii="Segoe UI" w:hAnsi="Segoe UI" w:cs="Segoe UI"/>
                                <w:sz w:val="12"/>
                                <w:szCs w:val="10"/>
                              </w:rPr>
                              <w:t xml:space="preserve">Οι δείκτες κεφαλαιακής επάρκειας </w:t>
                            </w:r>
                            <w:r w:rsidRPr="004E6CF7">
                              <w:rPr>
                                <w:rFonts w:ascii="Segoe UI" w:hAnsi="Segoe UI" w:cs="Segoe UI"/>
                                <w:sz w:val="12"/>
                                <w:szCs w:val="10"/>
                              </w:rPr>
                              <w:t xml:space="preserve">περιλαμβάνουν τα κέρδη μετά </w:t>
                            </w:r>
                            <w:r w:rsidRPr="009E3668">
                              <w:rPr>
                                <w:rFonts w:ascii="Segoe UI" w:hAnsi="Segoe UI" w:cs="Segoe UI"/>
                                <w:sz w:val="12"/>
                                <w:szCs w:val="10"/>
                              </w:rPr>
                              <w:t xml:space="preserve">από φόρους </w:t>
                            </w:r>
                            <w:r w:rsidRPr="004E6CF7">
                              <w:rPr>
                                <w:rFonts w:ascii="Segoe UI" w:hAnsi="Segoe UI" w:cs="Segoe UI"/>
                                <w:sz w:val="12"/>
                                <w:szCs w:val="10"/>
                              </w:rPr>
                              <w:t>του</w:t>
                            </w:r>
                            <w:r>
                              <w:rPr>
                                <w:rFonts w:ascii="Segoe UI" w:hAnsi="Segoe UI" w:cs="Segoe UI"/>
                                <w:sz w:val="12"/>
                                <w:szCs w:val="10"/>
                              </w:rPr>
                              <w:t xml:space="preserve"> Εννεαμήνου </w:t>
                            </w:r>
                            <w:r w:rsidRPr="004E6CF7">
                              <w:rPr>
                                <w:rFonts w:ascii="Segoe UI" w:hAnsi="Segoe UI" w:cs="Segoe UI"/>
                                <w:sz w:val="12"/>
                                <w:szCs w:val="10"/>
                              </w:rPr>
                              <w:t xml:space="preserve">2020. </w:t>
                            </w:r>
                            <w:r>
                              <w:rPr>
                                <w:rFonts w:ascii="Segoe UI" w:hAnsi="Segoe UI" w:cs="Segoe UI"/>
                                <w:sz w:val="12"/>
                                <w:szCs w:val="12"/>
                              </w:rPr>
                              <w:t xml:space="preserve">Εξαιρώντας τα κέρδη </w:t>
                            </w:r>
                            <w:r w:rsidRPr="00FA30C3">
                              <w:rPr>
                                <w:rFonts w:ascii="Segoe UI" w:hAnsi="Segoe UI" w:cs="Segoe UI"/>
                                <w:sz w:val="12"/>
                                <w:szCs w:val="12"/>
                              </w:rPr>
                              <w:t>μετά από φόρους</w:t>
                            </w:r>
                            <w:r w:rsidR="00E2274B">
                              <w:rPr>
                                <w:rFonts w:ascii="Segoe UI" w:hAnsi="Segoe UI" w:cs="Segoe UI"/>
                                <w:sz w:val="12"/>
                                <w:szCs w:val="12"/>
                              </w:rPr>
                              <w:t xml:space="preserve"> του Εννεαμήνου 2020</w:t>
                            </w:r>
                            <w:r w:rsidRPr="004E6CF7">
                              <w:rPr>
                                <w:rFonts w:ascii="Segoe UI" w:hAnsi="Segoe UI" w:cs="Segoe UI"/>
                                <w:sz w:val="12"/>
                                <w:szCs w:val="12"/>
                              </w:rPr>
                              <w:t xml:space="preserve">, ο δείκτης CET1 και ο Συνολικός Δείκτης Κεφαλαιακής </w:t>
                            </w:r>
                            <w:r w:rsidRPr="00921045">
                              <w:rPr>
                                <w:rFonts w:ascii="Segoe UI" w:hAnsi="Segoe UI" w:cs="Segoe UI"/>
                                <w:sz w:val="12"/>
                                <w:szCs w:val="12"/>
                              </w:rPr>
                              <w:t xml:space="preserve"> </w:t>
                            </w:r>
                            <w:r w:rsidRPr="004E6CF7">
                              <w:rPr>
                                <w:rFonts w:ascii="Segoe UI" w:hAnsi="Segoe UI" w:cs="Segoe UI"/>
                                <w:sz w:val="12"/>
                                <w:szCs w:val="12"/>
                              </w:rPr>
                              <w:t>Επάρκειας ανέρχονται σε 14,</w:t>
                            </w:r>
                            <w:r>
                              <w:rPr>
                                <w:rFonts w:ascii="Segoe UI" w:hAnsi="Segoe UI" w:cs="Segoe UI"/>
                                <w:sz w:val="12"/>
                                <w:szCs w:val="12"/>
                              </w:rPr>
                              <w:t>5</w:t>
                            </w:r>
                            <w:r w:rsidRPr="004E6CF7">
                              <w:rPr>
                                <w:rFonts w:ascii="Segoe UI" w:hAnsi="Segoe UI" w:cs="Segoe UI"/>
                                <w:sz w:val="12"/>
                                <w:szCs w:val="12"/>
                              </w:rPr>
                              <w:t>% και 15,</w:t>
                            </w:r>
                            <w:r>
                              <w:rPr>
                                <w:rFonts w:ascii="Segoe UI" w:hAnsi="Segoe UI" w:cs="Segoe UI"/>
                                <w:sz w:val="12"/>
                                <w:szCs w:val="12"/>
                              </w:rPr>
                              <w:t>4</w:t>
                            </w:r>
                            <w:r w:rsidRPr="004E6CF7">
                              <w:rPr>
                                <w:rFonts w:ascii="Segoe UI" w:hAnsi="Segoe UI" w:cs="Segoe UI"/>
                                <w:sz w:val="12"/>
                                <w:szCs w:val="12"/>
                              </w:rPr>
                              <w:t>%, αντίστοιχα</w:t>
                            </w:r>
                          </w:p>
                          <w:p w:rsidR="00D95F56" w:rsidRPr="004E6CF7" w:rsidRDefault="00D95F56" w:rsidP="00D45A05">
                            <w:pPr>
                              <w:jc w:val="both"/>
                              <w:rPr>
                                <w:rFonts w:ascii="Segoe UI" w:hAnsi="Segoe UI" w:cs="Segoe UI"/>
                                <w:sz w:val="12"/>
                                <w:szCs w:val="10"/>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2" o:spid="_x0000_s1030" type="#_x0000_t202" style="width:509.6pt;height:7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" fillcolor="#f1f1f1" stroked="f">
                <v:fill opacity="58853f"/>
                <v:textbox>
                  <w:txbxContent>
                    <w:p w:rsidR="00D95F56" w:rsidRPr="0017545C" w:rsidRDefault="00D95F56" w:rsidP="00791C9B">
                      <w:pPr>
                        <w:numPr>
                          <w:ilvl w:val="1"/>
                          <w:numId w:val="6"/>
                        </w:numPr>
                        <w:spacing w:before="80"/>
                        <w:rPr>
                          <w:rFonts w:ascii="Segoe UI" w:hAnsi="Segoe UI" w:cs="Segoe UI"/>
                          <w:sz w:val="16"/>
                          <w:szCs w:val="16"/>
                        </w:rPr>
                      </w:pPr>
                      <w:r w:rsidRPr="0017545C">
                        <w:rPr>
                          <w:rFonts w:ascii="Segoe UI" w:hAnsi="Segoe UI" w:cs="Segoe UI"/>
                          <w:sz w:val="16"/>
                          <w:szCs w:val="16"/>
                        </w:rPr>
                        <w:t>Οι προβλέψεις για επισφαλείς απαιτήσεις ύψο</w:t>
                      </w:r>
                      <w:r w:rsidR="00F620AE">
                        <w:rPr>
                          <w:rFonts w:ascii="Segoe UI" w:hAnsi="Segoe UI" w:cs="Segoe UI"/>
                          <w:sz w:val="16"/>
                          <w:szCs w:val="16"/>
                        </w:rPr>
                        <w:t xml:space="preserve">υς €640 εκατ. το Εννεάμηνο 2020, ήτοι 244μ.β. επί των δανείων μετά </w:t>
                      </w:r>
                      <w:r w:rsidR="00290253">
                        <w:rPr>
                          <w:rFonts w:ascii="Segoe UI" w:hAnsi="Segoe UI" w:cs="Segoe UI"/>
                          <w:sz w:val="16"/>
                          <w:szCs w:val="16"/>
                        </w:rPr>
                        <w:t>από</w:t>
                      </w:r>
                      <w:r w:rsidR="00F620AE">
                        <w:rPr>
                          <w:rFonts w:ascii="Segoe UI" w:hAnsi="Segoe UI" w:cs="Segoe UI"/>
                          <w:sz w:val="16"/>
                          <w:szCs w:val="16"/>
                        </w:rPr>
                        <w:t xml:space="preserve"> προβλέψε</w:t>
                      </w:r>
                      <w:r w:rsidR="00290253">
                        <w:rPr>
                          <w:rFonts w:ascii="Segoe UI" w:hAnsi="Segoe UI" w:cs="Segoe UI"/>
                          <w:sz w:val="16"/>
                          <w:szCs w:val="16"/>
                        </w:rPr>
                        <w:t>ις</w:t>
                      </w:r>
                      <w:r w:rsidR="00F620AE">
                        <w:rPr>
                          <w:rFonts w:ascii="Segoe UI" w:hAnsi="Segoe UI" w:cs="Segoe UI"/>
                          <w:sz w:val="16"/>
                          <w:szCs w:val="16"/>
                        </w:rPr>
                        <w:t xml:space="preserve">, </w:t>
                      </w:r>
                      <w:r w:rsidRPr="0017545C">
                        <w:rPr>
                          <w:rFonts w:ascii="Segoe UI" w:hAnsi="Segoe UI" w:cs="Segoe UI"/>
                          <w:sz w:val="16"/>
                          <w:szCs w:val="16"/>
                        </w:rPr>
                        <w:t>ενσωματώνουν τις προβλέψεις απομείωσης σχετιζόμενες με την πανδημία του κορωνοϊού</w:t>
                      </w:r>
                      <w:r w:rsidRPr="00114E52">
                        <w:rPr>
                          <w:rFonts w:ascii="Segoe UI" w:hAnsi="Segoe UI" w:cs="Segoe UI"/>
                          <w:sz w:val="16"/>
                          <w:szCs w:val="16"/>
                          <w:vertAlign w:val="superscript"/>
                        </w:rPr>
                        <w:t>2</w:t>
                      </w:r>
                      <w:r>
                        <w:rPr>
                          <w:rFonts w:ascii="Segoe UI" w:hAnsi="Segoe UI" w:cs="Segoe UI"/>
                          <w:sz w:val="16"/>
                          <w:szCs w:val="16"/>
                        </w:rPr>
                        <w:t xml:space="preserve">, οι οποίες επιβάρυναν κυρίως τα αποτελέσματα του Α’ τριμήνου 2020 και αντιστοιχούν σε </w:t>
                      </w:r>
                      <w:r w:rsidR="000328E9" w:rsidRPr="000328E9">
                        <w:rPr>
                          <w:rFonts w:ascii="Segoe UI" w:hAnsi="Segoe UI" w:cs="Segoe UI"/>
                          <w:sz w:val="16"/>
                          <w:szCs w:val="16"/>
                        </w:rPr>
                        <w:t>147</w:t>
                      </w:r>
                      <w:r>
                        <w:rPr>
                          <w:rFonts w:ascii="Segoe UI" w:hAnsi="Segoe UI" w:cs="Segoe UI"/>
                          <w:sz w:val="16"/>
                          <w:szCs w:val="16"/>
                        </w:rPr>
                        <w:t xml:space="preserve">μ.β. επί των δανείων </w:t>
                      </w:r>
                      <w:r w:rsidRPr="00791C9B">
                        <w:rPr>
                          <w:rFonts w:ascii="Segoe UI" w:hAnsi="Segoe UI" w:cs="Segoe UI"/>
                          <w:sz w:val="16"/>
                          <w:szCs w:val="16"/>
                        </w:rPr>
                        <w:t xml:space="preserve">μετά από προβλέψεις </w:t>
                      </w:r>
                      <w:r>
                        <w:rPr>
                          <w:rFonts w:ascii="Segoe UI" w:hAnsi="Segoe UI" w:cs="Segoe UI"/>
                          <w:sz w:val="16"/>
                          <w:szCs w:val="16"/>
                        </w:rPr>
                        <w:t>σε μη ετησιοποιημένη βάση. Ε</w:t>
                      </w:r>
                      <w:r w:rsidRPr="0017545C">
                        <w:rPr>
                          <w:rFonts w:ascii="Segoe UI" w:hAnsi="Segoe UI" w:cs="Segoe UI"/>
                          <w:sz w:val="16"/>
                          <w:szCs w:val="16"/>
                        </w:rPr>
                        <w:t xml:space="preserve">ξαιρουμένων των εν λόγω προβλέψεων, το κόστος πιστωτικού κινδύνου διαμορφώνεται σε περίπου 97μ.β. το </w:t>
                      </w:r>
                      <w:r>
                        <w:rPr>
                          <w:rFonts w:ascii="Segoe UI" w:hAnsi="Segoe UI" w:cs="Segoe UI"/>
                          <w:sz w:val="16"/>
                          <w:szCs w:val="16"/>
                        </w:rPr>
                        <w:t xml:space="preserve">Εννεάμηνο </w:t>
                      </w:r>
                      <w:r w:rsidRPr="0017545C">
                        <w:rPr>
                          <w:rFonts w:ascii="Segoe UI" w:hAnsi="Segoe UI" w:cs="Segoe UI"/>
                          <w:sz w:val="16"/>
                          <w:szCs w:val="16"/>
                        </w:rPr>
                        <w:t>2020</w:t>
                      </w:r>
                      <w:r w:rsidR="00F8125B">
                        <w:rPr>
                          <w:rFonts w:ascii="Segoe UI" w:hAnsi="Segoe UI" w:cs="Segoe UI"/>
                          <w:sz w:val="16"/>
                          <w:szCs w:val="16"/>
                        </w:rPr>
                        <w:t xml:space="preserve"> </w:t>
                      </w:r>
                    </w:p>
                    <w:p w:rsidR="00D95F56" w:rsidRDefault="00D95F56" w:rsidP="004B74D4">
                      <w:pPr>
                        <w:spacing w:before="120"/>
                        <w:rPr>
                          <w:rFonts w:ascii="Segoe UI" w:hAnsi="Segoe UI" w:cs="Segoe UI"/>
                          <w:b/>
                          <w:sz w:val="16"/>
                          <w:szCs w:val="16"/>
                        </w:rPr>
                      </w:pPr>
                    </w:p>
                    <w:p w:rsidR="00D95F56" w:rsidRPr="00322F1D" w:rsidRDefault="00D95F56" w:rsidP="004B74D4">
                      <w:pPr>
                        <w:numPr>
                          <w:ilvl w:val="0"/>
                          <w:numId w:val="6"/>
                        </w:numPr>
                        <w:spacing w:before="120"/>
                        <w:rPr>
                          <w:rFonts w:ascii="Segoe UI" w:hAnsi="Segoe UI" w:cs="Segoe UI"/>
                          <w:b/>
                          <w:sz w:val="16"/>
                          <w:szCs w:val="16"/>
                        </w:rPr>
                      </w:pPr>
                      <w:r>
                        <w:rPr>
                          <w:rFonts w:ascii="Segoe UI" w:hAnsi="Segoe UI" w:cs="Segoe UI"/>
                          <w:b/>
                          <w:sz w:val="16"/>
                          <w:szCs w:val="16"/>
                        </w:rPr>
                        <w:t>Τ</w:t>
                      </w:r>
                      <w:r w:rsidRPr="004B74D4">
                        <w:rPr>
                          <w:rFonts w:ascii="Segoe UI" w:hAnsi="Segoe UI" w:cs="Segoe UI"/>
                          <w:b/>
                          <w:sz w:val="16"/>
                          <w:szCs w:val="16"/>
                        </w:rPr>
                        <w:t>ο υπόλοιπο Μ</w:t>
                      </w:r>
                      <w:r>
                        <w:rPr>
                          <w:rFonts w:ascii="Segoe UI" w:hAnsi="Segoe UI" w:cs="Segoe UI"/>
                          <w:b/>
                          <w:sz w:val="16"/>
                          <w:szCs w:val="16"/>
                        </w:rPr>
                        <w:t xml:space="preserve">η </w:t>
                      </w:r>
                      <w:r w:rsidRPr="004B74D4">
                        <w:rPr>
                          <w:rFonts w:ascii="Segoe UI" w:hAnsi="Segoe UI" w:cs="Segoe UI"/>
                          <w:b/>
                          <w:sz w:val="16"/>
                          <w:szCs w:val="16"/>
                        </w:rPr>
                        <w:t>Ε</w:t>
                      </w:r>
                      <w:r>
                        <w:rPr>
                          <w:rFonts w:ascii="Segoe UI" w:hAnsi="Segoe UI" w:cs="Segoe UI"/>
                          <w:b/>
                          <w:sz w:val="16"/>
                          <w:szCs w:val="16"/>
                        </w:rPr>
                        <w:t xml:space="preserve">ξυπηρετούμενων </w:t>
                      </w:r>
                      <w:r w:rsidRPr="004B74D4">
                        <w:rPr>
                          <w:rFonts w:ascii="Segoe UI" w:hAnsi="Segoe UI" w:cs="Segoe UI"/>
                          <w:b/>
                          <w:sz w:val="16"/>
                          <w:szCs w:val="16"/>
                        </w:rPr>
                        <w:t>Α</w:t>
                      </w:r>
                      <w:r>
                        <w:rPr>
                          <w:rFonts w:ascii="Segoe UI" w:hAnsi="Segoe UI" w:cs="Segoe UI"/>
                          <w:b/>
                          <w:sz w:val="16"/>
                          <w:szCs w:val="16"/>
                        </w:rPr>
                        <w:t>νοιγμάτων (ΜΕΑ)</w:t>
                      </w:r>
                      <w:r w:rsidRPr="004B74D4">
                        <w:rPr>
                          <w:rFonts w:ascii="Segoe UI" w:hAnsi="Segoe UI" w:cs="Segoe UI"/>
                          <w:b/>
                          <w:sz w:val="16"/>
                          <w:szCs w:val="16"/>
                        </w:rPr>
                        <w:t xml:space="preserve"> σε επίπεδο Τράπεζας </w:t>
                      </w:r>
                      <w:r>
                        <w:rPr>
                          <w:rFonts w:ascii="Segoe UI" w:hAnsi="Segoe UI" w:cs="Segoe UI"/>
                          <w:b/>
                          <w:sz w:val="16"/>
                          <w:szCs w:val="16"/>
                        </w:rPr>
                        <w:t xml:space="preserve">μειώθηκε σε επίπεδα κάτω των </w:t>
                      </w:r>
                      <w:r w:rsidRPr="004B74D4">
                        <w:rPr>
                          <w:rFonts w:ascii="Segoe UI" w:hAnsi="Segoe UI" w:cs="Segoe UI"/>
                          <w:b/>
                          <w:sz w:val="16"/>
                          <w:szCs w:val="16"/>
                        </w:rPr>
                        <w:t>€10</w:t>
                      </w:r>
                      <w:r>
                        <w:rPr>
                          <w:rFonts w:ascii="Segoe UI" w:hAnsi="Segoe UI" w:cs="Segoe UI"/>
                          <w:b/>
                          <w:sz w:val="16"/>
                          <w:szCs w:val="16"/>
                        </w:rPr>
                        <w:t xml:space="preserve"> </w:t>
                      </w:r>
                      <w:r w:rsidRPr="004B74D4">
                        <w:rPr>
                          <w:rFonts w:ascii="Segoe UI" w:hAnsi="Segoe UI" w:cs="Segoe UI"/>
                          <w:b/>
                          <w:sz w:val="16"/>
                          <w:szCs w:val="16"/>
                        </w:rPr>
                        <w:t xml:space="preserve">δισ. το </w:t>
                      </w:r>
                      <w:r>
                        <w:rPr>
                          <w:rFonts w:ascii="Segoe UI" w:hAnsi="Segoe UI" w:cs="Segoe UI"/>
                          <w:b/>
                          <w:sz w:val="16"/>
                          <w:szCs w:val="16"/>
                        </w:rPr>
                        <w:t>Γ</w:t>
                      </w:r>
                      <w:r w:rsidRPr="004B74D4">
                        <w:rPr>
                          <w:rFonts w:ascii="Segoe UI" w:hAnsi="Segoe UI" w:cs="Segoe UI"/>
                          <w:b/>
                          <w:sz w:val="16"/>
                          <w:szCs w:val="16"/>
                        </w:rPr>
                        <w:t>’ τρίμηνο 2020</w:t>
                      </w:r>
                    </w:p>
                    <w:p w:rsidR="00D95F56" w:rsidRDefault="00D95F56" w:rsidP="0000442E">
                      <w:pPr>
                        <w:pStyle w:val="a7"/>
                        <w:numPr>
                          <w:ilvl w:val="0"/>
                          <w:numId w:val="7"/>
                        </w:numPr>
                        <w:spacing w:before="100" w:after="0" w:line="240" w:lineRule="auto"/>
                        <w:jc w:val="left"/>
                        <w:rPr>
                          <w:rFonts w:ascii="Segoe UI" w:hAnsi="Segoe UI" w:cs="Segoe UI"/>
                          <w:sz w:val="16"/>
                          <w:szCs w:val="16"/>
                        </w:rPr>
                      </w:pPr>
                      <w:r w:rsidRPr="008524FF">
                        <w:rPr>
                          <w:rFonts w:ascii="Segoe UI" w:hAnsi="Segoe UI" w:cs="Segoe UI"/>
                          <w:sz w:val="16"/>
                          <w:szCs w:val="16"/>
                        </w:rPr>
                        <w:t>Τα ΜΕΑ μειώθηκαν κατά €0,2 δισ. σε τριμηνιαία βάση και διαμορφώθηκαν σε €9,96 εκατ. το Γ’ τρίμηνο 2020, αντανακλώντας οργανικές ενέργειες</w:t>
                      </w:r>
                      <w:r w:rsidR="00746D66">
                        <w:rPr>
                          <w:rFonts w:ascii="Segoe UI" w:hAnsi="Segoe UI" w:cs="Segoe UI"/>
                          <w:sz w:val="16"/>
                          <w:szCs w:val="16"/>
                        </w:rPr>
                        <w:t xml:space="preserve"> και κυρίως τη μικρή αύξηση στις </w:t>
                      </w:r>
                      <w:r w:rsidRPr="008524FF">
                        <w:rPr>
                          <w:rFonts w:ascii="Segoe UI" w:hAnsi="Segoe UI" w:cs="Segoe UI"/>
                          <w:sz w:val="16"/>
                          <w:szCs w:val="16"/>
                        </w:rPr>
                        <w:t>ρευστοποιήσε</w:t>
                      </w:r>
                      <w:r w:rsidR="00746D66">
                        <w:rPr>
                          <w:rFonts w:ascii="Segoe UI" w:hAnsi="Segoe UI" w:cs="Segoe UI"/>
                          <w:sz w:val="16"/>
                          <w:szCs w:val="16"/>
                        </w:rPr>
                        <w:t>ις</w:t>
                      </w:r>
                      <w:r w:rsidRPr="008524FF">
                        <w:rPr>
                          <w:rFonts w:ascii="Segoe UI" w:hAnsi="Segoe UI" w:cs="Segoe UI"/>
                          <w:sz w:val="16"/>
                          <w:szCs w:val="16"/>
                        </w:rPr>
                        <w:t xml:space="preserve"> ενεχύρων και τις αναδιαρθρώσεις δανείων που ενέχουν διαγραφή οφειλών </w:t>
                      </w:r>
                    </w:p>
                    <w:p w:rsidR="00D95F56" w:rsidRDefault="00D95F56" w:rsidP="0000442E">
                      <w:pPr>
                        <w:pStyle w:val="a7"/>
                        <w:numPr>
                          <w:ilvl w:val="0"/>
                          <w:numId w:val="7"/>
                        </w:numPr>
                        <w:spacing w:before="100" w:after="0" w:line="240" w:lineRule="auto"/>
                        <w:jc w:val="left"/>
                        <w:rPr>
                          <w:rFonts w:ascii="Segoe UI" w:hAnsi="Segoe UI" w:cs="Segoe UI"/>
                          <w:sz w:val="16"/>
                          <w:szCs w:val="16"/>
                        </w:rPr>
                      </w:pPr>
                      <w:r w:rsidRPr="008524FF">
                        <w:rPr>
                          <w:rFonts w:ascii="Segoe UI" w:hAnsi="Segoe UI" w:cs="Segoe UI"/>
                          <w:sz w:val="16"/>
                          <w:szCs w:val="16"/>
                        </w:rPr>
                        <w:t xml:space="preserve">Οι </w:t>
                      </w:r>
                      <w:r>
                        <w:rPr>
                          <w:rFonts w:ascii="Segoe UI" w:hAnsi="Segoe UI" w:cs="Segoe UI"/>
                          <w:sz w:val="16"/>
                          <w:szCs w:val="16"/>
                        </w:rPr>
                        <w:t>νέες αθετήσεις δανείων (</w:t>
                      </w:r>
                      <w:r>
                        <w:rPr>
                          <w:rFonts w:ascii="Segoe UI" w:hAnsi="Segoe UI" w:cs="Segoe UI"/>
                          <w:sz w:val="16"/>
                          <w:szCs w:val="16"/>
                          <w:lang w:val="en-US"/>
                        </w:rPr>
                        <w:t>defaults</w:t>
                      </w:r>
                      <w:r w:rsidRPr="00A97020">
                        <w:rPr>
                          <w:rFonts w:ascii="Segoe UI" w:hAnsi="Segoe UI" w:cs="Segoe UI"/>
                          <w:sz w:val="16"/>
                          <w:szCs w:val="16"/>
                        </w:rPr>
                        <w:t xml:space="preserve">) </w:t>
                      </w:r>
                      <w:r>
                        <w:rPr>
                          <w:rFonts w:ascii="Segoe UI" w:hAnsi="Segoe UI" w:cs="Segoe UI"/>
                          <w:sz w:val="16"/>
                          <w:szCs w:val="16"/>
                        </w:rPr>
                        <w:t xml:space="preserve">διατηρούνται </w:t>
                      </w:r>
                      <w:r w:rsidRPr="008524FF">
                        <w:rPr>
                          <w:rFonts w:ascii="Segoe UI" w:hAnsi="Segoe UI" w:cs="Segoe UI"/>
                          <w:sz w:val="16"/>
                          <w:szCs w:val="16"/>
                        </w:rPr>
                        <w:t>σε χαμηλά επίπεδα,</w:t>
                      </w:r>
                      <w:r>
                        <w:rPr>
                          <w:rFonts w:ascii="Segoe UI" w:hAnsi="Segoe UI" w:cs="Segoe UI"/>
                          <w:sz w:val="16"/>
                          <w:szCs w:val="16"/>
                        </w:rPr>
                        <w:t xml:space="preserve"> </w:t>
                      </w:r>
                      <w:r w:rsidRPr="008524FF">
                        <w:rPr>
                          <w:rFonts w:ascii="Segoe UI" w:hAnsi="Segoe UI" w:cs="Segoe UI"/>
                          <w:sz w:val="16"/>
                          <w:szCs w:val="16"/>
                        </w:rPr>
                        <w:t xml:space="preserve">καθώς η αρνητική επίπτωση της συρρίκνωσης της οικονομικής δραστηριότητας αντισταθμίζεται </w:t>
                      </w:r>
                      <w:r>
                        <w:rPr>
                          <w:rFonts w:ascii="Segoe UI" w:hAnsi="Segoe UI" w:cs="Segoe UI"/>
                          <w:sz w:val="16"/>
                          <w:szCs w:val="16"/>
                        </w:rPr>
                        <w:t xml:space="preserve">σε μεγάλο βαθμό </w:t>
                      </w:r>
                      <w:r w:rsidRPr="008524FF">
                        <w:rPr>
                          <w:rFonts w:ascii="Segoe UI" w:hAnsi="Segoe UI" w:cs="Segoe UI"/>
                          <w:sz w:val="16"/>
                          <w:szCs w:val="16"/>
                        </w:rPr>
                        <w:t xml:space="preserve">από τη στοχευμένη εφαρμογή μέτρων διευκόλυνσης καταβολής οφειλών </w:t>
                      </w:r>
                      <w:r>
                        <w:rPr>
                          <w:rFonts w:ascii="Segoe UI" w:hAnsi="Segoe UI" w:cs="Segoe UI"/>
                          <w:sz w:val="16"/>
                          <w:szCs w:val="16"/>
                        </w:rPr>
                        <w:t>της Τράπεζας</w:t>
                      </w:r>
                      <w:r w:rsidR="00AA4319" w:rsidRPr="00AA4319">
                        <w:rPr>
                          <w:rFonts w:ascii="Segoe UI" w:hAnsi="Segoe UI" w:cs="Segoe UI"/>
                          <w:sz w:val="16"/>
                          <w:szCs w:val="16"/>
                        </w:rPr>
                        <w:t>,</w:t>
                      </w:r>
                      <w:r>
                        <w:rPr>
                          <w:rFonts w:ascii="Segoe UI" w:hAnsi="Segoe UI" w:cs="Segoe UI"/>
                          <w:sz w:val="16"/>
                          <w:szCs w:val="16"/>
                        </w:rPr>
                        <w:t xml:space="preserve"> καθώς και των </w:t>
                      </w:r>
                      <w:r w:rsidRPr="008524FF">
                        <w:rPr>
                          <w:rFonts w:ascii="Segoe UI" w:hAnsi="Segoe UI" w:cs="Segoe UI"/>
                          <w:sz w:val="16"/>
                          <w:szCs w:val="16"/>
                        </w:rPr>
                        <w:t>κυβερνητικ</w:t>
                      </w:r>
                      <w:r>
                        <w:rPr>
                          <w:rFonts w:ascii="Segoe UI" w:hAnsi="Segoe UI" w:cs="Segoe UI"/>
                          <w:sz w:val="16"/>
                          <w:szCs w:val="16"/>
                        </w:rPr>
                        <w:t>ών</w:t>
                      </w:r>
                      <w:r w:rsidRPr="008524FF">
                        <w:rPr>
                          <w:rFonts w:ascii="Segoe UI" w:hAnsi="Segoe UI" w:cs="Segoe UI"/>
                          <w:sz w:val="16"/>
                          <w:szCs w:val="16"/>
                        </w:rPr>
                        <w:t xml:space="preserve"> προγραμμάτ</w:t>
                      </w:r>
                      <w:r>
                        <w:rPr>
                          <w:rFonts w:ascii="Segoe UI" w:hAnsi="Segoe UI" w:cs="Segoe UI"/>
                          <w:sz w:val="16"/>
                          <w:szCs w:val="16"/>
                        </w:rPr>
                        <w:t>ων</w:t>
                      </w:r>
                      <w:r w:rsidRPr="008524FF">
                        <w:rPr>
                          <w:rFonts w:ascii="Segoe UI" w:hAnsi="Segoe UI" w:cs="Segoe UI"/>
                          <w:sz w:val="16"/>
                          <w:szCs w:val="16"/>
                        </w:rPr>
                        <w:t xml:space="preserve"> στήριξης </w:t>
                      </w:r>
                    </w:p>
                    <w:p w:rsidR="00D95F56" w:rsidRDefault="00D95F56" w:rsidP="00C37B2B">
                      <w:pPr>
                        <w:pStyle w:val="a7"/>
                        <w:spacing w:before="100" w:after="0" w:line="240" w:lineRule="auto"/>
                        <w:ind w:left="644"/>
                        <w:jc w:val="left"/>
                        <w:rPr>
                          <w:rFonts w:ascii="Segoe UI" w:hAnsi="Segoe UI" w:cs="Segoe UI"/>
                          <w:sz w:val="16"/>
                          <w:szCs w:val="16"/>
                        </w:rPr>
                      </w:pPr>
                    </w:p>
                    <w:p w:rsidR="00D95F56" w:rsidRPr="00322F1D" w:rsidRDefault="00D95F56" w:rsidP="0061399D">
                      <w:pPr>
                        <w:numPr>
                          <w:ilvl w:val="0"/>
                          <w:numId w:val="6"/>
                        </w:numPr>
                        <w:spacing w:before="120"/>
                        <w:ind w:left="351" w:hanging="357"/>
                        <w:rPr>
                          <w:rFonts w:ascii="Segoe UI" w:hAnsi="Segoe UI" w:cs="Segoe UI"/>
                          <w:b/>
                          <w:sz w:val="16"/>
                          <w:szCs w:val="16"/>
                        </w:rPr>
                      </w:pPr>
                      <w:r w:rsidRPr="00322F1D">
                        <w:rPr>
                          <w:rFonts w:ascii="Segoe UI" w:hAnsi="Segoe UI" w:cs="Segoe UI"/>
                          <w:b/>
                          <w:sz w:val="16"/>
                          <w:szCs w:val="16"/>
                        </w:rPr>
                        <w:t xml:space="preserve">Οι </w:t>
                      </w:r>
                      <w:r>
                        <w:rPr>
                          <w:rFonts w:ascii="Segoe UI" w:hAnsi="Segoe UI" w:cs="Segoe UI"/>
                          <w:b/>
                          <w:sz w:val="16"/>
                          <w:szCs w:val="16"/>
                        </w:rPr>
                        <w:t>εκταμιεύσεις δανείων</w:t>
                      </w:r>
                      <w:r w:rsidRPr="00322F1D">
                        <w:rPr>
                          <w:rFonts w:ascii="Segoe UI" w:hAnsi="Segoe UI" w:cs="Segoe UI"/>
                          <w:b/>
                          <w:sz w:val="16"/>
                          <w:szCs w:val="16"/>
                        </w:rPr>
                        <w:t xml:space="preserve"> στην Ελλάδα ανήλθαν σε €</w:t>
                      </w:r>
                      <w:r>
                        <w:rPr>
                          <w:rFonts w:ascii="Segoe UI" w:hAnsi="Segoe UI" w:cs="Segoe UI"/>
                          <w:b/>
                          <w:sz w:val="16"/>
                          <w:szCs w:val="16"/>
                        </w:rPr>
                        <w:t>3,</w:t>
                      </w:r>
                      <w:r w:rsidR="003F2CD7">
                        <w:rPr>
                          <w:rFonts w:ascii="Segoe UI" w:hAnsi="Segoe UI" w:cs="Segoe UI"/>
                          <w:b/>
                          <w:sz w:val="16"/>
                          <w:szCs w:val="16"/>
                        </w:rPr>
                        <w:t>5</w:t>
                      </w:r>
                      <w:r w:rsidRPr="00322F1D">
                        <w:rPr>
                          <w:rFonts w:ascii="Segoe UI" w:hAnsi="Segoe UI" w:cs="Segoe UI"/>
                          <w:b/>
                          <w:sz w:val="16"/>
                          <w:szCs w:val="16"/>
                        </w:rPr>
                        <w:t xml:space="preserve"> δισ. </w:t>
                      </w:r>
                      <w:r>
                        <w:rPr>
                          <w:rFonts w:ascii="Segoe UI" w:hAnsi="Segoe UI" w:cs="Segoe UI"/>
                          <w:b/>
                          <w:sz w:val="16"/>
                          <w:szCs w:val="16"/>
                        </w:rPr>
                        <w:t>το δεκάμηνο 2020, ενισχυμένες κατά 42% σε ετήσια βάση, αντανακλώντας τις εκταμιεύσεις δανείων προς επιχειρήσεις</w:t>
                      </w:r>
                    </w:p>
                    <w:p w:rsidR="00D95F56" w:rsidRDefault="00D95F56" w:rsidP="00FA0B08">
                      <w:pPr>
                        <w:pStyle w:val="a7"/>
                        <w:numPr>
                          <w:ilvl w:val="0"/>
                          <w:numId w:val="7"/>
                        </w:numPr>
                        <w:spacing w:before="100" w:after="0" w:line="240" w:lineRule="auto"/>
                        <w:jc w:val="left"/>
                        <w:rPr>
                          <w:rFonts w:ascii="Segoe UI" w:hAnsi="Segoe UI" w:cs="Segoe UI"/>
                          <w:sz w:val="16"/>
                          <w:szCs w:val="16"/>
                        </w:rPr>
                      </w:pPr>
                      <w:r>
                        <w:rPr>
                          <w:rFonts w:ascii="Segoe UI" w:hAnsi="Segoe UI" w:cs="Segoe UI"/>
                          <w:sz w:val="16"/>
                          <w:szCs w:val="16"/>
                        </w:rPr>
                        <w:t xml:space="preserve">Οι νέες εκταμιεύσεις δανείων </w:t>
                      </w:r>
                      <w:r w:rsidRPr="00836B14">
                        <w:rPr>
                          <w:rFonts w:ascii="Segoe UI" w:hAnsi="Segoe UI" w:cs="Segoe UI"/>
                          <w:sz w:val="16"/>
                          <w:szCs w:val="16"/>
                        </w:rPr>
                        <w:t>αναμένεται να υπερβ</w:t>
                      </w:r>
                      <w:r>
                        <w:rPr>
                          <w:rFonts w:ascii="Segoe UI" w:hAnsi="Segoe UI" w:cs="Segoe UI"/>
                          <w:sz w:val="16"/>
                          <w:szCs w:val="16"/>
                        </w:rPr>
                        <w:t>ούν</w:t>
                      </w:r>
                      <w:r w:rsidR="00FA0B08" w:rsidRPr="00FA0B08">
                        <w:rPr>
                          <w:rFonts w:ascii="Segoe UI" w:hAnsi="Segoe UI" w:cs="Segoe UI"/>
                          <w:sz w:val="16"/>
                          <w:szCs w:val="16"/>
                        </w:rPr>
                        <w:t xml:space="preserve"> σημαντικά </w:t>
                      </w:r>
                      <w:r>
                        <w:rPr>
                          <w:rFonts w:ascii="Segoe UI" w:hAnsi="Segoe UI" w:cs="Segoe UI"/>
                          <w:sz w:val="16"/>
                          <w:szCs w:val="16"/>
                        </w:rPr>
                        <w:t xml:space="preserve">τον στόχο των </w:t>
                      </w:r>
                      <w:r w:rsidRPr="004A5DBC">
                        <w:rPr>
                          <w:rFonts w:ascii="Segoe UI" w:hAnsi="Segoe UI" w:cs="Segoe UI"/>
                          <w:sz w:val="16"/>
                          <w:szCs w:val="16"/>
                        </w:rPr>
                        <w:t>€4 δισ. για το 2020</w:t>
                      </w:r>
                      <w:r>
                        <w:rPr>
                          <w:rFonts w:ascii="Segoe UI" w:hAnsi="Segoe UI" w:cs="Segoe UI"/>
                          <w:sz w:val="16"/>
                          <w:szCs w:val="16"/>
                        </w:rPr>
                        <w:t xml:space="preserve"> </w:t>
                      </w:r>
                      <w:r w:rsidRPr="007B7E68">
                        <w:rPr>
                          <w:rFonts w:ascii="Segoe UI" w:hAnsi="Segoe UI" w:cs="Segoe UI"/>
                          <w:sz w:val="16"/>
                          <w:szCs w:val="16"/>
                        </w:rPr>
                        <w:t>που είχ</w:t>
                      </w:r>
                      <w:r>
                        <w:rPr>
                          <w:rFonts w:ascii="Segoe UI" w:hAnsi="Segoe UI" w:cs="Segoe UI"/>
                          <w:sz w:val="16"/>
                          <w:szCs w:val="16"/>
                        </w:rPr>
                        <w:t>ε θέσει η Τράπεζα προ κορωνοϊού, επωφελούμενες από τα κ</w:t>
                      </w:r>
                      <w:r w:rsidRPr="004B00A2">
                        <w:rPr>
                          <w:rFonts w:ascii="Segoe UI" w:hAnsi="Segoe UI" w:cs="Segoe UI"/>
                          <w:sz w:val="16"/>
                          <w:szCs w:val="16"/>
                        </w:rPr>
                        <w:t>υβ</w:t>
                      </w:r>
                      <w:r>
                        <w:rPr>
                          <w:rFonts w:ascii="Segoe UI" w:hAnsi="Segoe UI" w:cs="Segoe UI"/>
                          <w:sz w:val="16"/>
                          <w:szCs w:val="16"/>
                        </w:rPr>
                        <w:t xml:space="preserve">ερνητικά </w:t>
                      </w:r>
                      <w:r w:rsidRPr="004B00A2">
                        <w:rPr>
                          <w:rFonts w:ascii="Segoe UI" w:hAnsi="Segoe UI" w:cs="Segoe UI"/>
                          <w:sz w:val="16"/>
                          <w:szCs w:val="16"/>
                        </w:rPr>
                        <w:t>προγράμματ</w:t>
                      </w:r>
                      <w:r>
                        <w:rPr>
                          <w:rFonts w:ascii="Segoe UI" w:hAnsi="Segoe UI" w:cs="Segoe UI"/>
                          <w:sz w:val="16"/>
                          <w:szCs w:val="16"/>
                        </w:rPr>
                        <w:t>α</w:t>
                      </w:r>
                      <w:r w:rsidRPr="004B00A2">
                        <w:rPr>
                          <w:rFonts w:ascii="Segoe UI" w:hAnsi="Segoe UI" w:cs="Segoe UI"/>
                          <w:sz w:val="16"/>
                          <w:szCs w:val="16"/>
                        </w:rPr>
                        <w:t xml:space="preserve"> στήριξης </w:t>
                      </w:r>
                      <w:r>
                        <w:rPr>
                          <w:rFonts w:ascii="Segoe UI" w:hAnsi="Segoe UI" w:cs="Segoe UI"/>
                          <w:sz w:val="16"/>
                          <w:szCs w:val="16"/>
                        </w:rPr>
                        <w:t>των επιχειρήσεων για την αντιμετώπιση των επιπτώσεων της πανδημίας του κορωνοϊού</w:t>
                      </w:r>
                    </w:p>
                    <w:p w:rsidR="00D95F56" w:rsidRPr="00A70C0D" w:rsidRDefault="00D95F56" w:rsidP="00BD03A8">
                      <w:pPr>
                        <w:pStyle w:val="a7"/>
                        <w:numPr>
                          <w:ilvl w:val="0"/>
                          <w:numId w:val="7"/>
                        </w:numPr>
                        <w:spacing w:before="100" w:after="0" w:line="240" w:lineRule="auto"/>
                        <w:jc w:val="left"/>
                        <w:rPr>
                          <w:rFonts w:ascii="Segoe UI" w:hAnsi="Segoe UI" w:cs="Segoe UI"/>
                          <w:sz w:val="16"/>
                          <w:szCs w:val="16"/>
                        </w:rPr>
                      </w:pPr>
                      <w:r w:rsidRPr="00A70C0D">
                        <w:rPr>
                          <w:rFonts w:ascii="Segoe UI" w:hAnsi="Segoe UI" w:cs="Segoe UI"/>
                          <w:sz w:val="16"/>
                          <w:szCs w:val="16"/>
                        </w:rPr>
                        <w:t>Οι εγχώρι</w:t>
                      </w:r>
                      <w:r>
                        <w:rPr>
                          <w:rFonts w:ascii="Segoe UI" w:hAnsi="Segoe UI" w:cs="Segoe UI"/>
                          <w:sz w:val="16"/>
                          <w:szCs w:val="16"/>
                        </w:rPr>
                        <w:t>ες καταθέσεις αυξήθηκαν κατά €1,5 δισ. ή 3</w:t>
                      </w:r>
                      <w:r w:rsidRPr="00A70C0D">
                        <w:rPr>
                          <w:rFonts w:ascii="Segoe UI" w:hAnsi="Segoe UI" w:cs="Segoe UI"/>
                          <w:sz w:val="16"/>
                          <w:szCs w:val="16"/>
                        </w:rPr>
                        <w:t xml:space="preserve">% </w:t>
                      </w:r>
                      <w:r>
                        <w:rPr>
                          <w:rFonts w:ascii="Segoe UI" w:hAnsi="Segoe UI" w:cs="Segoe UI"/>
                          <w:sz w:val="16"/>
                          <w:szCs w:val="16"/>
                        </w:rPr>
                        <w:t>από την αρχή του έτους σε €43,7 δισ.</w:t>
                      </w:r>
                      <w:r w:rsidRPr="00A70C0D">
                        <w:rPr>
                          <w:rFonts w:ascii="Segoe UI" w:hAnsi="Segoe UI" w:cs="Segoe UI"/>
                          <w:sz w:val="16"/>
                          <w:szCs w:val="16"/>
                        </w:rPr>
                        <w:t>, αντανακλώντας εισροές καταθέσεων ιδιωτών</w:t>
                      </w:r>
                      <w:r>
                        <w:rPr>
                          <w:rFonts w:ascii="Segoe UI" w:hAnsi="Segoe UI" w:cs="Segoe UI"/>
                          <w:sz w:val="16"/>
                          <w:szCs w:val="16"/>
                        </w:rPr>
                        <w:t xml:space="preserve">, ως αποτέλεσμα της αύξησης των αποταμιεύσεων των επιχειρήσεων και των νοικοκυριών. </w:t>
                      </w:r>
                      <w:r w:rsidRPr="00A70C0D">
                        <w:rPr>
                          <w:rFonts w:ascii="Segoe UI" w:hAnsi="Segoe UI" w:cs="Segoe UI"/>
                          <w:sz w:val="16"/>
                          <w:szCs w:val="16"/>
                        </w:rPr>
                        <w:t>Οι δείκτες Κάλυψης Ρευστότητας (</w:t>
                      </w:r>
                      <w:r w:rsidRPr="00A70C0D">
                        <w:rPr>
                          <w:rFonts w:ascii="Segoe UI" w:hAnsi="Segoe UI" w:cs="Segoe UI"/>
                          <w:sz w:val="16"/>
                          <w:szCs w:val="16"/>
                          <w:lang w:val="en-US"/>
                        </w:rPr>
                        <w:t>Liquidity</w:t>
                      </w:r>
                      <w:r w:rsidRPr="00A70C0D">
                        <w:rPr>
                          <w:rFonts w:ascii="Segoe UI" w:hAnsi="Segoe UI" w:cs="Segoe UI"/>
                          <w:sz w:val="16"/>
                          <w:szCs w:val="16"/>
                        </w:rPr>
                        <w:t xml:space="preserve"> </w:t>
                      </w:r>
                      <w:r w:rsidRPr="00A70C0D">
                        <w:rPr>
                          <w:rFonts w:ascii="Segoe UI" w:hAnsi="Segoe UI" w:cs="Segoe UI"/>
                          <w:sz w:val="16"/>
                          <w:szCs w:val="16"/>
                          <w:lang w:val="en-US"/>
                        </w:rPr>
                        <w:t>Coverage</w:t>
                      </w:r>
                      <w:r w:rsidRPr="00A70C0D">
                        <w:rPr>
                          <w:rFonts w:ascii="Segoe UI" w:hAnsi="Segoe UI" w:cs="Segoe UI"/>
                          <w:sz w:val="16"/>
                          <w:szCs w:val="16"/>
                        </w:rPr>
                        <w:t xml:space="preserve"> </w:t>
                      </w:r>
                      <w:r w:rsidRPr="00A70C0D">
                        <w:rPr>
                          <w:rFonts w:ascii="Segoe UI" w:hAnsi="Segoe UI" w:cs="Segoe UI"/>
                          <w:sz w:val="16"/>
                          <w:szCs w:val="16"/>
                          <w:lang w:val="en-US"/>
                        </w:rPr>
                        <w:t>Ratio</w:t>
                      </w:r>
                      <w:r w:rsidRPr="00A70C0D">
                        <w:rPr>
                          <w:rFonts w:ascii="Segoe UI" w:hAnsi="Segoe UI" w:cs="Segoe UI"/>
                          <w:sz w:val="16"/>
                          <w:szCs w:val="16"/>
                        </w:rPr>
                        <w:t xml:space="preserve"> - </w:t>
                      </w:r>
                      <w:r w:rsidRPr="00A70C0D">
                        <w:rPr>
                          <w:rFonts w:ascii="Segoe UI" w:hAnsi="Segoe UI" w:cs="Segoe UI"/>
                          <w:sz w:val="16"/>
                          <w:szCs w:val="16"/>
                          <w:lang w:val="en-US"/>
                        </w:rPr>
                        <w:t>LCR</w:t>
                      </w:r>
                      <w:r w:rsidRPr="00A70C0D">
                        <w:rPr>
                          <w:rFonts w:ascii="Segoe UI" w:hAnsi="Segoe UI" w:cs="Segoe UI"/>
                          <w:sz w:val="16"/>
                          <w:szCs w:val="16"/>
                        </w:rPr>
                        <w:t>) και Καθαρής Σταθερής Χρηματοδότησης (</w:t>
                      </w:r>
                      <w:r w:rsidRPr="00A70C0D">
                        <w:rPr>
                          <w:rFonts w:ascii="Segoe UI" w:hAnsi="Segoe UI" w:cs="Segoe UI"/>
                          <w:sz w:val="16"/>
                          <w:szCs w:val="16"/>
                          <w:lang w:val="en-US"/>
                        </w:rPr>
                        <w:t>Net</w:t>
                      </w:r>
                      <w:r w:rsidRPr="00A70C0D">
                        <w:rPr>
                          <w:rFonts w:ascii="Segoe UI" w:hAnsi="Segoe UI" w:cs="Segoe UI"/>
                          <w:sz w:val="16"/>
                          <w:szCs w:val="16"/>
                        </w:rPr>
                        <w:t xml:space="preserve"> </w:t>
                      </w:r>
                      <w:r w:rsidRPr="00A70C0D">
                        <w:rPr>
                          <w:rFonts w:ascii="Segoe UI" w:hAnsi="Segoe UI" w:cs="Segoe UI"/>
                          <w:sz w:val="16"/>
                          <w:szCs w:val="16"/>
                          <w:lang w:val="en-US"/>
                        </w:rPr>
                        <w:t>Stable</w:t>
                      </w:r>
                      <w:r w:rsidRPr="00A70C0D">
                        <w:rPr>
                          <w:rFonts w:ascii="Segoe UI" w:hAnsi="Segoe UI" w:cs="Segoe UI"/>
                          <w:sz w:val="16"/>
                          <w:szCs w:val="16"/>
                        </w:rPr>
                        <w:t xml:space="preserve"> </w:t>
                      </w:r>
                      <w:r w:rsidRPr="00A70C0D">
                        <w:rPr>
                          <w:rFonts w:ascii="Segoe UI" w:hAnsi="Segoe UI" w:cs="Segoe UI"/>
                          <w:sz w:val="16"/>
                          <w:szCs w:val="16"/>
                          <w:lang w:val="en-US"/>
                        </w:rPr>
                        <w:t>Funding</w:t>
                      </w:r>
                      <w:r w:rsidRPr="00A70C0D">
                        <w:rPr>
                          <w:rFonts w:ascii="Segoe UI" w:hAnsi="Segoe UI" w:cs="Segoe UI"/>
                          <w:sz w:val="16"/>
                          <w:szCs w:val="16"/>
                        </w:rPr>
                        <w:t xml:space="preserve"> </w:t>
                      </w:r>
                      <w:r w:rsidRPr="00A70C0D">
                        <w:rPr>
                          <w:rFonts w:ascii="Segoe UI" w:hAnsi="Segoe UI" w:cs="Segoe UI"/>
                          <w:sz w:val="16"/>
                          <w:szCs w:val="16"/>
                          <w:lang w:val="en-US"/>
                        </w:rPr>
                        <w:t>Ratio</w:t>
                      </w:r>
                      <w:r w:rsidRPr="00A70C0D">
                        <w:rPr>
                          <w:rFonts w:ascii="Segoe UI" w:hAnsi="Segoe UI" w:cs="Segoe UI"/>
                          <w:sz w:val="16"/>
                          <w:szCs w:val="16"/>
                        </w:rPr>
                        <w:t xml:space="preserve"> – </w:t>
                      </w:r>
                      <w:r w:rsidRPr="00A70C0D">
                        <w:rPr>
                          <w:rFonts w:ascii="Segoe UI" w:hAnsi="Segoe UI" w:cs="Segoe UI"/>
                          <w:sz w:val="16"/>
                          <w:szCs w:val="16"/>
                          <w:lang w:val="en-US"/>
                        </w:rPr>
                        <w:t>NSFR</w:t>
                      </w:r>
                      <w:r w:rsidRPr="00A70C0D">
                        <w:rPr>
                          <w:rFonts w:ascii="Segoe UI" w:hAnsi="Segoe UI" w:cs="Segoe UI"/>
                          <w:sz w:val="16"/>
                          <w:szCs w:val="16"/>
                        </w:rPr>
                        <w:t>) διατηρ</w:t>
                      </w:r>
                      <w:r>
                        <w:rPr>
                          <w:rFonts w:ascii="Segoe UI" w:hAnsi="Segoe UI" w:cs="Segoe UI"/>
                          <w:sz w:val="16"/>
                          <w:szCs w:val="16"/>
                        </w:rPr>
                        <w:t xml:space="preserve">ήθηκαν </w:t>
                      </w:r>
                      <w:r w:rsidRPr="00A70C0D">
                        <w:rPr>
                          <w:rFonts w:ascii="Segoe UI" w:hAnsi="Segoe UI" w:cs="Segoe UI"/>
                          <w:sz w:val="16"/>
                          <w:szCs w:val="16"/>
                        </w:rPr>
                        <w:t>σε επίπεδα πλέον του 100</w:t>
                      </w:r>
                      <w:r>
                        <w:rPr>
                          <w:rFonts w:ascii="Segoe UI" w:hAnsi="Segoe UI" w:cs="Segoe UI"/>
                          <w:sz w:val="16"/>
                          <w:szCs w:val="16"/>
                        </w:rPr>
                        <w:t>%, υπερβαίνοντας κατά πολύ τα ελάχιστα εποπτικά όρια</w:t>
                      </w:r>
                      <w:r w:rsidRPr="00A70C0D">
                        <w:rPr>
                          <w:rFonts w:ascii="Segoe UI" w:hAnsi="Segoe UI" w:cs="Segoe UI"/>
                          <w:sz w:val="16"/>
                          <w:szCs w:val="16"/>
                        </w:rPr>
                        <w:t xml:space="preserve"> </w:t>
                      </w:r>
                    </w:p>
                    <w:p w:rsidR="00D95F56" w:rsidRPr="00D85A91" w:rsidRDefault="00D95F56" w:rsidP="0000442E">
                      <w:pPr>
                        <w:pStyle w:val="a7"/>
                        <w:numPr>
                          <w:ilvl w:val="0"/>
                          <w:numId w:val="7"/>
                        </w:numPr>
                        <w:spacing w:before="100" w:after="0" w:line="240" w:lineRule="auto"/>
                        <w:jc w:val="left"/>
                        <w:rPr>
                          <w:rFonts w:ascii="Segoe UI" w:hAnsi="Segoe UI" w:cs="Segoe UI"/>
                          <w:sz w:val="2"/>
                          <w:szCs w:val="2"/>
                        </w:rPr>
                      </w:pPr>
                      <w:r w:rsidRPr="00522711">
                        <w:rPr>
                          <w:rFonts w:ascii="Segoe UI" w:hAnsi="Segoe UI" w:cs="Segoe UI"/>
                          <w:sz w:val="16"/>
                          <w:szCs w:val="16"/>
                        </w:rPr>
                        <w:t>Η επιτυχής έκδοση πράσινου ομολόγου υψηλής εξασφάλισης ύψους €500</w:t>
                      </w:r>
                      <w:r w:rsidR="002004BB">
                        <w:rPr>
                          <w:rFonts w:ascii="Segoe UI" w:hAnsi="Segoe UI" w:cs="Segoe UI"/>
                          <w:sz w:val="16"/>
                          <w:szCs w:val="16"/>
                        </w:rPr>
                        <w:t xml:space="preserve"> </w:t>
                      </w:r>
                      <w:r w:rsidRPr="00522711">
                        <w:rPr>
                          <w:rFonts w:ascii="Segoe UI" w:hAnsi="Segoe UI" w:cs="Segoe UI"/>
                          <w:sz w:val="16"/>
                          <w:szCs w:val="16"/>
                        </w:rPr>
                        <w:t>εκατ. με εξαετή διάρκεια και τοκομερίδιο 2,75% αποτελεί μέρος της στρατηγικής βελτιστοποίησης της κεφαλαιακής δομής της Τράπεζας μέσω της διεύρυνσης των κεφαλαίων δεύτερης διαβάθμισης (Minimum Required Eligible Liabilities – MREL).</w:t>
                      </w:r>
                      <w:r w:rsidRPr="00AD588A">
                        <w:t xml:space="preserve"> </w:t>
                      </w:r>
                      <w:r w:rsidRPr="00522711">
                        <w:rPr>
                          <w:rFonts w:ascii="Segoe UI" w:hAnsi="Segoe UI" w:cs="Segoe UI"/>
                          <w:sz w:val="16"/>
                          <w:szCs w:val="16"/>
                        </w:rPr>
                        <w:t xml:space="preserve">Η εν λόγω συναλλαγή αποτελεί </w:t>
                      </w:r>
                      <w:r>
                        <w:rPr>
                          <w:rFonts w:ascii="Segoe UI" w:hAnsi="Segoe UI" w:cs="Segoe UI"/>
                          <w:sz w:val="16"/>
                          <w:szCs w:val="16"/>
                        </w:rPr>
                        <w:t xml:space="preserve">επίσης </w:t>
                      </w:r>
                      <w:r w:rsidRPr="00522711">
                        <w:rPr>
                          <w:rFonts w:ascii="Segoe UI" w:hAnsi="Segoe UI" w:cs="Segoe UI"/>
                          <w:sz w:val="16"/>
                          <w:szCs w:val="16"/>
                        </w:rPr>
                        <w:t>έμπρακτη επιβεβαίωση της δέσμευσης τη</w:t>
                      </w:r>
                      <w:r>
                        <w:rPr>
                          <w:rFonts w:ascii="Segoe UI" w:hAnsi="Segoe UI" w:cs="Segoe UI"/>
                          <w:sz w:val="16"/>
                          <w:szCs w:val="16"/>
                        </w:rPr>
                        <w:t>ς</w:t>
                      </w:r>
                      <w:r w:rsidRPr="00522711">
                        <w:rPr>
                          <w:rFonts w:ascii="Segoe UI" w:hAnsi="Segoe UI" w:cs="Segoe UI"/>
                          <w:sz w:val="16"/>
                          <w:szCs w:val="16"/>
                        </w:rPr>
                        <w:t xml:space="preserve"> Εθνική</w:t>
                      </w:r>
                      <w:r>
                        <w:rPr>
                          <w:rFonts w:ascii="Segoe UI" w:hAnsi="Segoe UI" w:cs="Segoe UI"/>
                          <w:sz w:val="16"/>
                          <w:szCs w:val="16"/>
                        </w:rPr>
                        <w:t>ς</w:t>
                      </w:r>
                      <w:r w:rsidRPr="00522711">
                        <w:rPr>
                          <w:rFonts w:ascii="Segoe UI" w:hAnsi="Segoe UI" w:cs="Segoe UI"/>
                          <w:sz w:val="16"/>
                          <w:szCs w:val="16"/>
                        </w:rPr>
                        <w:t xml:space="preserve"> Τράπεζας να στηρίξει την ελληνική οικονομία, με την χρηματοδότηση έργων στον κλάδο της ενέργειας να αποτελεί στρατηγικό στόχο της Τράπεζας </w:t>
                      </w:r>
                    </w:p>
                    <w:p w:rsidR="00D95F56" w:rsidRPr="00D85A91" w:rsidRDefault="00D95F56" w:rsidP="00D85A91">
                      <w:pPr>
                        <w:pStyle w:val="a7"/>
                        <w:spacing w:before="100" w:after="0" w:line="240" w:lineRule="auto"/>
                        <w:ind w:left="644"/>
                        <w:jc w:val="left"/>
                        <w:rPr>
                          <w:rFonts w:ascii="Segoe UI" w:hAnsi="Segoe UI" w:cs="Segoe UI"/>
                          <w:sz w:val="16"/>
                          <w:szCs w:val="16"/>
                        </w:rPr>
                      </w:pPr>
                    </w:p>
                    <w:p w:rsidR="00D95F56" w:rsidRPr="00322F1D" w:rsidRDefault="00D95F56" w:rsidP="00074812">
                      <w:pPr>
                        <w:numPr>
                          <w:ilvl w:val="0"/>
                          <w:numId w:val="6"/>
                        </w:numPr>
                        <w:spacing w:before="120"/>
                        <w:rPr>
                          <w:rFonts w:ascii="Segoe UI" w:hAnsi="Segoe UI" w:cs="Segoe UI"/>
                          <w:b/>
                          <w:sz w:val="16"/>
                          <w:szCs w:val="16"/>
                        </w:rPr>
                      </w:pPr>
                      <w:r w:rsidRPr="00322F1D">
                        <w:rPr>
                          <w:rFonts w:ascii="Segoe UI" w:hAnsi="Segoe UI" w:cs="Segoe UI"/>
                          <w:b/>
                          <w:sz w:val="16"/>
                          <w:szCs w:val="16"/>
                        </w:rPr>
                        <w:t xml:space="preserve">Δείκτης </w:t>
                      </w:r>
                      <w:r w:rsidRPr="00322F1D">
                        <w:rPr>
                          <w:rFonts w:ascii="Segoe UI" w:hAnsi="Segoe UI" w:cs="Segoe UI"/>
                          <w:b/>
                          <w:sz w:val="16"/>
                          <w:szCs w:val="16"/>
                          <w:lang w:val="en-US"/>
                        </w:rPr>
                        <w:t>CET</w:t>
                      </w:r>
                      <w:r w:rsidRPr="00322F1D">
                        <w:rPr>
                          <w:rFonts w:ascii="Segoe UI" w:hAnsi="Segoe UI" w:cs="Segoe UI"/>
                          <w:b/>
                          <w:sz w:val="16"/>
                          <w:szCs w:val="16"/>
                        </w:rPr>
                        <w:t xml:space="preserve">1 στο </w:t>
                      </w:r>
                      <w:r>
                        <w:rPr>
                          <w:rFonts w:ascii="Segoe UI" w:hAnsi="Segoe UI" w:cs="Segoe UI"/>
                          <w:b/>
                          <w:sz w:val="16"/>
                          <w:szCs w:val="16"/>
                        </w:rPr>
                        <w:t>15,</w:t>
                      </w:r>
                      <w:r w:rsidRPr="00283FBA">
                        <w:rPr>
                          <w:rFonts w:ascii="Segoe UI" w:hAnsi="Segoe UI" w:cs="Segoe UI"/>
                          <w:b/>
                          <w:sz w:val="16"/>
                          <w:szCs w:val="16"/>
                        </w:rPr>
                        <w:t>9</w:t>
                      </w:r>
                      <w:r w:rsidRPr="00322F1D">
                        <w:rPr>
                          <w:rFonts w:ascii="Segoe UI" w:hAnsi="Segoe UI" w:cs="Segoe UI"/>
                          <w:b/>
                          <w:sz w:val="16"/>
                          <w:szCs w:val="16"/>
                        </w:rPr>
                        <w:t>%</w:t>
                      </w:r>
                      <w:r>
                        <w:rPr>
                          <w:rFonts w:ascii="Segoe UI" w:hAnsi="Segoe UI" w:cs="Segoe UI"/>
                          <w:b/>
                          <w:sz w:val="16"/>
                          <w:szCs w:val="16"/>
                          <w:vertAlign w:val="superscript"/>
                        </w:rPr>
                        <w:t>3</w:t>
                      </w:r>
                      <w:r w:rsidRPr="00322F1D">
                        <w:rPr>
                          <w:rFonts w:ascii="Segoe UI" w:hAnsi="Segoe UI" w:cs="Segoe UI"/>
                          <w:b/>
                          <w:sz w:val="16"/>
                          <w:szCs w:val="16"/>
                        </w:rPr>
                        <w:t xml:space="preserve">, </w:t>
                      </w:r>
                      <w:r>
                        <w:rPr>
                          <w:rFonts w:ascii="Segoe UI" w:hAnsi="Segoe UI" w:cs="Segoe UI"/>
                          <w:b/>
                          <w:sz w:val="16"/>
                          <w:szCs w:val="16"/>
                        </w:rPr>
                        <w:t xml:space="preserve">με το </w:t>
                      </w:r>
                      <w:r w:rsidRPr="00074812">
                        <w:rPr>
                          <w:rFonts w:ascii="Segoe UI" w:hAnsi="Segoe UI" w:cs="Segoe UI"/>
                          <w:b/>
                          <w:sz w:val="16"/>
                          <w:szCs w:val="16"/>
                        </w:rPr>
                        <w:t xml:space="preserve">Συνολικό Δείκτη Κεφαλαιακή Επάρκειας </w:t>
                      </w:r>
                      <w:r>
                        <w:rPr>
                          <w:rFonts w:ascii="Segoe UI" w:hAnsi="Segoe UI" w:cs="Segoe UI"/>
                          <w:b/>
                          <w:sz w:val="16"/>
                          <w:szCs w:val="16"/>
                        </w:rPr>
                        <w:t xml:space="preserve">να ανέρχεται </w:t>
                      </w:r>
                      <w:r w:rsidRPr="00074812">
                        <w:rPr>
                          <w:rFonts w:ascii="Segoe UI" w:hAnsi="Segoe UI" w:cs="Segoe UI"/>
                          <w:b/>
                          <w:sz w:val="16"/>
                          <w:szCs w:val="16"/>
                        </w:rPr>
                        <w:t>σε 16,</w:t>
                      </w:r>
                      <w:r>
                        <w:rPr>
                          <w:rFonts w:ascii="Segoe UI" w:hAnsi="Segoe UI" w:cs="Segoe UI"/>
                          <w:b/>
                          <w:sz w:val="16"/>
                          <w:szCs w:val="16"/>
                        </w:rPr>
                        <w:t>9</w:t>
                      </w:r>
                      <w:r w:rsidRPr="00074812">
                        <w:rPr>
                          <w:rFonts w:ascii="Segoe UI" w:hAnsi="Segoe UI" w:cs="Segoe UI"/>
                          <w:b/>
                          <w:sz w:val="16"/>
                          <w:szCs w:val="16"/>
                        </w:rPr>
                        <w:t>%</w:t>
                      </w:r>
                      <w:r>
                        <w:rPr>
                          <w:rFonts w:ascii="Segoe UI" w:hAnsi="Segoe UI" w:cs="Segoe UI"/>
                          <w:b/>
                          <w:sz w:val="16"/>
                          <w:szCs w:val="16"/>
                          <w:vertAlign w:val="superscript"/>
                        </w:rPr>
                        <w:t>3</w:t>
                      </w:r>
                      <w:r w:rsidRPr="00322F1D">
                        <w:rPr>
                          <w:rFonts w:ascii="Segoe UI" w:hAnsi="Segoe UI" w:cs="Segoe UI"/>
                          <w:b/>
                          <w:sz w:val="16"/>
                          <w:szCs w:val="16"/>
                        </w:rPr>
                        <w:t xml:space="preserve"> </w:t>
                      </w:r>
                    </w:p>
                    <w:p w:rsidR="00D95F56" w:rsidRPr="00807C0E" w:rsidRDefault="00D95F56" w:rsidP="00807C0E">
                      <w:pPr>
                        <w:pStyle w:val="a7"/>
                        <w:numPr>
                          <w:ilvl w:val="0"/>
                          <w:numId w:val="8"/>
                        </w:numPr>
                        <w:spacing w:before="100" w:after="0" w:line="240" w:lineRule="auto"/>
                        <w:jc w:val="left"/>
                        <w:rPr>
                          <w:rFonts w:ascii="Segoe UI" w:hAnsi="Segoe UI" w:cs="Segoe UI"/>
                          <w:sz w:val="16"/>
                          <w:szCs w:val="16"/>
                        </w:rPr>
                      </w:pPr>
                      <w:r w:rsidRPr="001565D8">
                        <w:rPr>
                          <w:rFonts w:ascii="Segoe UI" w:hAnsi="Segoe UI" w:cs="Segoe UI"/>
                          <w:sz w:val="16"/>
                          <w:szCs w:val="16"/>
                        </w:rPr>
                        <w:t xml:space="preserve">Ο δείκτης </w:t>
                      </w:r>
                      <w:r w:rsidRPr="001565D8">
                        <w:rPr>
                          <w:rFonts w:ascii="Segoe UI" w:hAnsi="Segoe UI" w:cs="Segoe UI"/>
                          <w:sz w:val="16"/>
                          <w:szCs w:val="16"/>
                          <w:lang w:val="en-US"/>
                        </w:rPr>
                        <w:t>CET</w:t>
                      </w:r>
                      <w:r w:rsidRPr="001565D8">
                        <w:rPr>
                          <w:rFonts w:ascii="Segoe UI" w:hAnsi="Segoe UI" w:cs="Segoe UI"/>
                          <w:sz w:val="16"/>
                          <w:szCs w:val="16"/>
                        </w:rPr>
                        <w:t xml:space="preserve">1 </w:t>
                      </w:r>
                      <w:r>
                        <w:rPr>
                          <w:rFonts w:ascii="Segoe UI" w:hAnsi="Segoe UI" w:cs="Segoe UI"/>
                          <w:sz w:val="16"/>
                          <w:szCs w:val="16"/>
                        </w:rPr>
                        <w:t>ύψους 15,9</w:t>
                      </w:r>
                      <w:r w:rsidRPr="001565D8">
                        <w:rPr>
                          <w:rFonts w:ascii="Segoe UI" w:hAnsi="Segoe UI" w:cs="Segoe UI"/>
                          <w:sz w:val="16"/>
                          <w:szCs w:val="16"/>
                        </w:rPr>
                        <w:t>%</w:t>
                      </w:r>
                      <w:r>
                        <w:rPr>
                          <w:rFonts w:ascii="Segoe UI" w:hAnsi="Segoe UI" w:cs="Segoe UI"/>
                          <w:sz w:val="16"/>
                          <w:szCs w:val="16"/>
                          <w:vertAlign w:val="superscript"/>
                        </w:rPr>
                        <w:t>3</w:t>
                      </w:r>
                      <w:r w:rsidRPr="001565D8">
                        <w:rPr>
                          <w:rFonts w:ascii="Segoe UI" w:hAnsi="Segoe UI" w:cs="Segoe UI"/>
                          <w:sz w:val="16"/>
                          <w:szCs w:val="16"/>
                        </w:rPr>
                        <w:t xml:space="preserve"> </w:t>
                      </w:r>
                      <w:r>
                        <w:rPr>
                          <w:rFonts w:ascii="Segoe UI" w:hAnsi="Segoe UI" w:cs="Segoe UI"/>
                          <w:sz w:val="16"/>
                          <w:szCs w:val="16"/>
                        </w:rPr>
                        <w:t>το Γ’ τρίμηνο 2020 ενσωματώνει την αρνητική επίπτωση των</w:t>
                      </w:r>
                      <w:r w:rsidRPr="00465AAF">
                        <w:rPr>
                          <w:rFonts w:ascii="Segoe UI" w:hAnsi="Segoe UI" w:cs="Segoe UI"/>
                          <w:sz w:val="16"/>
                          <w:szCs w:val="16"/>
                        </w:rPr>
                        <w:t xml:space="preserve"> προβλέψε</w:t>
                      </w:r>
                      <w:r>
                        <w:rPr>
                          <w:rFonts w:ascii="Segoe UI" w:hAnsi="Segoe UI" w:cs="Segoe UI"/>
                          <w:sz w:val="16"/>
                          <w:szCs w:val="16"/>
                        </w:rPr>
                        <w:t>ων</w:t>
                      </w:r>
                      <w:r w:rsidRPr="00465AAF">
                        <w:rPr>
                          <w:rFonts w:ascii="Segoe UI" w:hAnsi="Segoe UI" w:cs="Segoe UI"/>
                          <w:sz w:val="16"/>
                          <w:szCs w:val="16"/>
                        </w:rPr>
                        <w:t xml:space="preserve"> απομείωσης σχετιζόμενες με την πανδημία του κορωνοϊού</w:t>
                      </w:r>
                      <w:r w:rsidRPr="00F557BB">
                        <w:rPr>
                          <w:rFonts w:ascii="Segoe UI" w:hAnsi="Segoe UI" w:cs="Segoe UI"/>
                          <w:sz w:val="16"/>
                          <w:szCs w:val="16"/>
                          <w:vertAlign w:val="superscript"/>
                        </w:rPr>
                        <w:t>2</w:t>
                      </w:r>
                      <w:r>
                        <w:rPr>
                          <w:rFonts w:ascii="Segoe UI" w:hAnsi="Segoe UI" w:cs="Segoe UI"/>
                          <w:sz w:val="16"/>
                          <w:szCs w:val="16"/>
                        </w:rPr>
                        <w:t xml:space="preserve"> ύψους €429 εκατ.</w:t>
                      </w:r>
                      <w:r w:rsidRPr="00465AAF">
                        <w:rPr>
                          <w:rFonts w:ascii="Segoe UI" w:hAnsi="Segoe UI" w:cs="Segoe UI"/>
                          <w:sz w:val="16"/>
                          <w:szCs w:val="16"/>
                        </w:rPr>
                        <w:t xml:space="preserve"> το </w:t>
                      </w:r>
                      <w:r>
                        <w:rPr>
                          <w:rFonts w:ascii="Segoe UI" w:hAnsi="Segoe UI" w:cs="Segoe UI"/>
                          <w:sz w:val="16"/>
                          <w:szCs w:val="16"/>
                        </w:rPr>
                        <w:t xml:space="preserve">Εννεάμηνο </w:t>
                      </w:r>
                      <w:r w:rsidRPr="00465AAF">
                        <w:rPr>
                          <w:rFonts w:ascii="Segoe UI" w:hAnsi="Segoe UI" w:cs="Segoe UI"/>
                          <w:sz w:val="16"/>
                          <w:szCs w:val="16"/>
                        </w:rPr>
                        <w:t>2020</w:t>
                      </w:r>
                      <w:r>
                        <w:rPr>
                          <w:rFonts w:ascii="Segoe UI" w:hAnsi="Segoe UI" w:cs="Segoe UI"/>
                          <w:sz w:val="16"/>
                          <w:szCs w:val="16"/>
                        </w:rPr>
                        <w:t xml:space="preserve">. </w:t>
                      </w:r>
                      <w:r w:rsidRPr="00465AAF">
                        <w:rPr>
                          <w:rFonts w:ascii="Segoe UI" w:hAnsi="Segoe UI" w:cs="Segoe UI"/>
                          <w:sz w:val="16"/>
                          <w:szCs w:val="16"/>
                        </w:rPr>
                        <w:t>Ενσωματώνοντας την πλήρη επίδραση του ΔΠΧΑ 9, ο δείκτης CET1 διαμορφώνεται σε 1</w:t>
                      </w:r>
                      <w:r>
                        <w:rPr>
                          <w:rFonts w:ascii="Segoe UI" w:hAnsi="Segoe UI" w:cs="Segoe UI"/>
                          <w:sz w:val="16"/>
                          <w:szCs w:val="16"/>
                        </w:rPr>
                        <w:t>3,0</w:t>
                      </w:r>
                      <w:r w:rsidRPr="00465AAF">
                        <w:rPr>
                          <w:rFonts w:ascii="Segoe UI" w:hAnsi="Segoe UI" w:cs="Segoe UI"/>
                          <w:sz w:val="16"/>
                          <w:szCs w:val="16"/>
                        </w:rPr>
                        <w:t>%</w:t>
                      </w:r>
                      <w:r>
                        <w:rPr>
                          <w:rFonts w:ascii="Segoe UI" w:hAnsi="Segoe UI" w:cs="Segoe UI"/>
                          <w:sz w:val="16"/>
                          <w:szCs w:val="16"/>
                          <w:vertAlign w:val="superscript"/>
                        </w:rPr>
                        <w:t>3</w:t>
                      </w:r>
                    </w:p>
                    <w:p w:rsidR="00D95F56" w:rsidRDefault="00D95F56" w:rsidP="00807C0E">
                      <w:pPr>
                        <w:pStyle w:val="a7"/>
                        <w:numPr>
                          <w:ilvl w:val="0"/>
                          <w:numId w:val="8"/>
                        </w:numPr>
                        <w:spacing w:before="100" w:after="0" w:line="240" w:lineRule="auto"/>
                        <w:jc w:val="left"/>
                        <w:rPr>
                          <w:rFonts w:ascii="Segoe UI" w:hAnsi="Segoe UI" w:cs="Segoe UI"/>
                          <w:sz w:val="16"/>
                          <w:szCs w:val="16"/>
                        </w:rPr>
                      </w:pPr>
                      <w:r w:rsidRPr="00807C0E">
                        <w:rPr>
                          <w:rFonts w:ascii="Segoe UI" w:hAnsi="Segoe UI" w:cs="Segoe UI"/>
                          <w:sz w:val="16"/>
                          <w:szCs w:val="16"/>
                        </w:rPr>
                        <w:t>Ο Συνολικός Δείκτης Κεφα</w:t>
                      </w:r>
                      <w:r>
                        <w:rPr>
                          <w:rFonts w:ascii="Segoe UI" w:hAnsi="Segoe UI" w:cs="Segoe UI"/>
                          <w:sz w:val="16"/>
                          <w:szCs w:val="16"/>
                        </w:rPr>
                        <w:t>λαιακής Επάρκειας ανήλθε σε 16,9</w:t>
                      </w:r>
                      <w:r w:rsidRPr="00807C0E">
                        <w:rPr>
                          <w:rFonts w:ascii="Segoe UI" w:hAnsi="Segoe UI" w:cs="Segoe UI"/>
                          <w:sz w:val="16"/>
                          <w:szCs w:val="16"/>
                        </w:rPr>
                        <w:t>%</w:t>
                      </w:r>
                      <w:r w:rsidRPr="00807C0E">
                        <w:rPr>
                          <w:rFonts w:ascii="Segoe UI" w:hAnsi="Segoe UI" w:cs="Segoe UI"/>
                          <w:sz w:val="16"/>
                          <w:szCs w:val="16"/>
                          <w:vertAlign w:val="superscript"/>
                        </w:rPr>
                        <w:t>3</w:t>
                      </w:r>
                      <w:r>
                        <w:rPr>
                          <w:rFonts w:ascii="Segoe UI" w:hAnsi="Segoe UI" w:cs="Segoe UI"/>
                          <w:sz w:val="16"/>
                          <w:szCs w:val="16"/>
                        </w:rPr>
                        <w:t xml:space="preserve"> και υπερβαίνει κατά σχεδόν 600μ</w:t>
                      </w:r>
                      <w:r w:rsidRPr="00807C0E">
                        <w:rPr>
                          <w:rFonts w:ascii="Segoe UI" w:hAnsi="Segoe UI" w:cs="Segoe UI"/>
                          <w:sz w:val="16"/>
                          <w:szCs w:val="16"/>
                        </w:rPr>
                        <w:t xml:space="preserve">.β. τις προσαρμοσμένες για την πανδημία του κορωνοϊού κεφαλαιακές απαιτήσεις για το 2020 </w:t>
                      </w:r>
                    </w:p>
                    <w:p w:rsidR="00D95F56" w:rsidRPr="00807C0E" w:rsidRDefault="00D95F56" w:rsidP="00E96A91">
                      <w:pPr>
                        <w:pStyle w:val="a7"/>
                        <w:spacing w:before="100" w:after="0" w:line="240" w:lineRule="auto"/>
                        <w:ind w:left="644"/>
                        <w:jc w:val="left"/>
                        <w:rPr>
                          <w:rFonts w:ascii="Segoe UI" w:hAnsi="Segoe UI" w:cs="Segoe UI"/>
                          <w:sz w:val="16"/>
                          <w:szCs w:val="16"/>
                        </w:rPr>
                      </w:pPr>
                    </w:p>
                    <w:p w:rsidR="00D95F56" w:rsidRPr="006462D9" w:rsidRDefault="00D95F56" w:rsidP="0064401F">
                      <w:pPr>
                        <w:spacing w:before="120"/>
                        <w:ind w:left="1440"/>
                        <w:jc w:val="right"/>
                        <w:rPr>
                          <w:rFonts w:ascii="Segoe UI" w:hAnsi="Segoe UI" w:cs="Segoe UI"/>
                          <w:sz w:val="14"/>
                          <w:szCs w:val="14"/>
                        </w:rPr>
                      </w:pPr>
                      <w:r>
                        <w:rPr>
                          <w:rFonts w:ascii="Segoe UI" w:hAnsi="Segoe UI" w:cs="Segoe UI"/>
                          <w:sz w:val="14"/>
                          <w:szCs w:val="14"/>
                        </w:rPr>
                        <w:t>Αθήνα, 30 Νοεμβρίου 2020</w:t>
                      </w:r>
                    </w:p>
                    <w:p w:rsidR="00D95F56" w:rsidRDefault="00D95F56" w:rsidP="00CB4A2F">
                      <w:pPr>
                        <w:pStyle w:val="a7"/>
                        <w:spacing w:before="120" w:after="0" w:line="240" w:lineRule="auto"/>
                        <w:ind w:left="644"/>
                        <w:jc w:val="left"/>
                        <w:rPr>
                          <w:rFonts w:ascii="Segoe UI" w:hAnsi="Segoe UI" w:cs="Segoe UI"/>
                          <w:sz w:val="10"/>
                          <w:szCs w:val="16"/>
                        </w:rPr>
                      </w:pPr>
                    </w:p>
                    <w:p w:rsidR="00D95F56" w:rsidRDefault="00D95F56" w:rsidP="00CB4A2F">
                      <w:pPr>
                        <w:pStyle w:val="a7"/>
                        <w:spacing w:before="120" w:after="0" w:line="240" w:lineRule="auto"/>
                        <w:ind w:left="644"/>
                        <w:jc w:val="left"/>
                        <w:rPr>
                          <w:rFonts w:ascii="Segoe UI" w:hAnsi="Segoe UI" w:cs="Segoe UI"/>
                          <w:sz w:val="10"/>
                          <w:szCs w:val="16"/>
                        </w:rPr>
                      </w:pPr>
                    </w:p>
                    <w:p w:rsidR="00D95F56" w:rsidRDefault="00D95F56" w:rsidP="00CB4A2F">
                      <w:pPr>
                        <w:pStyle w:val="a7"/>
                        <w:spacing w:before="120" w:after="0" w:line="240" w:lineRule="auto"/>
                        <w:ind w:left="644"/>
                        <w:jc w:val="left"/>
                        <w:rPr>
                          <w:rFonts w:ascii="Segoe UI" w:hAnsi="Segoe UI" w:cs="Segoe UI"/>
                          <w:sz w:val="10"/>
                          <w:szCs w:val="16"/>
                        </w:rPr>
                      </w:pPr>
                    </w:p>
                    <w:p w:rsidR="00D95F56" w:rsidRDefault="00D95F56" w:rsidP="00CB4A2F">
                      <w:pPr>
                        <w:pStyle w:val="a7"/>
                        <w:spacing w:before="120" w:after="0" w:line="240" w:lineRule="auto"/>
                        <w:ind w:left="644"/>
                        <w:jc w:val="left"/>
                        <w:rPr>
                          <w:rFonts w:ascii="Segoe UI" w:hAnsi="Segoe UI" w:cs="Segoe UI"/>
                          <w:sz w:val="10"/>
                          <w:szCs w:val="16"/>
                        </w:rPr>
                      </w:pPr>
                    </w:p>
                    <w:p w:rsidR="00D95F56" w:rsidRDefault="00D95F56" w:rsidP="00CB4A2F">
                      <w:pPr>
                        <w:pStyle w:val="a7"/>
                        <w:spacing w:before="120" w:after="0" w:line="240" w:lineRule="auto"/>
                        <w:ind w:left="644"/>
                        <w:jc w:val="left"/>
                        <w:rPr>
                          <w:rFonts w:ascii="Segoe UI" w:hAnsi="Segoe UI" w:cs="Segoe UI"/>
                          <w:sz w:val="10"/>
                          <w:szCs w:val="16"/>
                        </w:rPr>
                      </w:pPr>
                    </w:p>
                    <w:p w:rsidR="00D95F56" w:rsidRDefault="00D95F56" w:rsidP="00CB4A2F">
                      <w:pPr>
                        <w:pStyle w:val="a7"/>
                        <w:spacing w:before="120" w:after="0" w:line="240" w:lineRule="auto"/>
                        <w:ind w:left="644"/>
                        <w:jc w:val="left"/>
                        <w:rPr>
                          <w:rFonts w:ascii="Segoe UI" w:hAnsi="Segoe UI" w:cs="Segoe UI"/>
                          <w:sz w:val="10"/>
                          <w:szCs w:val="16"/>
                        </w:rPr>
                      </w:pPr>
                    </w:p>
                    <w:p w:rsidR="00D95F56" w:rsidRDefault="00D95F56" w:rsidP="00CB4A2F">
                      <w:pPr>
                        <w:pStyle w:val="a7"/>
                        <w:spacing w:before="120" w:after="0" w:line="240" w:lineRule="auto"/>
                        <w:ind w:left="644"/>
                        <w:jc w:val="left"/>
                        <w:rPr>
                          <w:rFonts w:ascii="Segoe UI" w:hAnsi="Segoe UI" w:cs="Segoe UI"/>
                          <w:sz w:val="10"/>
                          <w:szCs w:val="16"/>
                        </w:rPr>
                      </w:pPr>
                    </w:p>
                    <w:p w:rsidR="00D95F56" w:rsidRDefault="00D95F56" w:rsidP="00CB4A2F">
                      <w:pPr>
                        <w:pStyle w:val="a7"/>
                        <w:spacing w:before="120" w:after="0" w:line="240" w:lineRule="auto"/>
                        <w:ind w:left="644"/>
                        <w:jc w:val="left"/>
                        <w:rPr>
                          <w:rFonts w:ascii="Segoe UI" w:hAnsi="Segoe UI" w:cs="Segoe UI"/>
                          <w:sz w:val="10"/>
                          <w:szCs w:val="16"/>
                        </w:rPr>
                      </w:pPr>
                    </w:p>
                    <w:p w:rsidR="00D95F56" w:rsidRDefault="00D95F56" w:rsidP="00CB4A2F">
                      <w:pPr>
                        <w:pStyle w:val="a7"/>
                        <w:spacing w:before="120" w:after="0" w:line="240" w:lineRule="auto"/>
                        <w:ind w:left="644"/>
                        <w:jc w:val="left"/>
                        <w:rPr>
                          <w:rFonts w:ascii="Segoe UI" w:hAnsi="Segoe UI" w:cs="Segoe UI"/>
                          <w:sz w:val="10"/>
                          <w:szCs w:val="16"/>
                        </w:rPr>
                      </w:pPr>
                    </w:p>
                    <w:p w:rsidR="00D95F56" w:rsidRDefault="00D95F56" w:rsidP="00CB4A2F">
                      <w:pPr>
                        <w:pStyle w:val="a7"/>
                        <w:spacing w:before="120" w:after="0" w:line="240" w:lineRule="auto"/>
                        <w:ind w:left="644"/>
                        <w:jc w:val="left"/>
                        <w:rPr>
                          <w:rFonts w:ascii="Segoe UI" w:hAnsi="Segoe UI" w:cs="Segoe UI"/>
                          <w:sz w:val="10"/>
                          <w:szCs w:val="16"/>
                        </w:rPr>
                      </w:pPr>
                    </w:p>
                    <w:p w:rsidR="00D95F56" w:rsidRDefault="00D95F56" w:rsidP="00CB4A2F">
                      <w:pPr>
                        <w:pStyle w:val="a7"/>
                        <w:spacing w:before="120" w:after="0" w:line="240" w:lineRule="auto"/>
                        <w:ind w:left="644"/>
                        <w:jc w:val="left"/>
                        <w:rPr>
                          <w:rFonts w:ascii="Segoe UI" w:hAnsi="Segoe UI" w:cs="Segoe UI"/>
                          <w:sz w:val="10"/>
                          <w:szCs w:val="16"/>
                        </w:rPr>
                      </w:pPr>
                    </w:p>
                    <w:p w:rsidR="00D95F56" w:rsidRDefault="00D95F56" w:rsidP="00CB4A2F">
                      <w:pPr>
                        <w:pStyle w:val="a7"/>
                        <w:spacing w:before="120" w:after="0" w:line="240" w:lineRule="auto"/>
                        <w:ind w:left="644"/>
                        <w:jc w:val="left"/>
                        <w:rPr>
                          <w:rFonts w:ascii="Segoe UI" w:hAnsi="Segoe UI" w:cs="Segoe UI"/>
                          <w:sz w:val="10"/>
                          <w:szCs w:val="16"/>
                        </w:rPr>
                      </w:pPr>
                    </w:p>
                    <w:p w:rsidR="00D95F56" w:rsidRDefault="00D95F56" w:rsidP="00CB4A2F">
                      <w:pPr>
                        <w:pStyle w:val="a7"/>
                        <w:spacing w:before="120" w:after="0" w:line="240" w:lineRule="auto"/>
                        <w:ind w:left="644"/>
                        <w:jc w:val="left"/>
                        <w:rPr>
                          <w:rFonts w:ascii="Segoe UI" w:hAnsi="Segoe UI" w:cs="Segoe UI"/>
                          <w:sz w:val="10"/>
                          <w:szCs w:val="16"/>
                        </w:rPr>
                      </w:pPr>
                    </w:p>
                    <w:p w:rsidR="00D95F56" w:rsidRDefault="00D95F56" w:rsidP="00CB4A2F">
                      <w:pPr>
                        <w:pStyle w:val="a7"/>
                        <w:spacing w:before="120" w:after="0" w:line="240" w:lineRule="auto"/>
                        <w:ind w:left="644"/>
                        <w:jc w:val="left"/>
                        <w:rPr>
                          <w:rFonts w:ascii="Segoe UI" w:hAnsi="Segoe UI" w:cs="Segoe UI"/>
                          <w:sz w:val="10"/>
                          <w:szCs w:val="16"/>
                        </w:rPr>
                      </w:pPr>
                    </w:p>
                    <w:p w:rsidR="00D95F56" w:rsidRPr="005156B8" w:rsidRDefault="00D95F56" w:rsidP="00CB4A2F">
                      <w:pPr>
                        <w:pStyle w:val="a7"/>
                        <w:spacing w:before="120" w:after="0" w:line="240" w:lineRule="auto"/>
                        <w:ind w:left="644"/>
                        <w:jc w:val="left"/>
                        <w:rPr>
                          <w:rFonts w:ascii="Segoe UI" w:hAnsi="Segoe UI" w:cs="Segoe UI"/>
                          <w:sz w:val="10"/>
                          <w:szCs w:val="16"/>
                        </w:rPr>
                      </w:pPr>
                    </w:p>
                    <w:p w:rsidR="00D95F56" w:rsidRPr="006A0F43" w:rsidRDefault="00D95F56" w:rsidP="00D45A05">
                      <w:pPr>
                        <w:jc w:val="both"/>
                        <w:rPr>
                          <w:rFonts w:ascii="Segoe UI" w:hAnsi="Segoe UI" w:cs="Segoe UI"/>
                          <w:sz w:val="12"/>
                          <w:szCs w:val="16"/>
                        </w:rPr>
                      </w:pPr>
                      <w:r w:rsidRPr="003E514D">
                        <w:rPr>
                          <w:rFonts w:ascii="Segoe UI" w:hAnsi="Segoe UI" w:cs="Segoe UI"/>
                          <w:sz w:val="12"/>
                          <w:szCs w:val="16"/>
                          <w:vertAlign w:val="superscript"/>
                        </w:rPr>
                        <w:t>1</w:t>
                      </w:r>
                      <w:r>
                        <w:rPr>
                          <w:rFonts w:ascii="Segoe UI" w:hAnsi="Segoe UI" w:cs="Segoe UI"/>
                          <w:sz w:val="12"/>
                          <w:szCs w:val="16"/>
                          <w:vertAlign w:val="superscript"/>
                        </w:rPr>
                        <w:t xml:space="preserve"> </w:t>
                      </w:r>
                      <w:r>
                        <w:rPr>
                          <w:rFonts w:ascii="Segoe UI" w:hAnsi="Segoe UI" w:cs="Segoe UI"/>
                          <w:sz w:val="12"/>
                          <w:szCs w:val="16"/>
                        </w:rPr>
                        <w:t>Κ</w:t>
                      </w:r>
                      <w:r w:rsidRPr="009F6F6A">
                        <w:rPr>
                          <w:rFonts w:ascii="Segoe UI" w:hAnsi="Segoe UI" w:cs="Segoe UI"/>
                          <w:sz w:val="12"/>
                          <w:szCs w:val="16"/>
                        </w:rPr>
                        <w:t>έρδη μετά από φόρους από συνεχιζόμενες</w:t>
                      </w:r>
                      <w:r w:rsidRPr="006A0F43">
                        <w:rPr>
                          <w:rFonts w:ascii="Segoe UI" w:hAnsi="Segoe UI" w:cs="Segoe UI"/>
                          <w:sz w:val="12"/>
                          <w:szCs w:val="16"/>
                        </w:rPr>
                        <w:t xml:space="preserve"> δραστ</w:t>
                      </w:r>
                      <w:r>
                        <w:rPr>
                          <w:rFonts w:ascii="Segoe UI" w:hAnsi="Segoe UI" w:cs="Segoe UI"/>
                          <w:sz w:val="12"/>
                          <w:szCs w:val="16"/>
                        </w:rPr>
                        <w:t>ηριό</w:t>
                      </w:r>
                      <w:r w:rsidRPr="006A0F43">
                        <w:rPr>
                          <w:rFonts w:ascii="Segoe UI" w:hAnsi="Segoe UI" w:cs="Segoe UI"/>
                          <w:sz w:val="12"/>
                          <w:szCs w:val="16"/>
                        </w:rPr>
                        <w:t>τητες</w:t>
                      </w:r>
                    </w:p>
                    <w:p w:rsidR="00D95F56" w:rsidRPr="00574A1A" w:rsidRDefault="00D95F56" w:rsidP="00D45A05">
                      <w:pPr>
                        <w:jc w:val="both"/>
                        <w:rPr>
                          <w:rFonts w:ascii="Segoe UI" w:hAnsi="Segoe UI" w:cs="Segoe UI"/>
                          <w:sz w:val="12"/>
                          <w:szCs w:val="16"/>
                        </w:rPr>
                      </w:pPr>
                      <w:r w:rsidRPr="006A0F43">
                        <w:rPr>
                          <w:rFonts w:ascii="Segoe UI" w:hAnsi="Segoe UI" w:cs="Segoe UI"/>
                          <w:sz w:val="12"/>
                          <w:szCs w:val="16"/>
                          <w:vertAlign w:val="superscript"/>
                        </w:rPr>
                        <w:t>2</w:t>
                      </w:r>
                      <w:r>
                        <w:rPr>
                          <w:rFonts w:ascii="Segoe UI" w:hAnsi="Segoe UI" w:cs="Segoe UI"/>
                          <w:sz w:val="12"/>
                          <w:szCs w:val="16"/>
                        </w:rPr>
                        <w:t xml:space="preserve"> </w:t>
                      </w:r>
                      <w:r w:rsidRPr="00D03872">
                        <w:rPr>
                          <w:rFonts w:ascii="Segoe UI" w:hAnsi="Segoe UI" w:cs="Segoe UI"/>
                          <w:sz w:val="12"/>
                          <w:szCs w:val="16"/>
                        </w:rPr>
                        <w:t>Ενσωματώνοντας όλες τις διαθέσιμες πληροφορίες κατά τη στιγμή της αξιολόγησης και δεδομένων των πρωτοφανών επιπέδων αβεβαιότητας</w:t>
                      </w:r>
                    </w:p>
                    <w:p w:rsidR="00D95F56" w:rsidRPr="004E6CF7" w:rsidRDefault="00D95F56" w:rsidP="004E6CF7">
                      <w:pPr>
                        <w:jc w:val="both"/>
                        <w:rPr>
                          <w:rFonts w:ascii="Segoe UI" w:hAnsi="Segoe UI" w:cs="Segoe UI"/>
                          <w:sz w:val="12"/>
                          <w:szCs w:val="10"/>
                        </w:rPr>
                      </w:pPr>
                      <w:r>
                        <w:rPr>
                          <w:rFonts w:ascii="Segoe UI" w:hAnsi="Segoe UI" w:cs="Segoe UI"/>
                          <w:sz w:val="12"/>
                          <w:szCs w:val="16"/>
                          <w:vertAlign w:val="superscript"/>
                        </w:rPr>
                        <w:t xml:space="preserve">3 </w:t>
                      </w:r>
                      <w:r w:rsidRPr="003E514D">
                        <w:rPr>
                          <w:rFonts w:ascii="Segoe UI" w:hAnsi="Segoe UI" w:cs="Segoe UI"/>
                          <w:sz w:val="12"/>
                          <w:szCs w:val="10"/>
                        </w:rPr>
                        <w:t xml:space="preserve">Οι δείκτες κεφαλαιακής επάρκειας </w:t>
                      </w:r>
                      <w:r w:rsidRPr="004E6CF7">
                        <w:rPr>
                          <w:rFonts w:ascii="Segoe UI" w:hAnsi="Segoe UI" w:cs="Segoe UI"/>
                          <w:sz w:val="12"/>
                          <w:szCs w:val="10"/>
                        </w:rPr>
                        <w:t xml:space="preserve">περιλαμβάνουν τα κέρδη μετά </w:t>
                      </w:r>
                      <w:r w:rsidRPr="009E3668">
                        <w:rPr>
                          <w:rFonts w:ascii="Segoe UI" w:hAnsi="Segoe UI" w:cs="Segoe UI"/>
                          <w:sz w:val="12"/>
                          <w:szCs w:val="10"/>
                        </w:rPr>
                        <w:t xml:space="preserve">από φόρους </w:t>
                      </w:r>
                      <w:r w:rsidRPr="004E6CF7">
                        <w:rPr>
                          <w:rFonts w:ascii="Segoe UI" w:hAnsi="Segoe UI" w:cs="Segoe UI"/>
                          <w:sz w:val="12"/>
                          <w:szCs w:val="10"/>
                        </w:rPr>
                        <w:t>του</w:t>
                      </w:r>
                      <w:r>
                        <w:rPr>
                          <w:rFonts w:ascii="Segoe UI" w:hAnsi="Segoe UI" w:cs="Segoe UI"/>
                          <w:sz w:val="12"/>
                          <w:szCs w:val="10"/>
                        </w:rPr>
                        <w:t xml:space="preserve"> Εννεαμήνου </w:t>
                      </w:r>
                      <w:r w:rsidRPr="004E6CF7">
                        <w:rPr>
                          <w:rFonts w:ascii="Segoe UI" w:hAnsi="Segoe UI" w:cs="Segoe UI"/>
                          <w:sz w:val="12"/>
                          <w:szCs w:val="10"/>
                        </w:rPr>
                        <w:t xml:space="preserve">2020. </w:t>
                      </w:r>
                      <w:r>
                        <w:rPr>
                          <w:rFonts w:ascii="Segoe UI" w:hAnsi="Segoe UI" w:cs="Segoe UI"/>
                          <w:sz w:val="12"/>
                          <w:szCs w:val="12"/>
                        </w:rPr>
                        <w:t xml:space="preserve">Εξαιρώντας τα κέρδη </w:t>
                      </w:r>
                      <w:r w:rsidRPr="00FA30C3">
                        <w:rPr>
                          <w:rFonts w:ascii="Segoe UI" w:hAnsi="Segoe UI" w:cs="Segoe UI"/>
                          <w:sz w:val="12"/>
                          <w:szCs w:val="12"/>
                        </w:rPr>
                        <w:t>μετά από φόρους</w:t>
                      </w:r>
                      <w:r w:rsidR="00E2274B">
                        <w:rPr>
                          <w:rFonts w:ascii="Segoe UI" w:hAnsi="Segoe UI" w:cs="Segoe UI"/>
                          <w:sz w:val="12"/>
                          <w:szCs w:val="12"/>
                        </w:rPr>
                        <w:t xml:space="preserve"> του Εννεαμήνου 2020</w:t>
                      </w:r>
                      <w:r w:rsidRPr="004E6CF7">
                        <w:rPr>
                          <w:rFonts w:ascii="Segoe UI" w:hAnsi="Segoe UI" w:cs="Segoe UI"/>
                          <w:sz w:val="12"/>
                          <w:szCs w:val="12"/>
                        </w:rPr>
                        <w:t xml:space="preserve">, ο δείκτης CET1 και ο Συνολικός Δείκτης Κεφαλαιακής </w:t>
                      </w:r>
                      <w:r w:rsidRPr="00921045">
                        <w:rPr>
                          <w:rFonts w:ascii="Segoe UI" w:hAnsi="Segoe UI" w:cs="Segoe UI"/>
                          <w:sz w:val="12"/>
                          <w:szCs w:val="12"/>
                        </w:rPr>
                        <w:t xml:space="preserve"> </w:t>
                      </w:r>
                      <w:r w:rsidRPr="004E6CF7">
                        <w:rPr>
                          <w:rFonts w:ascii="Segoe UI" w:hAnsi="Segoe UI" w:cs="Segoe UI"/>
                          <w:sz w:val="12"/>
                          <w:szCs w:val="12"/>
                        </w:rPr>
                        <w:t>Επάρκειας ανέρχονται σε 14,</w:t>
                      </w:r>
                      <w:r>
                        <w:rPr>
                          <w:rFonts w:ascii="Segoe UI" w:hAnsi="Segoe UI" w:cs="Segoe UI"/>
                          <w:sz w:val="12"/>
                          <w:szCs w:val="12"/>
                        </w:rPr>
                        <w:t>5</w:t>
                      </w:r>
                      <w:r w:rsidRPr="004E6CF7">
                        <w:rPr>
                          <w:rFonts w:ascii="Segoe UI" w:hAnsi="Segoe UI" w:cs="Segoe UI"/>
                          <w:sz w:val="12"/>
                          <w:szCs w:val="12"/>
                        </w:rPr>
                        <w:t>% και 15,</w:t>
                      </w:r>
                      <w:r>
                        <w:rPr>
                          <w:rFonts w:ascii="Segoe UI" w:hAnsi="Segoe UI" w:cs="Segoe UI"/>
                          <w:sz w:val="12"/>
                          <w:szCs w:val="12"/>
                        </w:rPr>
                        <w:t>4</w:t>
                      </w:r>
                      <w:r w:rsidRPr="004E6CF7">
                        <w:rPr>
                          <w:rFonts w:ascii="Segoe UI" w:hAnsi="Segoe UI" w:cs="Segoe UI"/>
                          <w:sz w:val="12"/>
                          <w:szCs w:val="12"/>
                        </w:rPr>
                        <w:t>%, αντίστοιχα</w:t>
                      </w:r>
                    </w:p>
                    <w:p w:rsidR="00D95F56" w:rsidRPr="004E6CF7" w:rsidRDefault="00D95F56" w:rsidP="00D45A05">
                      <w:pPr>
                        <w:jc w:val="both"/>
                        <w:rPr>
                          <w:rFonts w:ascii="Segoe UI" w:hAnsi="Segoe UI" w:cs="Segoe UI"/>
                          <w:sz w:val="12"/>
                          <w:szCs w:val="10"/>
                        </w:rPr>
                      </w:pPr>
                    </w:p>
                  </w:txbxContent>
                </v:textbox>
                <w10:anchorlock/>
              </v:shape>
            </w:pict>
          </mc:Fallback>
        </mc:AlternateContent>
      </w:r>
    </w:p>
    <w:p w:rsidR="000A0DA1" w:rsidRDefault="000A0DA1" w:rsidP="000A0DA1">
      <w:pPr>
        <w:pStyle w:val="body"/>
        <w:rPr>
          <w:rFonts w:ascii="Segoe UI" w:hAnsi="Segoe UI" w:cs="Segoe UI"/>
          <w:i/>
          <w:szCs w:val="20"/>
        </w:rPr>
      </w:pPr>
    </w:p>
    <w:p w:rsidR="00BC04E0" w:rsidRPr="00BC04E0" w:rsidRDefault="00C868D0" w:rsidP="004C28F4">
      <w:pPr>
        <w:jc w:val="both"/>
        <w:rPr>
          <w:rFonts w:ascii="Segoe UI" w:hAnsi="Segoe UI" w:cs="Segoe UI"/>
          <w:i/>
          <w:color w:val="0D0D0D" w:themeColor="text1" w:themeTint="F2"/>
          <w:sz w:val="18"/>
          <w:szCs w:val="20"/>
        </w:rPr>
      </w:pPr>
      <w:r>
        <w:rPr>
          <w:rFonts w:ascii="Segoe UI" w:hAnsi="Segoe UI" w:cs="Segoe UI"/>
          <w:i/>
          <w:color w:val="0D0D0D" w:themeColor="text1" w:themeTint="F2"/>
          <w:sz w:val="18"/>
          <w:szCs w:val="20"/>
        </w:rPr>
        <w:t>Οι</w:t>
      </w:r>
      <w:r w:rsidRPr="00BC04E0">
        <w:rPr>
          <w:rFonts w:ascii="Segoe UI" w:hAnsi="Segoe UI" w:cs="Segoe UI"/>
          <w:i/>
          <w:color w:val="0D0D0D" w:themeColor="text1" w:themeTint="F2"/>
          <w:sz w:val="18"/>
          <w:szCs w:val="20"/>
        </w:rPr>
        <w:t xml:space="preserve"> εξελίξεις </w:t>
      </w:r>
      <w:r>
        <w:rPr>
          <w:rFonts w:ascii="Segoe UI" w:hAnsi="Segoe UI" w:cs="Segoe UI"/>
          <w:i/>
          <w:color w:val="0D0D0D" w:themeColor="text1" w:themeTint="F2"/>
          <w:sz w:val="18"/>
          <w:szCs w:val="20"/>
        </w:rPr>
        <w:t xml:space="preserve">στο μέτωπο της </w:t>
      </w:r>
      <w:r w:rsidR="00BC04E0" w:rsidRPr="00BC04E0">
        <w:rPr>
          <w:rFonts w:ascii="Segoe UI" w:hAnsi="Segoe UI" w:cs="Segoe UI"/>
          <w:i/>
          <w:color w:val="0D0D0D" w:themeColor="text1" w:themeTint="F2"/>
          <w:sz w:val="18"/>
          <w:szCs w:val="20"/>
        </w:rPr>
        <w:t>πανδημία</w:t>
      </w:r>
      <w:r>
        <w:rPr>
          <w:rFonts w:ascii="Segoe UI" w:hAnsi="Segoe UI" w:cs="Segoe UI"/>
          <w:i/>
          <w:color w:val="0D0D0D" w:themeColor="text1" w:themeTint="F2"/>
          <w:sz w:val="18"/>
          <w:szCs w:val="20"/>
        </w:rPr>
        <w:t>ς</w:t>
      </w:r>
      <w:r w:rsidR="00BC04E0" w:rsidRPr="00BC04E0">
        <w:rPr>
          <w:rFonts w:ascii="Segoe UI" w:hAnsi="Segoe UI" w:cs="Segoe UI"/>
          <w:i/>
          <w:color w:val="0D0D0D" w:themeColor="text1" w:themeTint="F2"/>
          <w:sz w:val="18"/>
          <w:szCs w:val="20"/>
        </w:rPr>
        <w:t xml:space="preserve"> του κορωνοϊού συνεχίζ</w:t>
      </w:r>
      <w:r>
        <w:rPr>
          <w:rFonts w:ascii="Segoe UI" w:hAnsi="Segoe UI" w:cs="Segoe UI"/>
          <w:i/>
          <w:color w:val="0D0D0D" w:themeColor="text1" w:themeTint="F2"/>
          <w:sz w:val="18"/>
          <w:szCs w:val="20"/>
        </w:rPr>
        <w:t>ουν</w:t>
      </w:r>
      <w:r w:rsidR="00BC04E0" w:rsidRPr="00BC04E0">
        <w:rPr>
          <w:rFonts w:ascii="Segoe UI" w:hAnsi="Segoe UI" w:cs="Segoe UI"/>
          <w:i/>
          <w:color w:val="0D0D0D" w:themeColor="text1" w:themeTint="F2"/>
          <w:sz w:val="18"/>
          <w:szCs w:val="20"/>
        </w:rPr>
        <w:t xml:space="preserve"> να </w:t>
      </w:r>
      <w:r w:rsidR="006857DB">
        <w:rPr>
          <w:rFonts w:ascii="Segoe UI" w:hAnsi="Segoe UI" w:cs="Segoe UI"/>
          <w:i/>
          <w:color w:val="0D0D0D" w:themeColor="text1" w:themeTint="F2"/>
          <w:sz w:val="18"/>
          <w:szCs w:val="20"/>
        </w:rPr>
        <w:t xml:space="preserve">διαδραματίζουν </w:t>
      </w:r>
      <w:r w:rsidR="00BC04E0" w:rsidRPr="00BC04E0">
        <w:rPr>
          <w:rFonts w:ascii="Segoe UI" w:hAnsi="Segoe UI" w:cs="Segoe UI"/>
          <w:i/>
          <w:color w:val="0D0D0D" w:themeColor="text1" w:themeTint="F2"/>
          <w:sz w:val="18"/>
          <w:szCs w:val="20"/>
        </w:rPr>
        <w:t xml:space="preserve">καθοριστικό ρόλο στην οικονομική και κοινωνική ζωή της Ελλάδας. </w:t>
      </w:r>
      <w:r w:rsidR="00F85A7D">
        <w:rPr>
          <w:rFonts w:ascii="Segoe UI" w:hAnsi="Segoe UI" w:cs="Segoe UI"/>
          <w:i/>
          <w:color w:val="0D0D0D" w:themeColor="text1" w:themeTint="F2"/>
          <w:sz w:val="18"/>
          <w:szCs w:val="20"/>
        </w:rPr>
        <w:t xml:space="preserve">Πράγματι, η </w:t>
      </w:r>
      <w:r w:rsidR="00BC04E0" w:rsidRPr="00BC04E0">
        <w:rPr>
          <w:rFonts w:ascii="Segoe UI" w:hAnsi="Segoe UI" w:cs="Segoe UI"/>
          <w:i/>
          <w:color w:val="0D0D0D" w:themeColor="text1" w:themeTint="F2"/>
          <w:sz w:val="18"/>
          <w:szCs w:val="20"/>
        </w:rPr>
        <w:t xml:space="preserve">απότομη επιδείνωση της καμπύλης της πανδημίας στις αρχές του Δ’ τριμήνου </w:t>
      </w:r>
      <w:r>
        <w:rPr>
          <w:rFonts w:ascii="Segoe UI" w:hAnsi="Segoe UI" w:cs="Segoe UI"/>
          <w:i/>
          <w:color w:val="0D0D0D" w:themeColor="text1" w:themeTint="F2"/>
          <w:sz w:val="18"/>
          <w:szCs w:val="20"/>
        </w:rPr>
        <w:t>20</w:t>
      </w:r>
      <w:r w:rsidR="006857DB">
        <w:rPr>
          <w:rFonts w:ascii="Segoe UI" w:hAnsi="Segoe UI" w:cs="Segoe UI"/>
          <w:i/>
          <w:color w:val="0D0D0D" w:themeColor="text1" w:themeTint="F2"/>
          <w:sz w:val="18"/>
          <w:szCs w:val="20"/>
        </w:rPr>
        <w:t>20</w:t>
      </w:r>
      <w:r>
        <w:rPr>
          <w:rFonts w:ascii="Segoe UI" w:hAnsi="Segoe UI" w:cs="Segoe UI"/>
          <w:i/>
          <w:color w:val="0D0D0D" w:themeColor="text1" w:themeTint="F2"/>
          <w:sz w:val="18"/>
          <w:szCs w:val="20"/>
        </w:rPr>
        <w:t xml:space="preserve"> </w:t>
      </w:r>
      <w:r w:rsidR="00BC04E0" w:rsidRPr="00BC04E0">
        <w:rPr>
          <w:rFonts w:ascii="Segoe UI" w:hAnsi="Segoe UI" w:cs="Segoe UI"/>
          <w:i/>
          <w:color w:val="0D0D0D" w:themeColor="text1" w:themeTint="F2"/>
          <w:sz w:val="18"/>
          <w:szCs w:val="20"/>
        </w:rPr>
        <w:t xml:space="preserve">επανέφερε τη χώρα για δεύτερη φορά στην ανάγκη επιβολής περιοριστικών μέτρων, </w:t>
      </w:r>
      <w:r w:rsidR="00414D46">
        <w:rPr>
          <w:rFonts w:ascii="Segoe UI" w:hAnsi="Segoe UI" w:cs="Segoe UI"/>
          <w:i/>
          <w:color w:val="0D0D0D" w:themeColor="text1" w:themeTint="F2"/>
          <w:sz w:val="18"/>
          <w:szCs w:val="20"/>
        </w:rPr>
        <w:t xml:space="preserve">με στόχο τον έγκαιρο περιορισμό του </w:t>
      </w:r>
      <w:r w:rsidR="00BC04E0" w:rsidRPr="00BC04E0">
        <w:rPr>
          <w:rFonts w:ascii="Segoe UI" w:hAnsi="Segoe UI" w:cs="Segoe UI"/>
          <w:i/>
          <w:color w:val="0D0D0D" w:themeColor="text1" w:themeTint="F2"/>
          <w:sz w:val="18"/>
          <w:szCs w:val="20"/>
        </w:rPr>
        <w:t>ρυθμ</w:t>
      </w:r>
      <w:r w:rsidR="00414D46">
        <w:rPr>
          <w:rFonts w:ascii="Segoe UI" w:hAnsi="Segoe UI" w:cs="Segoe UI"/>
          <w:i/>
          <w:color w:val="0D0D0D" w:themeColor="text1" w:themeTint="F2"/>
          <w:sz w:val="18"/>
          <w:szCs w:val="20"/>
        </w:rPr>
        <w:t xml:space="preserve">ού </w:t>
      </w:r>
      <w:r w:rsidR="00BC04E0" w:rsidRPr="00BC04E0">
        <w:rPr>
          <w:rFonts w:ascii="Segoe UI" w:hAnsi="Segoe UI" w:cs="Segoe UI"/>
          <w:i/>
          <w:color w:val="0D0D0D" w:themeColor="text1" w:themeTint="F2"/>
          <w:sz w:val="18"/>
          <w:szCs w:val="20"/>
        </w:rPr>
        <w:t>μετάδοσης της πανδημίας. Ενθαρρυντικό είναι</w:t>
      </w:r>
      <w:r w:rsidR="00EB750A">
        <w:rPr>
          <w:rFonts w:ascii="Segoe UI" w:hAnsi="Segoe UI" w:cs="Segoe UI"/>
          <w:i/>
          <w:color w:val="0D0D0D" w:themeColor="text1" w:themeTint="F2"/>
          <w:sz w:val="18"/>
          <w:szCs w:val="20"/>
        </w:rPr>
        <w:t>,</w:t>
      </w:r>
      <w:r w:rsidR="00BC04E0" w:rsidRPr="00BC04E0">
        <w:rPr>
          <w:rFonts w:ascii="Segoe UI" w:hAnsi="Segoe UI" w:cs="Segoe UI"/>
          <w:i/>
          <w:color w:val="0D0D0D" w:themeColor="text1" w:themeTint="F2"/>
          <w:sz w:val="18"/>
          <w:szCs w:val="20"/>
        </w:rPr>
        <w:t xml:space="preserve"> ότι οι οικονομικοί δείκτες </w:t>
      </w:r>
      <w:r w:rsidR="000920F5">
        <w:rPr>
          <w:rFonts w:ascii="Segoe UI" w:hAnsi="Segoe UI" w:cs="Segoe UI"/>
          <w:i/>
          <w:color w:val="0D0D0D" w:themeColor="text1" w:themeTint="F2"/>
          <w:sz w:val="18"/>
          <w:szCs w:val="20"/>
        </w:rPr>
        <w:t xml:space="preserve">κατά </w:t>
      </w:r>
      <w:r w:rsidR="00BC04E0" w:rsidRPr="00BC04E0">
        <w:rPr>
          <w:rFonts w:ascii="Segoe UI" w:hAnsi="Segoe UI" w:cs="Segoe UI"/>
          <w:i/>
          <w:color w:val="0D0D0D" w:themeColor="text1" w:themeTint="F2"/>
          <w:sz w:val="18"/>
          <w:szCs w:val="20"/>
        </w:rPr>
        <w:t xml:space="preserve">το Γ΄ τρίμηνο </w:t>
      </w:r>
      <w:r w:rsidR="008F1D8C" w:rsidRPr="008F1D8C">
        <w:rPr>
          <w:rFonts w:ascii="Segoe UI" w:hAnsi="Segoe UI" w:cs="Segoe UI"/>
          <w:i/>
          <w:color w:val="0D0D0D" w:themeColor="text1" w:themeTint="F2"/>
          <w:sz w:val="18"/>
          <w:szCs w:val="20"/>
        </w:rPr>
        <w:t xml:space="preserve">2020 </w:t>
      </w:r>
      <w:r w:rsidR="000920F5">
        <w:rPr>
          <w:rFonts w:ascii="Segoe UI" w:hAnsi="Segoe UI" w:cs="Segoe UI"/>
          <w:i/>
          <w:color w:val="0D0D0D" w:themeColor="text1" w:themeTint="F2"/>
          <w:sz w:val="18"/>
          <w:szCs w:val="20"/>
        </w:rPr>
        <w:t xml:space="preserve">καταδεικνύουν </w:t>
      </w:r>
      <w:r w:rsidR="00EB750A">
        <w:rPr>
          <w:rFonts w:ascii="Segoe UI" w:hAnsi="Segoe UI" w:cs="Segoe UI"/>
          <w:i/>
          <w:color w:val="0D0D0D" w:themeColor="text1" w:themeTint="F2"/>
          <w:sz w:val="18"/>
          <w:szCs w:val="20"/>
        </w:rPr>
        <w:t xml:space="preserve">μία </w:t>
      </w:r>
      <w:r w:rsidR="00BC04E0" w:rsidRPr="00BC04E0">
        <w:rPr>
          <w:rFonts w:ascii="Segoe UI" w:hAnsi="Segoe UI" w:cs="Segoe UI"/>
          <w:i/>
          <w:color w:val="0D0D0D" w:themeColor="text1" w:themeTint="F2"/>
          <w:sz w:val="18"/>
          <w:szCs w:val="20"/>
        </w:rPr>
        <w:t xml:space="preserve">ισχυρή ανάκαμψη </w:t>
      </w:r>
      <w:r w:rsidR="002E2FE0">
        <w:rPr>
          <w:rFonts w:ascii="Segoe UI" w:hAnsi="Segoe UI" w:cs="Segoe UI"/>
          <w:i/>
          <w:color w:val="0D0D0D" w:themeColor="text1" w:themeTint="F2"/>
          <w:sz w:val="18"/>
          <w:szCs w:val="20"/>
        </w:rPr>
        <w:t>συγκριτικά με</w:t>
      </w:r>
      <w:r w:rsidR="00BC04E0" w:rsidRPr="00BC04E0">
        <w:rPr>
          <w:rFonts w:ascii="Segoe UI" w:hAnsi="Segoe UI" w:cs="Segoe UI"/>
          <w:i/>
          <w:color w:val="0D0D0D" w:themeColor="text1" w:themeTint="F2"/>
          <w:sz w:val="18"/>
          <w:szCs w:val="20"/>
        </w:rPr>
        <w:t xml:space="preserve"> </w:t>
      </w:r>
      <w:r w:rsidR="00F36D2F">
        <w:rPr>
          <w:rFonts w:ascii="Segoe UI" w:hAnsi="Segoe UI" w:cs="Segoe UI"/>
          <w:i/>
          <w:color w:val="0D0D0D" w:themeColor="text1" w:themeTint="F2"/>
          <w:sz w:val="18"/>
          <w:szCs w:val="20"/>
        </w:rPr>
        <w:t>τα χαμηλά επίπεδα τ</w:t>
      </w:r>
      <w:r w:rsidR="00BC04E0" w:rsidRPr="00BC04E0">
        <w:rPr>
          <w:rFonts w:ascii="Segoe UI" w:hAnsi="Segoe UI" w:cs="Segoe UI"/>
          <w:i/>
          <w:color w:val="0D0D0D" w:themeColor="text1" w:themeTint="F2"/>
          <w:sz w:val="18"/>
          <w:szCs w:val="20"/>
        </w:rPr>
        <w:t>ου Β΄ τριμήνου του έτους, ως αποτέλεσμα της χαλάρωσης των τότε περιοριστικών μέτρων και της ενεργοποίησης δημοσιονομικών μέτρων στήριξης και παροχής ρευστότητας ύψους €12 δισ. Η ικανότητα της ελληνικής οικονομίας να επιστρέψει ταχέως στην ομαλότητα</w:t>
      </w:r>
      <w:r w:rsidR="005921E4" w:rsidRPr="005921E4">
        <w:rPr>
          <w:rFonts w:ascii="Segoe UI" w:hAnsi="Segoe UI" w:cs="Segoe UI"/>
          <w:i/>
          <w:color w:val="0D0D0D" w:themeColor="text1" w:themeTint="F2"/>
          <w:sz w:val="18"/>
          <w:szCs w:val="20"/>
        </w:rPr>
        <w:t>,</w:t>
      </w:r>
      <w:r w:rsidR="005921E4">
        <w:rPr>
          <w:rFonts w:ascii="Segoe UI" w:hAnsi="Segoe UI" w:cs="Segoe UI"/>
          <w:i/>
          <w:color w:val="0D0D0D" w:themeColor="text1" w:themeTint="F2"/>
          <w:sz w:val="18"/>
          <w:szCs w:val="20"/>
        </w:rPr>
        <w:t xml:space="preserve"> απορροφώντας με μικρή μόνο παύση τις συνέπειες του 2</w:t>
      </w:r>
      <w:r w:rsidR="005921E4" w:rsidRPr="005921E4">
        <w:rPr>
          <w:rFonts w:ascii="Segoe UI" w:hAnsi="Segoe UI" w:cs="Segoe UI"/>
          <w:i/>
          <w:color w:val="0D0D0D" w:themeColor="text1" w:themeTint="F2"/>
          <w:sz w:val="18"/>
          <w:szCs w:val="20"/>
          <w:vertAlign w:val="superscript"/>
        </w:rPr>
        <w:t>ου</w:t>
      </w:r>
      <w:r w:rsidR="005921E4">
        <w:rPr>
          <w:rFonts w:ascii="Segoe UI" w:hAnsi="Segoe UI" w:cs="Segoe UI"/>
          <w:i/>
          <w:color w:val="0D0D0D" w:themeColor="text1" w:themeTint="F2"/>
          <w:sz w:val="18"/>
          <w:szCs w:val="20"/>
        </w:rPr>
        <w:t xml:space="preserve"> </w:t>
      </w:r>
      <w:r w:rsidR="00377D4F">
        <w:rPr>
          <w:rFonts w:ascii="Segoe UI" w:hAnsi="Segoe UI" w:cs="Segoe UI"/>
          <w:i/>
          <w:color w:val="0D0D0D" w:themeColor="text1" w:themeTint="F2"/>
          <w:sz w:val="18"/>
          <w:szCs w:val="20"/>
        </w:rPr>
        <w:t xml:space="preserve">γενικού </w:t>
      </w:r>
      <w:r w:rsidR="005921E4">
        <w:rPr>
          <w:rFonts w:ascii="Segoe UI" w:hAnsi="Segoe UI" w:cs="Segoe UI"/>
          <w:i/>
          <w:color w:val="0D0D0D" w:themeColor="text1" w:themeTint="F2"/>
          <w:sz w:val="18"/>
          <w:szCs w:val="20"/>
        </w:rPr>
        <w:t>απαγορευτικού,</w:t>
      </w:r>
      <w:r w:rsidR="00BC04E0" w:rsidRPr="00BC04E0">
        <w:rPr>
          <w:rFonts w:ascii="Segoe UI" w:hAnsi="Segoe UI" w:cs="Segoe UI"/>
          <w:i/>
          <w:color w:val="0D0D0D" w:themeColor="text1" w:themeTint="F2"/>
          <w:sz w:val="18"/>
          <w:szCs w:val="20"/>
        </w:rPr>
        <w:t xml:space="preserve"> </w:t>
      </w:r>
      <w:r w:rsidR="00EA34D8">
        <w:rPr>
          <w:rFonts w:ascii="Segoe UI" w:hAnsi="Segoe UI" w:cs="Segoe UI"/>
          <w:i/>
          <w:color w:val="0D0D0D" w:themeColor="text1" w:themeTint="F2"/>
          <w:sz w:val="18"/>
          <w:szCs w:val="20"/>
        </w:rPr>
        <w:t xml:space="preserve">θα επικουρηθεί από </w:t>
      </w:r>
      <w:r w:rsidR="00BC04E0" w:rsidRPr="00BC04E0">
        <w:rPr>
          <w:rFonts w:ascii="Segoe UI" w:hAnsi="Segoe UI" w:cs="Segoe UI"/>
          <w:i/>
          <w:color w:val="0D0D0D" w:themeColor="text1" w:themeTint="F2"/>
          <w:sz w:val="18"/>
          <w:szCs w:val="20"/>
        </w:rPr>
        <w:t xml:space="preserve">το νέο πακέτο στήριξης της κυβέρνησης ύψους €3,5 δισ. για τα νοικοκυριά και τις επιχειρήσεις, </w:t>
      </w:r>
      <w:r w:rsidR="00056F22">
        <w:rPr>
          <w:rFonts w:ascii="Segoe UI" w:hAnsi="Segoe UI" w:cs="Segoe UI"/>
          <w:i/>
          <w:color w:val="0D0D0D" w:themeColor="text1" w:themeTint="F2"/>
          <w:sz w:val="18"/>
          <w:szCs w:val="20"/>
        </w:rPr>
        <w:t xml:space="preserve">καθώς και </w:t>
      </w:r>
      <w:r w:rsidR="00ED7E3D">
        <w:rPr>
          <w:rFonts w:ascii="Segoe UI" w:hAnsi="Segoe UI" w:cs="Segoe UI"/>
          <w:i/>
          <w:color w:val="0D0D0D" w:themeColor="text1" w:themeTint="F2"/>
          <w:sz w:val="18"/>
          <w:szCs w:val="20"/>
        </w:rPr>
        <w:t>από</w:t>
      </w:r>
      <w:r w:rsidR="00056F22">
        <w:rPr>
          <w:rFonts w:ascii="Segoe UI" w:hAnsi="Segoe UI" w:cs="Segoe UI"/>
          <w:i/>
          <w:color w:val="0D0D0D" w:themeColor="text1" w:themeTint="F2"/>
          <w:sz w:val="18"/>
          <w:szCs w:val="20"/>
        </w:rPr>
        <w:t xml:space="preserve"> </w:t>
      </w:r>
      <w:r w:rsidR="00BC04E0" w:rsidRPr="00BC04E0">
        <w:rPr>
          <w:rFonts w:ascii="Segoe UI" w:hAnsi="Segoe UI" w:cs="Segoe UI"/>
          <w:i/>
          <w:color w:val="0D0D0D" w:themeColor="text1" w:themeTint="F2"/>
          <w:sz w:val="18"/>
          <w:szCs w:val="20"/>
        </w:rPr>
        <w:t xml:space="preserve">την εισροή κεφαλαίων για την τόνωση της ανάπτυξης από το Ταμείο Ανάκαμψης της </w:t>
      </w:r>
      <w:r w:rsidR="00A80256" w:rsidRPr="00BC04E0">
        <w:rPr>
          <w:rFonts w:ascii="Segoe UI" w:hAnsi="Segoe UI" w:cs="Segoe UI"/>
          <w:i/>
          <w:color w:val="0D0D0D" w:themeColor="text1" w:themeTint="F2"/>
          <w:sz w:val="18"/>
          <w:szCs w:val="20"/>
        </w:rPr>
        <w:t>Ε</w:t>
      </w:r>
      <w:r w:rsidR="00A80256">
        <w:rPr>
          <w:rFonts w:ascii="Segoe UI" w:hAnsi="Segoe UI" w:cs="Segoe UI"/>
          <w:i/>
          <w:color w:val="0D0D0D" w:themeColor="text1" w:themeTint="F2"/>
          <w:sz w:val="18"/>
          <w:szCs w:val="20"/>
        </w:rPr>
        <w:t xml:space="preserve">υρωπαϊκής Ένωσης </w:t>
      </w:r>
      <w:r w:rsidR="00BC04E0" w:rsidRPr="00BC04E0">
        <w:rPr>
          <w:rFonts w:ascii="Segoe UI" w:hAnsi="Segoe UI" w:cs="Segoe UI"/>
          <w:i/>
          <w:color w:val="0D0D0D" w:themeColor="text1" w:themeTint="F2"/>
          <w:sz w:val="18"/>
          <w:szCs w:val="20"/>
        </w:rPr>
        <w:t xml:space="preserve">το 2021. </w:t>
      </w:r>
    </w:p>
    <w:p w:rsidR="004C28F4" w:rsidRDefault="004C28F4" w:rsidP="004C28F4">
      <w:pPr>
        <w:jc w:val="both"/>
        <w:rPr>
          <w:rFonts w:ascii="Segoe UI" w:hAnsi="Segoe UI" w:cs="Segoe UI"/>
          <w:i/>
          <w:color w:val="0D0D0D" w:themeColor="text1" w:themeTint="F2"/>
          <w:sz w:val="18"/>
          <w:szCs w:val="20"/>
        </w:rPr>
      </w:pPr>
    </w:p>
    <w:p w:rsidR="00BC04E0" w:rsidRDefault="00BC04E0" w:rsidP="004C28F4">
      <w:pPr>
        <w:jc w:val="both"/>
        <w:rPr>
          <w:rFonts w:ascii="Segoe UI" w:hAnsi="Segoe UI" w:cs="Segoe UI"/>
          <w:i/>
          <w:color w:val="0D0D0D" w:themeColor="text1" w:themeTint="F2"/>
          <w:sz w:val="18"/>
          <w:szCs w:val="20"/>
        </w:rPr>
      </w:pPr>
      <w:r w:rsidRPr="00BC04E0">
        <w:rPr>
          <w:rFonts w:ascii="Segoe UI" w:hAnsi="Segoe UI" w:cs="Segoe UI"/>
          <w:i/>
          <w:color w:val="0D0D0D" w:themeColor="text1" w:themeTint="F2"/>
          <w:sz w:val="18"/>
          <w:szCs w:val="20"/>
        </w:rPr>
        <w:t xml:space="preserve">Κατά τη διάρκεια του 2020, </w:t>
      </w:r>
      <w:r w:rsidR="00F85A7D">
        <w:rPr>
          <w:rFonts w:ascii="Segoe UI" w:hAnsi="Segoe UI" w:cs="Segoe UI"/>
          <w:i/>
          <w:color w:val="0D0D0D" w:themeColor="text1" w:themeTint="F2"/>
          <w:sz w:val="18"/>
          <w:szCs w:val="20"/>
        </w:rPr>
        <w:t xml:space="preserve">στηρίξαμε και </w:t>
      </w:r>
      <w:r w:rsidRPr="00BC04E0">
        <w:rPr>
          <w:rFonts w:ascii="Segoe UI" w:hAnsi="Segoe UI" w:cs="Segoe UI"/>
          <w:i/>
          <w:color w:val="0D0D0D" w:themeColor="text1" w:themeTint="F2"/>
          <w:sz w:val="18"/>
          <w:szCs w:val="20"/>
        </w:rPr>
        <w:t xml:space="preserve">συνεχίζουμε να </w:t>
      </w:r>
      <w:r w:rsidR="00F85A7D">
        <w:rPr>
          <w:rFonts w:ascii="Segoe UI" w:hAnsi="Segoe UI" w:cs="Segoe UI"/>
          <w:i/>
          <w:color w:val="0D0D0D" w:themeColor="text1" w:themeTint="F2"/>
          <w:sz w:val="18"/>
          <w:szCs w:val="20"/>
        </w:rPr>
        <w:t xml:space="preserve">στηρίζουμε </w:t>
      </w:r>
      <w:r w:rsidRPr="00BC04E0">
        <w:rPr>
          <w:rFonts w:ascii="Segoe UI" w:hAnsi="Segoe UI" w:cs="Segoe UI"/>
          <w:i/>
          <w:color w:val="0D0D0D" w:themeColor="text1" w:themeTint="F2"/>
          <w:sz w:val="18"/>
          <w:szCs w:val="20"/>
        </w:rPr>
        <w:t>ενεργ</w:t>
      </w:r>
      <w:r w:rsidR="00F85A7D">
        <w:rPr>
          <w:rFonts w:ascii="Segoe UI" w:hAnsi="Segoe UI" w:cs="Segoe UI"/>
          <w:i/>
          <w:color w:val="0D0D0D" w:themeColor="text1" w:themeTint="F2"/>
          <w:sz w:val="18"/>
          <w:szCs w:val="20"/>
        </w:rPr>
        <w:t xml:space="preserve">ά τους </w:t>
      </w:r>
      <w:r w:rsidRPr="00BC04E0">
        <w:rPr>
          <w:rFonts w:ascii="Segoe UI" w:hAnsi="Segoe UI" w:cs="Segoe UI"/>
          <w:i/>
          <w:color w:val="0D0D0D" w:themeColor="text1" w:themeTint="F2"/>
          <w:sz w:val="18"/>
          <w:szCs w:val="20"/>
        </w:rPr>
        <w:t>πελ</w:t>
      </w:r>
      <w:r w:rsidR="00F85A7D">
        <w:rPr>
          <w:rFonts w:ascii="Segoe UI" w:hAnsi="Segoe UI" w:cs="Segoe UI"/>
          <w:i/>
          <w:color w:val="0D0D0D" w:themeColor="text1" w:themeTint="F2"/>
          <w:sz w:val="18"/>
          <w:szCs w:val="20"/>
        </w:rPr>
        <w:t xml:space="preserve">άτες </w:t>
      </w:r>
      <w:r w:rsidRPr="00BC04E0">
        <w:rPr>
          <w:rFonts w:ascii="Segoe UI" w:hAnsi="Segoe UI" w:cs="Segoe UI"/>
          <w:i/>
          <w:color w:val="0D0D0D" w:themeColor="text1" w:themeTint="F2"/>
          <w:sz w:val="18"/>
          <w:szCs w:val="20"/>
        </w:rPr>
        <w:t>μας και τη</w:t>
      </w:r>
      <w:r w:rsidR="00F85A7D">
        <w:rPr>
          <w:rFonts w:ascii="Segoe UI" w:hAnsi="Segoe UI" w:cs="Segoe UI"/>
          <w:i/>
          <w:color w:val="0D0D0D" w:themeColor="text1" w:themeTint="F2"/>
          <w:sz w:val="18"/>
          <w:szCs w:val="20"/>
        </w:rPr>
        <w:t>ν</w:t>
      </w:r>
      <w:r w:rsidRPr="00BC04E0">
        <w:rPr>
          <w:rFonts w:ascii="Segoe UI" w:hAnsi="Segoe UI" w:cs="Segoe UI"/>
          <w:i/>
          <w:color w:val="0D0D0D" w:themeColor="text1" w:themeTint="F2"/>
          <w:sz w:val="18"/>
          <w:szCs w:val="20"/>
        </w:rPr>
        <w:t xml:space="preserve"> </w:t>
      </w:r>
      <w:r w:rsidR="00B32570">
        <w:rPr>
          <w:rFonts w:ascii="Segoe UI" w:hAnsi="Segoe UI" w:cs="Segoe UI"/>
          <w:i/>
          <w:color w:val="0D0D0D" w:themeColor="text1" w:themeTint="F2"/>
          <w:sz w:val="18"/>
          <w:szCs w:val="20"/>
        </w:rPr>
        <w:t>Ε</w:t>
      </w:r>
      <w:r w:rsidRPr="00BC04E0">
        <w:rPr>
          <w:rFonts w:ascii="Segoe UI" w:hAnsi="Segoe UI" w:cs="Segoe UI"/>
          <w:i/>
          <w:color w:val="0D0D0D" w:themeColor="text1" w:themeTint="F2"/>
          <w:sz w:val="18"/>
          <w:szCs w:val="20"/>
        </w:rPr>
        <w:t>λληνική</w:t>
      </w:r>
      <w:r w:rsidR="00F85A7D">
        <w:rPr>
          <w:rFonts w:ascii="Segoe UI" w:hAnsi="Segoe UI" w:cs="Segoe UI"/>
          <w:i/>
          <w:color w:val="0D0D0D" w:themeColor="text1" w:themeTint="F2"/>
          <w:sz w:val="18"/>
          <w:szCs w:val="20"/>
        </w:rPr>
        <w:t xml:space="preserve"> οικονομία</w:t>
      </w:r>
      <w:r w:rsidRPr="00BC04E0">
        <w:rPr>
          <w:rFonts w:ascii="Segoe UI" w:hAnsi="Segoe UI" w:cs="Segoe UI"/>
          <w:i/>
          <w:color w:val="0D0D0D" w:themeColor="text1" w:themeTint="F2"/>
          <w:sz w:val="18"/>
          <w:szCs w:val="20"/>
        </w:rPr>
        <w:t xml:space="preserve">, προσφέροντας στοχευμένα μέτρα διευκόλυνσης καταβολής οφειλών </w:t>
      </w:r>
      <w:r w:rsidR="005921E4">
        <w:rPr>
          <w:rFonts w:ascii="Segoe UI" w:hAnsi="Segoe UI" w:cs="Segoe UI"/>
          <w:i/>
          <w:color w:val="0D0D0D" w:themeColor="text1" w:themeTint="F2"/>
          <w:sz w:val="18"/>
          <w:szCs w:val="20"/>
        </w:rPr>
        <w:t xml:space="preserve">και </w:t>
      </w:r>
      <w:r w:rsidR="005921E4" w:rsidRPr="006517E8">
        <w:rPr>
          <w:rFonts w:ascii="Segoe UI" w:hAnsi="Segoe UI" w:cs="Segoe UI"/>
          <w:i/>
          <w:color w:val="0D0D0D" w:themeColor="text1" w:themeTint="F2"/>
          <w:sz w:val="18"/>
          <w:szCs w:val="20"/>
        </w:rPr>
        <w:t>δ</w:t>
      </w:r>
      <w:r w:rsidR="005921E4">
        <w:rPr>
          <w:rFonts w:ascii="Segoe UI" w:hAnsi="Segoe UI" w:cs="Segoe UI"/>
          <w:i/>
          <w:color w:val="0D0D0D" w:themeColor="text1" w:themeTint="F2"/>
          <w:sz w:val="18"/>
          <w:szCs w:val="20"/>
        </w:rPr>
        <w:t xml:space="preserve">άνεια </w:t>
      </w:r>
      <w:r w:rsidR="005921E4" w:rsidRPr="006517E8">
        <w:rPr>
          <w:rFonts w:ascii="Segoe UI" w:hAnsi="Segoe UI" w:cs="Segoe UI"/>
          <w:i/>
          <w:color w:val="0D0D0D" w:themeColor="text1" w:themeTint="F2"/>
          <w:sz w:val="18"/>
          <w:szCs w:val="20"/>
        </w:rPr>
        <w:t>με επιδότηση επιτοκίου</w:t>
      </w:r>
      <w:r w:rsidRPr="00BC04E0">
        <w:rPr>
          <w:rFonts w:ascii="Segoe UI" w:hAnsi="Segoe UI" w:cs="Segoe UI"/>
          <w:i/>
          <w:color w:val="0D0D0D" w:themeColor="text1" w:themeTint="F2"/>
          <w:sz w:val="18"/>
          <w:szCs w:val="20"/>
        </w:rPr>
        <w:t>, σε συνδυασμό με την ταχεία ενεργοποίηση των κυβερνητικών προγραμμάτων στήριξης.</w:t>
      </w:r>
      <w:r w:rsidR="000D779E">
        <w:rPr>
          <w:rFonts w:ascii="Segoe UI" w:hAnsi="Segoe UI" w:cs="Segoe UI"/>
          <w:i/>
          <w:color w:val="0D0D0D" w:themeColor="text1" w:themeTint="F2"/>
          <w:sz w:val="18"/>
          <w:szCs w:val="20"/>
        </w:rPr>
        <w:t xml:space="preserve"> </w:t>
      </w:r>
      <w:r w:rsidR="00F917AE">
        <w:rPr>
          <w:rFonts w:ascii="Segoe UI" w:hAnsi="Segoe UI" w:cs="Segoe UI"/>
          <w:i/>
          <w:color w:val="0D0D0D" w:themeColor="text1" w:themeTint="F2"/>
          <w:sz w:val="18"/>
          <w:szCs w:val="20"/>
        </w:rPr>
        <w:t xml:space="preserve">Συνολικά, </w:t>
      </w:r>
      <w:r w:rsidR="00D95F56">
        <w:rPr>
          <w:rFonts w:ascii="Segoe UI" w:hAnsi="Segoe UI" w:cs="Segoe UI"/>
          <w:i/>
          <w:color w:val="0D0D0D" w:themeColor="text1" w:themeTint="F2"/>
          <w:sz w:val="18"/>
          <w:szCs w:val="20"/>
        </w:rPr>
        <w:t>περισσότεροι από 85</w:t>
      </w:r>
      <w:r w:rsidR="00F917AE" w:rsidRPr="00CF31BB">
        <w:rPr>
          <w:rFonts w:ascii="Segoe UI" w:hAnsi="Segoe UI" w:cs="Segoe UI"/>
          <w:i/>
          <w:color w:val="0D0D0D" w:themeColor="text1" w:themeTint="F2"/>
          <w:sz w:val="18"/>
          <w:szCs w:val="20"/>
        </w:rPr>
        <w:t xml:space="preserve"> χιλ. </w:t>
      </w:r>
      <w:r w:rsidR="00D95F56">
        <w:rPr>
          <w:rFonts w:ascii="Segoe UI" w:hAnsi="Segoe UI" w:cs="Segoe UI"/>
          <w:i/>
          <w:color w:val="0D0D0D" w:themeColor="text1" w:themeTint="F2"/>
          <w:sz w:val="18"/>
          <w:szCs w:val="20"/>
        </w:rPr>
        <w:t xml:space="preserve">λογαριασμοί πελατών </w:t>
      </w:r>
      <w:r w:rsidR="00F917AE">
        <w:rPr>
          <w:rFonts w:ascii="Segoe UI" w:hAnsi="Segoe UI" w:cs="Segoe UI"/>
          <w:i/>
          <w:color w:val="0D0D0D" w:themeColor="text1" w:themeTint="F2"/>
          <w:sz w:val="18"/>
          <w:szCs w:val="20"/>
        </w:rPr>
        <w:t>μας έχουν επωφεληθεί από</w:t>
      </w:r>
      <w:r w:rsidR="00DC2D9E">
        <w:rPr>
          <w:rFonts w:ascii="Segoe UI" w:hAnsi="Segoe UI" w:cs="Segoe UI"/>
          <w:i/>
          <w:color w:val="0D0D0D" w:themeColor="text1" w:themeTint="F2"/>
          <w:sz w:val="18"/>
          <w:szCs w:val="20"/>
        </w:rPr>
        <w:t xml:space="preserve"> </w:t>
      </w:r>
      <w:r w:rsidR="00D47731">
        <w:rPr>
          <w:rFonts w:ascii="Segoe UI" w:hAnsi="Segoe UI" w:cs="Segoe UI"/>
          <w:i/>
          <w:color w:val="0D0D0D" w:themeColor="text1" w:themeTint="F2"/>
          <w:sz w:val="18"/>
          <w:szCs w:val="20"/>
        </w:rPr>
        <w:t xml:space="preserve">την </w:t>
      </w:r>
      <w:r w:rsidR="00DC2D9E" w:rsidRPr="00DC2D9E">
        <w:rPr>
          <w:rFonts w:ascii="Segoe UI" w:hAnsi="Segoe UI" w:cs="Segoe UI"/>
          <w:i/>
          <w:color w:val="0D0D0D" w:themeColor="text1" w:themeTint="F2"/>
          <w:sz w:val="18"/>
          <w:szCs w:val="20"/>
        </w:rPr>
        <w:t>εφαρμογή</w:t>
      </w:r>
      <w:r w:rsidR="00F917AE">
        <w:rPr>
          <w:rFonts w:ascii="Segoe UI" w:hAnsi="Segoe UI" w:cs="Segoe UI"/>
          <w:i/>
          <w:color w:val="0D0D0D" w:themeColor="text1" w:themeTint="F2"/>
          <w:sz w:val="18"/>
          <w:szCs w:val="20"/>
        </w:rPr>
        <w:t xml:space="preserve"> </w:t>
      </w:r>
      <w:r w:rsidR="00D47731">
        <w:rPr>
          <w:rFonts w:ascii="Segoe UI" w:hAnsi="Segoe UI" w:cs="Segoe UI"/>
          <w:i/>
          <w:color w:val="0D0D0D" w:themeColor="text1" w:themeTint="F2"/>
          <w:sz w:val="18"/>
          <w:szCs w:val="20"/>
        </w:rPr>
        <w:t xml:space="preserve">των εν λόγω </w:t>
      </w:r>
      <w:r w:rsidR="00F917AE">
        <w:rPr>
          <w:rFonts w:ascii="Segoe UI" w:hAnsi="Segoe UI" w:cs="Segoe UI"/>
          <w:i/>
          <w:color w:val="0D0D0D" w:themeColor="text1" w:themeTint="F2"/>
          <w:sz w:val="18"/>
          <w:szCs w:val="20"/>
        </w:rPr>
        <w:t>μέτρ</w:t>
      </w:r>
      <w:r w:rsidR="00DC2D9E">
        <w:rPr>
          <w:rFonts w:ascii="Segoe UI" w:hAnsi="Segoe UI" w:cs="Segoe UI"/>
          <w:i/>
          <w:color w:val="0D0D0D" w:themeColor="text1" w:themeTint="F2"/>
          <w:sz w:val="18"/>
          <w:szCs w:val="20"/>
        </w:rPr>
        <w:t>ων</w:t>
      </w:r>
      <w:r w:rsidR="00C94611">
        <w:rPr>
          <w:rFonts w:ascii="Segoe UI" w:hAnsi="Segoe UI" w:cs="Segoe UI"/>
          <w:i/>
          <w:color w:val="0D0D0D" w:themeColor="text1" w:themeTint="F2"/>
          <w:sz w:val="18"/>
          <w:szCs w:val="20"/>
        </w:rPr>
        <w:t xml:space="preserve">, </w:t>
      </w:r>
      <w:r w:rsidR="00CF31BB">
        <w:rPr>
          <w:rFonts w:ascii="Segoe UI" w:hAnsi="Segoe UI" w:cs="Segoe UI"/>
          <w:i/>
          <w:color w:val="0D0D0D" w:themeColor="text1" w:themeTint="F2"/>
          <w:sz w:val="18"/>
          <w:szCs w:val="20"/>
        </w:rPr>
        <w:t xml:space="preserve">εκ των οποίων τα </w:t>
      </w:r>
      <w:r w:rsidR="00BD556C">
        <w:rPr>
          <w:rFonts w:ascii="Segoe UI" w:hAnsi="Segoe UI" w:cs="Segoe UI"/>
          <w:i/>
          <w:color w:val="0D0D0D" w:themeColor="text1" w:themeTint="F2"/>
          <w:sz w:val="18"/>
          <w:szCs w:val="20"/>
        </w:rPr>
        <w:t>3</w:t>
      </w:r>
      <w:r w:rsidR="00CF31BB">
        <w:rPr>
          <w:rFonts w:ascii="Segoe UI" w:hAnsi="Segoe UI" w:cs="Segoe UI"/>
          <w:i/>
          <w:color w:val="0D0D0D" w:themeColor="text1" w:themeTint="F2"/>
          <w:sz w:val="18"/>
          <w:szCs w:val="20"/>
        </w:rPr>
        <w:t>/</w:t>
      </w:r>
      <w:r w:rsidR="00BD556C" w:rsidRPr="00BD556C">
        <w:rPr>
          <w:rFonts w:ascii="Segoe UI" w:hAnsi="Segoe UI" w:cs="Segoe UI"/>
          <w:i/>
          <w:color w:val="0D0D0D" w:themeColor="text1" w:themeTint="F2"/>
          <w:sz w:val="18"/>
          <w:szCs w:val="20"/>
        </w:rPr>
        <w:t>4</w:t>
      </w:r>
      <w:r w:rsidR="00CF31BB" w:rsidRPr="00CF31BB">
        <w:rPr>
          <w:rFonts w:ascii="Segoe UI" w:hAnsi="Segoe UI" w:cs="Segoe UI"/>
          <w:i/>
          <w:color w:val="0D0D0D" w:themeColor="text1" w:themeTint="F2"/>
          <w:sz w:val="18"/>
          <w:szCs w:val="20"/>
          <w:vertAlign w:val="superscript"/>
        </w:rPr>
        <w:t>α</w:t>
      </w:r>
      <w:r w:rsidR="00CF31BB">
        <w:rPr>
          <w:rFonts w:ascii="Segoe UI" w:hAnsi="Segoe UI" w:cs="Segoe UI"/>
          <w:i/>
          <w:color w:val="0D0D0D" w:themeColor="text1" w:themeTint="F2"/>
          <w:sz w:val="18"/>
          <w:szCs w:val="20"/>
        </w:rPr>
        <w:t xml:space="preserve"> είναι </w:t>
      </w:r>
      <w:r w:rsidR="00C21FD3">
        <w:rPr>
          <w:rFonts w:ascii="Segoe UI" w:hAnsi="Segoe UI" w:cs="Segoe UI"/>
          <w:i/>
          <w:color w:val="0D0D0D" w:themeColor="text1" w:themeTint="F2"/>
          <w:sz w:val="18"/>
          <w:szCs w:val="20"/>
        </w:rPr>
        <w:t>νοικοκυριά</w:t>
      </w:r>
      <w:r w:rsidR="008D1041">
        <w:rPr>
          <w:rFonts w:ascii="Segoe UI" w:hAnsi="Segoe UI" w:cs="Segoe UI"/>
          <w:i/>
          <w:color w:val="0D0D0D" w:themeColor="text1" w:themeTint="F2"/>
          <w:sz w:val="18"/>
          <w:szCs w:val="20"/>
        </w:rPr>
        <w:t xml:space="preserve">. </w:t>
      </w:r>
      <w:r w:rsidR="001E56FB">
        <w:rPr>
          <w:rFonts w:ascii="Segoe UI" w:hAnsi="Segoe UI" w:cs="Segoe UI"/>
          <w:i/>
          <w:color w:val="0D0D0D" w:themeColor="text1" w:themeTint="F2"/>
          <w:sz w:val="18"/>
          <w:szCs w:val="20"/>
        </w:rPr>
        <w:t>Οι</w:t>
      </w:r>
      <w:r w:rsidR="001E56FB" w:rsidRPr="00BC04E0">
        <w:rPr>
          <w:rFonts w:ascii="Segoe UI" w:hAnsi="Segoe UI" w:cs="Segoe UI"/>
          <w:i/>
          <w:color w:val="0D0D0D" w:themeColor="text1" w:themeTint="F2"/>
          <w:sz w:val="18"/>
          <w:szCs w:val="20"/>
        </w:rPr>
        <w:t xml:space="preserve"> νέες πιστοδοτήσεις προς επιχειρήσεις και νοικοκυριά</w:t>
      </w:r>
      <w:r w:rsidR="001E56FB">
        <w:rPr>
          <w:rFonts w:ascii="Segoe UI" w:hAnsi="Segoe UI" w:cs="Segoe UI"/>
          <w:i/>
          <w:color w:val="0D0D0D" w:themeColor="text1" w:themeTint="F2"/>
          <w:sz w:val="18"/>
          <w:szCs w:val="20"/>
        </w:rPr>
        <w:t>,</w:t>
      </w:r>
      <w:r w:rsidR="001E56FB" w:rsidRPr="00BC04E0">
        <w:rPr>
          <w:rFonts w:ascii="Segoe UI" w:hAnsi="Segoe UI" w:cs="Segoe UI"/>
          <w:i/>
          <w:color w:val="0D0D0D" w:themeColor="text1" w:themeTint="F2"/>
          <w:sz w:val="18"/>
          <w:szCs w:val="20"/>
        </w:rPr>
        <w:t xml:space="preserve"> </w:t>
      </w:r>
      <w:r w:rsidR="001E56FB">
        <w:rPr>
          <w:rFonts w:ascii="Segoe UI" w:hAnsi="Segoe UI" w:cs="Segoe UI"/>
          <w:i/>
          <w:color w:val="0D0D0D" w:themeColor="text1" w:themeTint="F2"/>
          <w:sz w:val="18"/>
          <w:szCs w:val="20"/>
        </w:rPr>
        <w:t>έχουν υπερβεί τα €3,5</w:t>
      </w:r>
      <w:r w:rsidR="001E56FB" w:rsidRPr="00BC04E0">
        <w:rPr>
          <w:rFonts w:ascii="Segoe UI" w:hAnsi="Segoe UI" w:cs="Segoe UI"/>
          <w:i/>
          <w:color w:val="0D0D0D" w:themeColor="text1" w:themeTint="F2"/>
          <w:sz w:val="18"/>
          <w:szCs w:val="20"/>
        </w:rPr>
        <w:t xml:space="preserve"> δισ., ενώ αναμένεται να ξεπεράσουν το</w:t>
      </w:r>
      <w:r w:rsidR="001E56FB">
        <w:rPr>
          <w:rFonts w:ascii="Segoe UI" w:hAnsi="Segoe UI" w:cs="Segoe UI"/>
          <w:i/>
          <w:color w:val="0D0D0D" w:themeColor="text1" w:themeTint="F2"/>
          <w:sz w:val="18"/>
          <w:szCs w:val="20"/>
        </w:rPr>
        <w:t>ν</w:t>
      </w:r>
      <w:r w:rsidR="001E56FB" w:rsidRPr="00BC04E0">
        <w:rPr>
          <w:rFonts w:ascii="Segoe UI" w:hAnsi="Segoe UI" w:cs="Segoe UI"/>
          <w:i/>
          <w:color w:val="0D0D0D" w:themeColor="text1" w:themeTint="F2"/>
          <w:sz w:val="18"/>
          <w:szCs w:val="20"/>
        </w:rPr>
        <w:t xml:space="preserve"> στόχο </w:t>
      </w:r>
      <w:r w:rsidR="001E56FB">
        <w:rPr>
          <w:rFonts w:ascii="Segoe UI" w:hAnsi="Segoe UI" w:cs="Segoe UI"/>
          <w:i/>
          <w:color w:val="0D0D0D" w:themeColor="text1" w:themeTint="F2"/>
          <w:sz w:val="18"/>
          <w:szCs w:val="20"/>
        </w:rPr>
        <w:t xml:space="preserve">των €4 δισ. για το 2020 </w:t>
      </w:r>
      <w:r w:rsidR="001E56FB" w:rsidRPr="00BC04E0">
        <w:rPr>
          <w:rFonts w:ascii="Segoe UI" w:hAnsi="Segoe UI" w:cs="Segoe UI"/>
          <w:i/>
          <w:color w:val="0D0D0D" w:themeColor="text1" w:themeTint="F2"/>
          <w:sz w:val="18"/>
          <w:szCs w:val="20"/>
        </w:rPr>
        <w:t>που είχαμε θέσει πριν την εξάπλωση της πανδημίας.</w:t>
      </w:r>
      <w:r w:rsidR="001E56FB" w:rsidRPr="001E56FB">
        <w:rPr>
          <w:rFonts w:ascii="Segoe UI" w:hAnsi="Segoe UI" w:cs="Segoe UI"/>
          <w:i/>
          <w:color w:val="0D0D0D" w:themeColor="text1" w:themeTint="F2"/>
          <w:sz w:val="18"/>
          <w:szCs w:val="20"/>
        </w:rPr>
        <w:t xml:space="preserve"> </w:t>
      </w:r>
      <w:r w:rsidR="002D12A1">
        <w:rPr>
          <w:rFonts w:ascii="Segoe UI" w:hAnsi="Segoe UI" w:cs="Segoe UI"/>
          <w:i/>
          <w:color w:val="0D0D0D" w:themeColor="text1" w:themeTint="F2"/>
          <w:sz w:val="18"/>
          <w:szCs w:val="20"/>
        </w:rPr>
        <w:t>Με το βλέμμα σ</w:t>
      </w:r>
      <w:r w:rsidR="00D74F0A">
        <w:rPr>
          <w:rFonts w:ascii="Segoe UI" w:hAnsi="Segoe UI" w:cs="Segoe UI"/>
          <w:i/>
          <w:color w:val="0D0D0D" w:themeColor="text1" w:themeTint="F2"/>
          <w:sz w:val="18"/>
          <w:szCs w:val="20"/>
        </w:rPr>
        <w:t>το 202</w:t>
      </w:r>
      <w:r w:rsidR="00346716">
        <w:rPr>
          <w:rFonts w:ascii="Segoe UI" w:hAnsi="Segoe UI" w:cs="Segoe UI"/>
          <w:i/>
          <w:color w:val="0D0D0D" w:themeColor="text1" w:themeTint="F2"/>
          <w:sz w:val="18"/>
          <w:szCs w:val="20"/>
        </w:rPr>
        <w:t>1</w:t>
      </w:r>
      <w:r w:rsidR="00D74F0A">
        <w:rPr>
          <w:rFonts w:ascii="Segoe UI" w:hAnsi="Segoe UI" w:cs="Segoe UI"/>
          <w:i/>
          <w:color w:val="0D0D0D" w:themeColor="text1" w:themeTint="F2"/>
          <w:sz w:val="18"/>
          <w:szCs w:val="20"/>
        </w:rPr>
        <w:t xml:space="preserve"> και μ</w:t>
      </w:r>
      <w:r w:rsidR="00D74F0A" w:rsidRPr="00C94611">
        <w:rPr>
          <w:rFonts w:ascii="Segoe UI" w:hAnsi="Segoe UI" w:cs="Segoe UI"/>
          <w:i/>
          <w:color w:val="0D0D0D" w:themeColor="text1" w:themeTint="F2"/>
          <w:sz w:val="18"/>
          <w:szCs w:val="20"/>
        </w:rPr>
        <w:t xml:space="preserve">ετά τη λήξη των </w:t>
      </w:r>
      <w:r w:rsidR="00D74F0A">
        <w:rPr>
          <w:rFonts w:ascii="Segoe UI" w:hAnsi="Segoe UI" w:cs="Segoe UI"/>
          <w:i/>
          <w:color w:val="0D0D0D" w:themeColor="text1" w:themeTint="F2"/>
          <w:sz w:val="18"/>
          <w:szCs w:val="20"/>
        </w:rPr>
        <w:t xml:space="preserve">προαναφερθέντων </w:t>
      </w:r>
      <w:r w:rsidR="00D74F0A" w:rsidRPr="00C94611">
        <w:rPr>
          <w:rFonts w:ascii="Segoe UI" w:hAnsi="Segoe UI" w:cs="Segoe UI"/>
          <w:i/>
          <w:color w:val="0D0D0D" w:themeColor="text1" w:themeTint="F2"/>
          <w:sz w:val="18"/>
          <w:szCs w:val="20"/>
        </w:rPr>
        <w:t>μέτρων</w:t>
      </w:r>
      <w:r w:rsidR="00D74F0A">
        <w:rPr>
          <w:rFonts w:ascii="Segoe UI" w:hAnsi="Segoe UI" w:cs="Segoe UI"/>
          <w:i/>
          <w:color w:val="0D0D0D" w:themeColor="text1" w:themeTint="F2"/>
          <w:sz w:val="18"/>
          <w:szCs w:val="20"/>
        </w:rPr>
        <w:t xml:space="preserve"> στήριξης, σ</w:t>
      </w:r>
      <w:r w:rsidR="008D1041">
        <w:rPr>
          <w:rFonts w:ascii="Segoe UI" w:hAnsi="Segoe UI" w:cs="Segoe UI"/>
          <w:i/>
          <w:color w:val="0D0D0D" w:themeColor="text1" w:themeTint="F2"/>
          <w:sz w:val="18"/>
          <w:szCs w:val="20"/>
        </w:rPr>
        <w:t xml:space="preserve">ε όσους πελάτες </w:t>
      </w:r>
      <w:r w:rsidR="00C94611">
        <w:rPr>
          <w:rFonts w:ascii="Segoe UI" w:hAnsi="Segoe UI" w:cs="Segoe UI"/>
          <w:i/>
          <w:color w:val="0D0D0D" w:themeColor="text1" w:themeTint="F2"/>
          <w:sz w:val="18"/>
          <w:szCs w:val="20"/>
        </w:rPr>
        <w:t xml:space="preserve">συνεχίζουν να αντιμετωπίζουν </w:t>
      </w:r>
      <w:r w:rsidR="008A48A0">
        <w:rPr>
          <w:rFonts w:ascii="Segoe UI" w:hAnsi="Segoe UI" w:cs="Segoe UI"/>
          <w:i/>
          <w:color w:val="0D0D0D" w:themeColor="text1" w:themeTint="F2"/>
          <w:sz w:val="18"/>
          <w:szCs w:val="20"/>
        </w:rPr>
        <w:t xml:space="preserve">οικονομικές </w:t>
      </w:r>
      <w:r w:rsidR="00C94611" w:rsidRPr="00C94611">
        <w:rPr>
          <w:rFonts w:ascii="Segoe UI" w:hAnsi="Segoe UI" w:cs="Segoe UI"/>
          <w:i/>
          <w:color w:val="0D0D0D" w:themeColor="text1" w:themeTint="F2"/>
          <w:sz w:val="18"/>
          <w:szCs w:val="20"/>
        </w:rPr>
        <w:t xml:space="preserve">δυσκολίες </w:t>
      </w:r>
      <w:r w:rsidR="000D2D20">
        <w:rPr>
          <w:rFonts w:ascii="Segoe UI" w:hAnsi="Segoe UI" w:cs="Segoe UI"/>
          <w:i/>
          <w:color w:val="0D0D0D" w:themeColor="text1" w:themeTint="F2"/>
          <w:sz w:val="18"/>
          <w:szCs w:val="20"/>
        </w:rPr>
        <w:t xml:space="preserve">θα </w:t>
      </w:r>
      <w:r w:rsidR="00C422BA">
        <w:rPr>
          <w:rFonts w:ascii="Segoe UI" w:hAnsi="Segoe UI" w:cs="Segoe UI"/>
          <w:i/>
          <w:color w:val="0D0D0D" w:themeColor="text1" w:themeTint="F2"/>
          <w:sz w:val="18"/>
          <w:szCs w:val="20"/>
        </w:rPr>
        <w:t xml:space="preserve">προσφέρουμε </w:t>
      </w:r>
      <w:r w:rsidR="000D2D20" w:rsidRPr="000D2D20">
        <w:rPr>
          <w:rFonts w:ascii="Segoe UI" w:hAnsi="Segoe UI" w:cs="Segoe UI"/>
          <w:i/>
          <w:color w:val="0D0D0D" w:themeColor="text1" w:themeTint="F2"/>
          <w:sz w:val="18"/>
          <w:szCs w:val="20"/>
        </w:rPr>
        <w:t>κατάλληλα προϊόντα</w:t>
      </w:r>
      <w:r w:rsidR="00496796">
        <w:rPr>
          <w:rFonts w:ascii="Segoe UI" w:hAnsi="Segoe UI" w:cs="Segoe UI"/>
          <w:i/>
          <w:color w:val="0D0D0D" w:themeColor="text1" w:themeTint="F2"/>
          <w:sz w:val="18"/>
          <w:szCs w:val="20"/>
        </w:rPr>
        <w:t xml:space="preserve"> προσωρινού χαρακτήρα</w:t>
      </w:r>
      <w:r w:rsidR="00C94611">
        <w:rPr>
          <w:rFonts w:ascii="Segoe UI" w:hAnsi="Segoe UI" w:cs="Segoe UI"/>
          <w:i/>
          <w:color w:val="0D0D0D" w:themeColor="text1" w:themeTint="F2"/>
          <w:sz w:val="18"/>
          <w:szCs w:val="20"/>
        </w:rPr>
        <w:t>.</w:t>
      </w:r>
      <w:r w:rsidR="00D74F0A">
        <w:rPr>
          <w:rFonts w:ascii="Segoe UI" w:hAnsi="Segoe UI" w:cs="Segoe UI"/>
          <w:i/>
          <w:color w:val="0D0D0D" w:themeColor="text1" w:themeTint="F2"/>
          <w:sz w:val="18"/>
          <w:szCs w:val="20"/>
        </w:rPr>
        <w:t xml:space="preserve"> </w:t>
      </w:r>
    </w:p>
    <w:p w:rsidR="006517E8" w:rsidRDefault="006517E8" w:rsidP="004C28F4">
      <w:pPr>
        <w:jc w:val="both"/>
        <w:rPr>
          <w:rFonts w:ascii="Segoe UI" w:hAnsi="Segoe UI" w:cs="Segoe UI"/>
          <w:i/>
          <w:color w:val="0D0D0D" w:themeColor="text1" w:themeTint="F2"/>
          <w:sz w:val="18"/>
          <w:szCs w:val="20"/>
        </w:rPr>
      </w:pPr>
    </w:p>
    <w:p w:rsidR="00BC04E0" w:rsidRPr="00BC04E0" w:rsidRDefault="00BC04E0" w:rsidP="004C28F4">
      <w:pPr>
        <w:jc w:val="both"/>
        <w:rPr>
          <w:rFonts w:ascii="Segoe UI" w:hAnsi="Segoe UI" w:cs="Segoe UI"/>
          <w:i/>
          <w:color w:val="0D0D0D" w:themeColor="text1" w:themeTint="F2"/>
          <w:sz w:val="18"/>
          <w:szCs w:val="20"/>
        </w:rPr>
      </w:pPr>
      <w:r w:rsidRPr="00BC04E0">
        <w:rPr>
          <w:rFonts w:ascii="Segoe UI" w:hAnsi="Segoe UI" w:cs="Segoe UI"/>
          <w:i/>
          <w:color w:val="0D0D0D" w:themeColor="text1" w:themeTint="F2"/>
          <w:sz w:val="18"/>
          <w:szCs w:val="20"/>
        </w:rPr>
        <w:t>Κατά τους επόμενους μήνες</w:t>
      </w:r>
      <w:r w:rsidR="00196646">
        <w:rPr>
          <w:rFonts w:ascii="Segoe UI" w:hAnsi="Segoe UI" w:cs="Segoe UI"/>
          <w:i/>
          <w:color w:val="0D0D0D" w:themeColor="text1" w:themeTint="F2"/>
          <w:sz w:val="18"/>
          <w:szCs w:val="20"/>
        </w:rPr>
        <w:t>,</w:t>
      </w:r>
      <w:r w:rsidRPr="00BC04E0">
        <w:rPr>
          <w:rFonts w:ascii="Segoe UI" w:hAnsi="Segoe UI" w:cs="Segoe UI"/>
          <w:i/>
          <w:color w:val="0D0D0D" w:themeColor="text1" w:themeTint="F2"/>
          <w:sz w:val="18"/>
          <w:szCs w:val="20"/>
        </w:rPr>
        <w:t xml:space="preserve"> </w:t>
      </w:r>
      <w:r w:rsidR="00196646" w:rsidRPr="00BC04E0">
        <w:rPr>
          <w:rFonts w:ascii="Segoe UI" w:hAnsi="Segoe UI" w:cs="Segoe UI"/>
          <w:i/>
          <w:color w:val="0D0D0D" w:themeColor="text1" w:themeTint="F2"/>
          <w:sz w:val="18"/>
          <w:szCs w:val="20"/>
        </w:rPr>
        <w:t>στ</w:t>
      </w:r>
      <w:r w:rsidR="00196646">
        <w:rPr>
          <w:rFonts w:ascii="Segoe UI" w:hAnsi="Segoe UI" w:cs="Segoe UI"/>
          <w:i/>
          <w:color w:val="0D0D0D" w:themeColor="text1" w:themeTint="F2"/>
          <w:sz w:val="18"/>
          <w:szCs w:val="20"/>
        </w:rPr>
        <w:t>α</w:t>
      </w:r>
      <w:r w:rsidR="00196646" w:rsidRPr="00BC04E0">
        <w:rPr>
          <w:rFonts w:ascii="Segoe UI" w:hAnsi="Segoe UI" w:cs="Segoe UI"/>
          <w:i/>
          <w:color w:val="0D0D0D" w:themeColor="text1" w:themeTint="F2"/>
          <w:sz w:val="18"/>
          <w:szCs w:val="20"/>
        </w:rPr>
        <w:t xml:space="preserve"> πλαίσι</w:t>
      </w:r>
      <w:r w:rsidR="00196646">
        <w:rPr>
          <w:rFonts w:ascii="Segoe UI" w:hAnsi="Segoe UI" w:cs="Segoe UI"/>
          <w:i/>
          <w:color w:val="0D0D0D" w:themeColor="text1" w:themeTint="F2"/>
          <w:sz w:val="18"/>
          <w:szCs w:val="20"/>
        </w:rPr>
        <w:t>α</w:t>
      </w:r>
      <w:r w:rsidR="00196646" w:rsidRPr="00BC04E0">
        <w:rPr>
          <w:rFonts w:ascii="Segoe UI" w:hAnsi="Segoe UI" w:cs="Segoe UI"/>
          <w:i/>
          <w:color w:val="0D0D0D" w:themeColor="text1" w:themeTint="F2"/>
          <w:sz w:val="18"/>
          <w:szCs w:val="20"/>
        </w:rPr>
        <w:t xml:space="preserve"> του προγράμματος μετασχηματισμού της ΕΤΕ</w:t>
      </w:r>
      <w:r w:rsidR="00196646">
        <w:rPr>
          <w:rFonts w:ascii="Segoe UI" w:hAnsi="Segoe UI" w:cs="Segoe UI"/>
          <w:i/>
          <w:color w:val="0D0D0D" w:themeColor="text1" w:themeTint="F2"/>
          <w:sz w:val="18"/>
          <w:szCs w:val="20"/>
        </w:rPr>
        <w:t>,</w:t>
      </w:r>
      <w:r w:rsidR="00196646" w:rsidRPr="00BC04E0">
        <w:rPr>
          <w:rFonts w:ascii="Segoe UI" w:hAnsi="Segoe UI" w:cs="Segoe UI"/>
          <w:i/>
          <w:color w:val="0D0D0D" w:themeColor="text1" w:themeTint="F2"/>
          <w:sz w:val="18"/>
          <w:szCs w:val="20"/>
        </w:rPr>
        <w:t xml:space="preserve"> </w:t>
      </w:r>
      <w:r w:rsidR="00C0540A">
        <w:rPr>
          <w:rFonts w:ascii="Segoe UI" w:hAnsi="Segoe UI" w:cs="Segoe UI"/>
          <w:i/>
          <w:color w:val="0D0D0D" w:themeColor="text1" w:themeTint="F2"/>
          <w:sz w:val="18"/>
          <w:szCs w:val="20"/>
        </w:rPr>
        <w:t>θα προχωρήσουμε σε</w:t>
      </w:r>
      <w:r w:rsidR="00F045E4">
        <w:rPr>
          <w:rFonts w:ascii="Segoe UI" w:hAnsi="Segoe UI" w:cs="Segoe UI"/>
          <w:i/>
          <w:color w:val="0D0D0D" w:themeColor="text1" w:themeTint="F2"/>
          <w:sz w:val="18"/>
          <w:szCs w:val="20"/>
        </w:rPr>
        <w:t xml:space="preserve"> </w:t>
      </w:r>
      <w:r w:rsidRPr="00BC04E0">
        <w:rPr>
          <w:rFonts w:ascii="Segoe UI" w:hAnsi="Segoe UI" w:cs="Segoe UI"/>
          <w:i/>
          <w:color w:val="0D0D0D" w:themeColor="text1" w:themeTint="F2"/>
          <w:sz w:val="18"/>
          <w:szCs w:val="20"/>
        </w:rPr>
        <w:t xml:space="preserve">δύο συναλλαγές </w:t>
      </w:r>
      <w:r w:rsidR="00196646">
        <w:rPr>
          <w:rFonts w:ascii="Segoe UI" w:hAnsi="Segoe UI" w:cs="Segoe UI"/>
          <w:i/>
          <w:color w:val="0D0D0D" w:themeColor="text1" w:themeTint="F2"/>
          <w:sz w:val="18"/>
          <w:szCs w:val="20"/>
        </w:rPr>
        <w:t xml:space="preserve">υψίστης σημασίας για την Τράπεζα </w:t>
      </w:r>
      <w:r w:rsidRPr="00BC04E0">
        <w:rPr>
          <w:rFonts w:ascii="Segoe UI" w:hAnsi="Segoe UI" w:cs="Segoe UI"/>
          <w:i/>
          <w:color w:val="0D0D0D" w:themeColor="text1" w:themeTint="F2"/>
          <w:sz w:val="18"/>
          <w:szCs w:val="20"/>
        </w:rPr>
        <w:t xml:space="preserve">– την </w:t>
      </w:r>
      <w:r w:rsidR="0041286B">
        <w:rPr>
          <w:rFonts w:ascii="Segoe UI" w:hAnsi="Segoe UI" w:cs="Segoe UI"/>
          <w:i/>
          <w:color w:val="0D0D0D" w:themeColor="text1" w:themeTint="F2"/>
          <w:sz w:val="18"/>
          <w:szCs w:val="20"/>
        </w:rPr>
        <w:t>αποεπένδυση από την</w:t>
      </w:r>
      <w:r w:rsidRPr="00BC04E0">
        <w:rPr>
          <w:rFonts w:ascii="Segoe UI" w:hAnsi="Segoe UI" w:cs="Segoe UI"/>
          <w:i/>
          <w:color w:val="0D0D0D" w:themeColor="text1" w:themeTint="F2"/>
          <w:sz w:val="18"/>
          <w:szCs w:val="20"/>
        </w:rPr>
        <w:t xml:space="preserve"> </w:t>
      </w:r>
      <w:r w:rsidR="00235570">
        <w:rPr>
          <w:rFonts w:ascii="Segoe UI" w:hAnsi="Segoe UI" w:cs="Segoe UI"/>
          <w:i/>
          <w:color w:val="0D0D0D" w:themeColor="text1" w:themeTint="F2"/>
          <w:sz w:val="18"/>
          <w:szCs w:val="20"/>
        </w:rPr>
        <w:t>Εθνική Α</w:t>
      </w:r>
      <w:r w:rsidRPr="00BC04E0">
        <w:rPr>
          <w:rFonts w:ascii="Segoe UI" w:hAnsi="Segoe UI" w:cs="Segoe UI"/>
          <w:i/>
          <w:color w:val="0D0D0D" w:themeColor="text1" w:themeTint="F2"/>
          <w:sz w:val="18"/>
          <w:szCs w:val="20"/>
        </w:rPr>
        <w:t xml:space="preserve">σφαλιστική και την τιτλοποίηση </w:t>
      </w:r>
      <w:r w:rsidR="00235570">
        <w:rPr>
          <w:rFonts w:ascii="Segoe UI" w:hAnsi="Segoe UI" w:cs="Segoe UI"/>
          <w:i/>
          <w:color w:val="0D0D0D" w:themeColor="text1" w:themeTint="F2"/>
          <w:sz w:val="18"/>
          <w:szCs w:val="20"/>
        </w:rPr>
        <w:t>Μη Εξυπηρετούμενων Ανοιγμάτων (</w:t>
      </w:r>
      <w:r w:rsidR="00235570" w:rsidRPr="00235570">
        <w:rPr>
          <w:rFonts w:ascii="Segoe UI" w:hAnsi="Segoe UI" w:cs="Segoe UI"/>
          <w:i/>
          <w:color w:val="0D0D0D" w:themeColor="text1" w:themeTint="F2"/>
          <w:sz w:val="18"/>
          <w:szCs w:val="20"/>
        </w:rPr>
        <w:t>Project Frontier</w:t>
      </w:r>
      <w:r w:rsidR="00235570">
        <w:rPr>
          <w:rFonts w:ascii="Segoe UI" w:hAnsi="Segoe UI" w:cs="Segoe UI"/>
          <w:i/>
          <w:color w:val="0D0D0D" w:themeColor="text1" w:themeTint="F2"/>
          <w:sz w:val="18"/>
          <w:szCs w:val="20"/>
        </w:rPr>
        <w:t>)</w:t>
      </w:r>
      <w:r w:rsidRPr="00BC04E0">
        <w:rPr>
          <w:rFonts w:ascii="Segoe UI" w:hAnsi="Segoe UI" w:cs="Segoe UI"/>
          <w:i/>
          <w:color w:val="0D0D0D" w:themeColor="text1" w:themeTint="F2"/>
          <w:sz w:val="18"/>
          <w:szCs w:val="20"/>
        </w:rPr>
        <w:t xml:space="preserve">. Με την πρώτη συναλλαγή επιδιώκουμε να </w:t>
      </w:r>
      <w:r w:rsidR="00DF3AE3">
        <w:rPr>
          <w:rFonts w:ascii="Segoe UI" w:hAnsi="Segoe UI" w:cs="Segoe UI"/>
          <w:i/>
          <w:color w:val="0D0D0D" w:themeColor="text1" w:themeTint="F2"/>
          <w:sz w:val="18"/>
          <w:szCs w:val="20"/>
        </w:rPr>
        <w:t>ενδυναμώσουμε</w:t>
      </w:r>
      <w:r w:rsidR="00321864">
        <w:rPr>
          <w:rFonts w:ascii="Segoe UI" w:hAnsi="Segoe UI" w:cs="Segoe UI"/>
          <w:i/>
          <w:color w:val="0D0D0D" w:themeColor="text1" w:themeTint="F2"/>
          <w:sz w:val="18"/>
          <w:szCs w:val="20"/>
        </w:rPr>
        <w:t xml:space="preserve"> </w:t>
      </w:r>
      <w:r w:rsidR="006E4E74">
        <w:rPr>
          <w:rFonts w:ascii="Segoe UI" w:hAnsi="Segoe UI" w:cs="Segoe UI"/>
          <w:i/>
          <w:color w:val="0D0D0D" w:themeColor="text1" w:themeTint="F2"/>
          <w:sz w:val="18"/>
          <w:szCs w:val="20"/>
        </w:rPr>
        <w:t xml:space="preserve">περαιτέρω </w:t>
      </w:r>
      <w:r w:rsidR="00321864">
        <w:rPr>
          <w:rFonts w:ascii="Segoe UI" w:hAnsi="Segoe UI" w:cs="Segoe UI"/>
          <w:i/>
          <w:color w:val="0D0D0D" w:themeColor="text1" w:themeTint="F2"/>
          <w:sz w:val="18"/>
          <w:szCs w:val="20"/>
        </w:rPr>
        <w:t xml:space="preserve">την </w:t>
      </w:r>
      <w:r w:rsidR="00056F22">
        <w:rPr>
          <w:rFonts w:ascii="Segoe UI" w:hAnsi="Segoe UI" w:cs="Segoe UI"/>
          <w:i/>
          <w:color w:val="0D0D0D" w:themeColor="text1" w:themeTint="F2"/>
          <w:sz w:val="18"/>
          <w:szCs w:val="20"/>
        </w:rPr>
        <w:t xml:space="preserve">ισχυρή </w:t>
      </w:r>
      <w:r w:rsidR="00C271AB">
        <w:rPr>
          <w:rFonts w:ascii="Segoe UI" w:hAnsi="Segoe UI" w:cs="Segoe UI"/>
          <w:i/>
          <w:color w:val="0D0D0D" w:themeColor="text1" w:themeTint="F2"/>
          <w:sz w:val="18"/>
          <w:szCs w:val="20"/>
        </w:rPr>
        <w:t xml:space="preserve">θέση μας </w:t>
      </w:r>
      <w:r w:rsidRPr="00BC04E0">
        <w:rPr>
          <w:rFonts w:ascii="Segoe UI" w:hAnsi="Segoe UI" w:cs="Segoe UI"/>
          <w:i/>
          <w:color w:val="0D0D0D" w:themeColor="text1" w:themeTint="F2"/>
          <w:sz w:val="18"/>
          <w:szCs w:val="20"/>
        </w:rPr>
        <w:t xml:space="preserve">στην </w:t>
      </w:r>
      <w:r w:rsidR="001760BD">
        <w:rPr>
          <w:rFonts w:ascii="Segoe UI" w:hAnsi="Segoe UI" w:cs="Segoe UI"/>
          <w:i/>
          <w:color w:val="0D0D0D" w:themeColor="text1" w:themeTint="F2"/>
          <w:sz w:val="18"/>
          <w:szCs w:val="20"/>
        </w:rPr>
        <w:t xml:space="preserve">χαμηλής διείσδυσης </w:t>
      </w:r>
      <w:r w:rsidRPr="00BC04E0">
        <w:rPr>
          <w:rFonts w:ascii="Segoe UI" w:hAnsi="Segoe UI" w:cs="Segoe UI"/>
          <w:i/>
          <w:color w:val="0D0D0D" w:themeColor="text1" w:themeTint="F2"/>
          <w:sz w:val="18"/>
          <w:szCs w:val="20"/>
        </w:rPr>
        <w:t xml:space="preserve">ασφαλιστική αγορά μέσω </w:t>
      </w:r>
      <w:r w:rsidR="00F84F85">
        <w:rPr>
          <w:rFonts w:ascii="Segoe UI" w:hAnsi="Segoe UI" w:cs="Segoe UI"/>
          <w:i/>
          <w:color w:val="0D0D0D" w:themeColor="text1" w:themeTint="F2"/>
          <w:sz w:val="18"/>
          <w:szCs w:val="20"/>
        </w:rPr>
        <w:t xml:space="preserve">του δικτύου των </w:t>
      </w:r>
      <w:r w:rsidR="00DC46D5">
        <w:rPr>
          <w:rFonts w:ascii="Segoe UI" w:hAnsi="Segoe UI" w:cs="Segoe UI"/>
          <w:i/>
          <w:color w:val="0D0D0D" w:themeColor="text1" w:themeTint="F2"/>
          <w:sz w:val="18"/>
          <w:szCs w:val="20"/>
        </w:rPr>
        <w:t>καταστημάτων της Τράπεζας</w:t>
      </w:r>
      <w:r w:rsidRPr="00BC04E0">
        <w:rPr>
          <w:rFonts w:ascii="Segoe UI" w:hAnsi="Segoe UI" w:cs="Segoe UI"/>
          <w:i/>
          <w:color w:val="0D0D0D" w:themeColor="text1" w:themeTint="F2"/>
          <w:sz w:val="18"/>
          <w:szCs w:val="20"/>
        </w:rPr>
        <w:t xml:space="preserve">. </w:t>
      </w:r>
      <w:r w:rsidR="006B1FA8">
        <w:rPr>
          <w:rFonts w:ascii="Segoe UI" w:hAnsi="Segoe UI" w:cs="Segoe UI"/>
          <w:i/>
          <w:color w:val="0D0D0D" w:themeColor="text1" w:themeTint="F2"/>
          <w:sz w:val="18"/>
          <w:szCs w:val="20"/>
          <w:lang w:val="en-US"/>
        </w:rPr>
        <w:t>To</w:t>
      </w:r>
      <w:r w:rsidR="006B1FA8" w:rsidRPr="006B1FA8">
        <w:rPr>
          <w:rFonts w:ascii="Segoe UI" w:hAnsi="Segoe UI" w:cs="Segoe UI"/>
          <w:i/>
          <w:color w:val="0D0D0D" w:themeColor="text1" w:themeTint="F2"/>
          <w:sz w:val="18"/>
          <w:szCs w:val="20"/>
        </w:rPr>
        <w:t xml:space="preserve"> </w:t>
      </w:r>
      <w:r w:rsidR="006B1FA8" w:rsidRPr="00235570">
        <w:rPr>
          <w:rFonts w:ascii="Segoe UI" w:hAnsi="Segoe UI" w:cs="Segoe UI"/>
          <w:i/>
          <w:color w:val="0D0D0D" w:themeColor="text1" w:themeTint="F2"/>
          <w:sz w:val="18"/>
          <w:szCs w:val="20"/>
        </w:rPr>
        <w:t>Project Frontier</w:t>
      </w:r>
      <w:r w:rsidR="00F84F85">
        <w:rPr>
          <w:rFonts w:ascii="Segoe UI" w:hAnsi="Segoe UI" w:cs="Segoe UI"/>
          <w:i/>
          <w:color w:val="0D0D0D" w:themeColor="text1" w:themeTint="F2"/>
          <w:sz w:val="18"/>
          <w:szCs w:val="20"/>
        </w:rPr>
        <w:t xml:space="preserve"> που θα </w:t>
      </w:r>
      <w:r w:rsidR="00056F22">
        <w:rPr>
          <w:rFonts w:ascii="Segoe UI" w:hAnsi="Segoe UI" w:cs="Segoe UI"/>
          <w:i/>
          <w:color w:val="0D0D0D" w:themeColor="text1" w:themeTint="F2"/>
          <w:sz w:val="18"/>
          <w:szCs w:val="20"/>
        </w:rPr>
        <w:t xml:space="preserve">εκκινήσει </w:t>
      </w:r>
      <w:r w:rsidR="00377D4F">
        <w:rPr>
          <w:rFonts w:ascii="Segoe UI" w:hAnsi="Segoe UI" w:cs="Segoe UI"/>
          <w:i/>
          <w:color w:val="0D0D0D" w:themeColor="text1" w:themeTint="F2"/>
          <w:sz w:val="18"/>
          <w:szCs w:val="20"/>
        </w:rPr>
        <w:t>σε μερικές εβδομάδες</w:t>
      </w:r>
      <w:r w:rsidR="00056F22">
        <w:rPr>
          <w:rFonts w:ascii="Segoe UI" w:hAnsi="Segoe UI" w:cs="Segoe UI"/>
          <w:i/>
          <w:color w:val="0D0D0D" w:themeColor="text1" w:themeTint="F2"/>
          <w:sz w:val="18"/>
          <w:szCs w:val="20"/>
        </w:rPr>
        <w:t xml:space="preserve"> </w:t>
      </w:r>
      <w:r w:rsidR="00F84F85" w:rsidRPr="00F84F85">
        <w:rPr>
          <w:rFonts w:ascii="Segoe UI" w:hAnsi="Segoe UI" w:cs="Segoe UI"/>
          <w:i/>
          <w:color w:val="0D0D0D" w:themeColor="text1" w:themeTint="F2"/>
          <w:sz w:val="18"/>
          <w:szCs w:val="20"/>
        </w:rPr>
        <w:t>θα συντελέσει στη δραστική μείωση του τρέχοντος υπολοίπου Μη Εξυπηρετούμενων Ανοιγμάτων της ΕΤΕ ύψους</w:t>
      </w:r>
      <w:r w:rsidR="0057757E">
        <w:rPr>
          <w:rFonts w:ascii="Segoe UI" w:hAnsi="Segoe UI" w:cs="Segoe UI"/>
          <w:i/>
          <w:color w:val="0D0D0D" w:themeColor="text1" w:themeTint="F2"/>
          <w:sz w:val="18"/>
          <w:szCs w:val="20"/>
        </w:rPr>
        <w:t xml:space="preserve"> περίπου</w:t>
      </w:r>
      <w:r w:rsidR="00F84F85" w:rsidRPr="00F84F85">
        <w:rPr>
          <w:rFonts w:ascii="Segoe UI" w:hAnsi="Segoe UI" w:cs="Segoe UI"/>
          <w:i/>
          <w:color w:val="0D0D0D" w:themeColor="text1" w:themeTint="F2"/>
          <w:sz w:val="18"/>
          <w:szCs w:val="20"/>
        </w:rPr>
        <w:t xml:space="preserve"> €10 δισ. κατά </w:t>
      </w:r>
      <w:r w:rsidR="00DC2D9E">
        <w:rPr>
          <w:rFonts w:ascii="Segoe UI" w:hAnsi="Segoe UI" w:cs="Segoe UI"/>
          <w:i/>
          <w:color w:val="0D0D0D" w:themeColor="text1" w:themeTint="F2"/>
          <w:sz w:val="18"/>
          <w:szCs w:val="20"/>
        </w:rPr>
        <w:t xml:space="preserve">περίπου </w:t>
      </w:r>
      <w:r w:rsidR="00CD549D">
        <w:rPr>
          <w:rFonts w:ascii="Segoe UI" w:hAnsi="Segoe UI" w:cs="Segoe UI"/>
          <w:i/>
          <w:color w:val="0D0D0D" w:themeColor="text1" w:themeTint="F2"/>
          <w:sz w:val="18"/>
          <w:szCs w:val="20"/>
        </w:rPr>
        <w:t>€6,</w:t>
      </w:r>
      <w:r w:rsidR="00DC2D9E">
        <w:rPr>
          <w:rFonts w:ascii="Segoe UI" w:hAnsi="Segoe UI" w:cs="Segoe UI"/>
          <w:i/>
          <w:color w:val="0D0D0D" w:themeColor="text1" w:themeTint="F2"/>
          <w:sz w:val="18"/>
          <w:szCs w:val="20"/>
        </w:rPr>
        <w:t>0</w:t>
      </w:r>
      <w:r w:rsidR="00CD549D">
        <w:rPr>
          <w:rFonts w:ascii="Segoe UI" w:hAnsi="Segoe UI" w:cs="Segoe UI"/>
          <w:i/>
          <w:color w:val="0D0D0D" w:themeColor="text1" w:themeTint="F2"/>
          <w:sz w:val="18"/>
          <w:szCs w:val="20"/>
        </w:rPr>
        <w:t xml:space="preserve"> δισ.</w:t>
      </w:r>
      <w:r w:rsidRPr="00BC04E0">
        <w:rPr>
          <w:rFonts w:ascii="Segoe UI" w:hAnsi="Segoe UI" w:cs="Segoe UI"/>
          <w:i/>
          <w:color w:val="0D0D0D" w:themeColor="text1" w:themeTint="F2"/>
          <w:sz w:val="18"/>
          <w:szCs w:val="20"/>
        </w:rPr>
        <w:t xml:space="preserve"> Πρόσθετες </w:t>
      </w:r>
      <w:r w:rsidR="00346716">
        <w:rPr>
          <w:rFonts w:ascii="Segoe UI" w:hAnsi="Segoe UI" w:cs="Segoe UI"/>
          <w:i/>
          <w:color w:val="0D0D0D" w:themeColor="text1" w:themeTint="F2"/>
          <w:sz w:val="18"/>
          <w:szCs w:val="20"/>
        </w:rPr>
        <w:t xml:space="preserve">οργανικές και </w:t>
      </w:r>
      <w:r w:rsidRPr="00BC04E0">
        <w:rPr>
          <w:rFonts w:ascii="Segoe UI" w:hAnsi="Segoe UI" w:cs="Segoe UI"/>
          <w:i/>
          <w:color w:val="0D0D0D" w:themeColor="text1" w:themeTint="F2"/>
          <w:sz w:val="18"/>
          <w:szCs w:val="20"/>
        </w:rPr>
        <w:t xml:space="preserve">μη ενέργειες αναμένεται να μειώσουν </w:t>
      </w:r>
      <w:r w:rsidR="00346716">
        <w:rPr>
          <w:rFonts w:ascii="Segoe UI" w:hAnsi="Segoe UI" w:cs="Segoe UI"/>
          <w:i/>
          <w:color w:val="0D0D0D" w:themeColor="text1" w:themeTint="F2"/>
          <w:sz w:val="18"/>
          <w:szCs w:val="20"/>
        </w:rPr>
        <w:t xml:space="preserve">περαιτέρω </w:t>
      </w:r>
      <w:r w:rsidR="0040008D">
        <w:rPr>
          <w:rFonts w:ascii="Segoe UI" w:hAnsi="Segoe UI" w:cs="Segoe UI"/>
          <w:i/>
          <w:color w:val="0D0D0D" w:themeColor="text1" w:themeTint="F2"/>
          <w:sz w:val="18"/>
          <w:szCs w:val="20"/>
        </w:rPr>
        <w:t xml:space="preserve">τα </w:t>
      </w:r>
      <w:r w:rsidR="0040008D" w:rsidRPr="0040008D">
        <w:rPr>
          <w:rFonts w:ascii="Segoe UI" w:hAnsi="Segoe UI" w:cs="Segoe UI"/>
          <w:i/>
          <w:color w:val="0D0D0D" w:themeColor="text1" w:themeTint="F2"/>
          <w:sz w:val="18"/>
          <w:szCs w:val="20"/>
        </w:rPr>
        <w:t>Μη Εξυπηρετούμεν</w:t>
      </w:r>
      <w:r w:rsidR="0040008D">
        <w:rPr>
          <w:rFonts w:ascii="Segoe UI" w:hAnsi="Segoe UI" w:cs="Segoe UI"/>
          <w:i/>
          <w:color w:val="0D0D0D" w:themeColor="text1" w:themeTint="F2"/>
          <w:sz w:val="18"/>
          <w:szCs w:val="20"/>
        </w:rPr>
        <w:t xml:space="preserve">α </w:t>
      </w:r>
      <w:r w:rsidR="0040008D" w:rsidRPr="0040008D">
        <w:rPr>
          <w:rFonts w:ascii="Segoe UI" w:hAnsi="Segoe UI" w:cs="Segoe UI"/>
          <w:i/>
          <w:color w:val="0D0D0D" w:themeColor="text1" w:themeTint="F2"/>
          <w:sz w:val="18"/>
          <w:szCs w:val="20"/>
        </w:rPr>
        <w:t>Ανο</w:t>
      </w:r>
      <w:r w:rsidR="0040008D">
        <w:rPr>
          <w:rFonts w:ascii="Segoe UI" w:hAnsi="Segoe UI" w:cs="Segoe UI"/>
          <w:i/>
          <w:color w:val="0D0D0D" w:themeColor="text1" w:themeTint="F2"/>
          <w:sz w:val="18"/>
          <w:szCs w:val="20"/>
        </w:rPr>
        <w:t>ίγματα τ</w:t>
      </w:r>
      <w:r w:rsidRPr="00BC04E0">
        <w:rPr>
          <w:rFonts w:ascii="Segoe UI" w:hAnsi="Segoe UI" w:cs="Segoe UI"/>
          <w:i/>
          <w:color w:val="0D0D0D" w:themeColor="text1" w:themeTint="F2"/>
          <w:sz w:val="18"/>
          <w:szCs w:val="20"/>
        </w:rPr>
        <w:t xml:space="preserve">ης </w:t>
      </w:r>
      <w:r w:rsidR="00B60FF1">
        <w:rPr>
          <w:rFonts w:ascii="Segoe UI" w:hAnsi="Segoe UI" w:cs="Segoe UI"/>
          <w:i/>
          <w:color w:val="0D0D0D" w:themeColor="text1" w:themeTint="F2"/>
          <w:sz w:val="18"/>
          <w:szCs w:val="20"/>
        </w:rPr>
        <w:t>Τράπεζας</w:t>
      </w:r>
      <w:r w:rsidRPr="00BC04E0">
        <w:rPr>
          <w:rFonts w:ascii="Segoe UI" w:hAnsi="Segoe UI" w:cs="Segoe UI"/>
          <w:i/>
          <w:color w:val="0D0D0D" w:themeColor="text1" w:themeTint="F2"/>
          <w:sz w:val="18"/>
          <w:szCs w:val="20"/>
        </w:rPr>
        <w:t xml:space="preserve"> εντός του 2021. </w:t>
      </w:r>
    </w:p>
    <w:p w:rsidR="004C28F4" w:rsidRDefault="004C28F4" w:rsidP="004C28F4">
      <w:pPr>
        <w:jc w:val="both"/>
        <w:rPr>
          <w:rFonts w:ascii="Segoe UI" w:hAnsi="Segoe UI" w:cs="Segoe UI"/>
          <w:i/>
          <w:color w:val="0D0D0D" w:themeColor="text1" w:themeTint="F2"/>
          <w:sz w:val="18"/>
          <w:szCs w:val="20"/>
        </w:rPr>
      </w:pPr>
    </w:p>
    <w:p w:rsidR="00BC04E0" w:rsidRPr="00BC04E0" w:rsidRDefault="00BC04E0" w:rsidP="004C28F4">
      <w:pPr>
        <w:jc w:val="both"/>
        <w:rPr>
          <w:rFonts w:ascii="Segoe UI" w:hAnsi="Segoe UI" w:cs="Segoe UI"/>
          <w:i/>
          <w:color w:val="0D0D0D" w:themeColor="text1" w:themeTint="F2"/>
          <w:sz w:val="18"/>
          <w:szCs w:val="20"/>
        </w:rPr>
      </w:pPr>
      <w:r w:rsidRPr="00BC04E0">
        <w:rPr>
          <w:rFonts w:ascii="Segoe UI" w:hAnsi="Segoe UI" w:cs="Segoe UI"/>
          <w:i/>
          <w:color w:val="0D0D0D" w:themeColor="text1" w:themeTint="F2"/>
          <w:sz w:val="18"/>
          <w:szCs w:val="20"/>
        </w:rPr>
        <w:t>Όσον αφορά τ</w:t>
      </w:r>
      <w:r w:rsidR="0083113F">
        <w:rPr>
          <w:rFonts w:ascii="Segoe UI" w:hAnsi="Segoe UI" w:cs="Segoe UI"/>
          <w:i/>
          <w:color w:val="0D0D0D" w:themeColor="text1" w:themeTint="F2"/>
          <w:sz w:val="18"/>
          <w:szCs w:val="20"/>
        </w:rPr>
        <w:t xml:space="preserve">η </w:t>
      </w:r>
      <w:r w:rsidRPr="00BC04E0">
        <w:rPr>
          <w:rFonts w:ascii="Segoe UI" w:hAnsi="Segoe UI" w:cs="Segoe UI"/>
          <w:i/>
          <w:color w:val="0D0D0D" w:themeColor="text1" w:themeTint="F2"/>
          <w:sz w:val="18"/>
          <w:szCs w:val="20"/>
        </w:rPr>
        <w:t>λειτουργικ</w:t>
      </w:r>
      <w:r w:rsidR="0083113F">
        <w:rPr>
          <w:rFonts w:ascii="Segoe UI" w:hAnsi="Segoe UI" w:cs="Segoe UI"/>
          <w:i/>
          <w:color w:val="0D0D0D" w:themeColor="text1" w:themeTint="F2"/>
          <w:sz w:val="18"/>
          <w:szCs w:val="20"/>
        </w:rPr>
        <w:t xml:space="preserve">ή κερδοφορία </w:t>
      </w:r>
      <w:r w:rsidRPr="00BC04E0">
        <w:rPr>
          <w:rFonts w:ascii="Segoe UI" w:hAnsi="Segoe UI" w:cs="Segoe UI"/>
          <w:i/>
          <w:color w:val="0D0D0D" w:themeColor="text1" w:themeTint="F2"/>
          <w:sz w:val="18"/>
          <w:szCs w:val="20"/>
        </w:rPr>
        <w:t xml:space="preserve">μας, </w:t>
      </w:r>
      <w:r w:rsidR="0083113F">
        <w:rPr>
          <w:rFonts w:ascii="Segoe UI" w:hAnsi="Segoe UI" w:cs="Segoe UI"/>
          <w:i/>
          <w:color w:val="0D0D0D" w:themeColor="text1" w:themeTint="F2"/>
          <w:sz w:val="18"/>
          <w:szCs w:val="20"/>
        </w:rPr>
        <w:t>τ</w:t>
      </w:r>
      <w:r w:rsidR="0083113F" w:rsidRPr="0083113F">
        <w:rPr>
          <w:rFonts w:ascii="Segoe UI" w:hAnsi="Segoe UI" w:cs="Segoe UI"/>
          <w:i/>
          <w:color w:val="0D0D0D" w:themeColor="text1" w:themeTint="F2"/>
          <w:sz w:val="18"/>
          <w:szCs w:val="20"/>
        </w:rPr>
        <w:t xml:space="preserve">α κέρδη </w:t>
      </w:r>
      <w:r w:rsidR="0083113F">
        <w:rPr>
          <w:rFonts w:ascii="Segoe UI" w:hAnsi="Segoe UI" w:cs="Segoe UI"/>
          <w:i/>
          <w:color w:val="0D0D0D" w:themeColor="text1" w:themeTint="F2"/>
          <w:sz w:val="18"/>
          <w:szCs w:val="20"/>
        </w:rPr>
        <w:t xml:space="preserve">του </w:t>
      </w:r>
      <w:r w:rsidR="0083113F" w:rsidRPr="0083113F">
        <w:rPr>
          <w:rFonts w:ascii="Segoe UI" w:hAnsi="Segoe UI" w:cs="Segoe UI"/>
          <w:i/>
          <w:color w:val="0D0D0D" w:themeColor="text1" w:themeTint="F2"/>
          <w:sz w:val="18"/>
          <w:szCs w:val="20"/>
        </w:rPr>
        <w:t>Εννε</w:t>
      </w:r>
      <w:r w:rsidR="0083113F">
        <w:rPr>
          <w:rFonts w:ascii="Segoe UI" w:hAnsi="Segoe UI" w:cs="Segoe UI"/>
          <w:i/>
          <w:color w:val="0D0D0D" w:themeColor="text1" w:themeTint="F2"/>
          <w:sz w:val="18"/>
          <w:szCs w:val="20"/>
        </w:rPr>
        <w:t xml:space="preserve">αμήνου </w:t>
      </w:r>
      <w:r w:rsidR="0083113F" w:rsidRPr="0083113F">
        <w:rPr>
          <w:rFonts w:ascii="Segoe UI" w:hAnsi="Segoe UI" w:cs="Segoe UI"/>
          <w:i/>
          <w:color w:val="0D0D0D" w:themeColor="text1" w:themeTint="F2"/>
          <w:sz w:val="18"/>
          <w:szCs w:val="20"/>
        </w:rPr>
        <w:t xml:space="preserve">2020 </w:t>
      </w:r>
      <w:r w:rsidR="004C455C">
        <w:rPr>
          <w:rFonts w:ascii="Segoe UI" w:hAnsi="Segoe UI" w:cs="Segoe UI"/>
          <w:i/>
          <w:color w:val="0D0D0D" w:themeColor="text1" w:themeTint="F2"/>
          <w:sz w:val="18"/>
          <w:szCs w:val="20"/>
        </w:rPr>
        <w:t xml:space="preserve">αναλογούντα σε μετόχους της Τράπεζας </w:t>
      </w:r>
      <w:r w:rsidR="0083113F">
        <w:rPr>
          <w:rFonts w:ascii="Segoe UI" w:hAnsi="Segoe UI" w:cs="Segoe UI"/>
          <w:i/>
          <w:color w:val="0D0D0D" w:themeColor="text1" w:themeTint="F2"/>
          <w:sz w:val="18"/>
          <w:szCs w:val="20"/>
        </w:rPr>
        <w:t xml:space="preserve">ανήλθαν σε </w:t>
      </w:r>
      <w:r w:rsidRPr="00BC04E0">
        <w:rPr>
          <w:rFonts w:ascii="Segoe UI" w:hAnsi="Segoe UI" w:cs="Segoe UI"/>
          <w:i/>
          <w:color w:val="0D0D0D" w:themeColor="text1" w:themeTint="F2"/>
          <w:sz w:val="18"/>
          <w:szCs w:val="20"/>
        </w:rPr>
        <w:t xml:space="preserve">€461 εκατ., σημειώνοντας αύξηση της τάξεως του 22% σε </w:t>
      </w:r>
      <w:r w:rsidR="0083113F">
        <w:rPr>
          <w:rFonts w:ascii="Segoe UI" w:hAnsi="Segoe UI" w:cs="Segoe UI"/>
          <w:i/>
          <w:color w:val="0D0D0D" w:themeColor="text1" w:themeTint="F2"/>
          <w:sz w:val="18"/>
          <w:szCs w:val="20"/>
        </w:rPr>
        <w:t>ετήσια βάση</w:t>
      </w:r>
      <w:r w:rsidRPr="00BC04E0">
        <w:rPr>
          <w:rFonts w:ascii="Segoe UI" w:hAnsi="Segoe UI" w:cs="Segoe UI"/>
          <w:i/>
          <w:color w:val="0D0D0D" w:themeColor="text1" w:themeTint="F2"/>
          <w:sz w:val="18"/>
          <w:szCs w:val="20"/>
        </w:rPr>
        <w:t>,</w:t>
      </w:r>
      <w:r w:rsidR="0083113F">
        <w:rPr>
          <w:rFonts w:ascii="Segoe UI" w:hAnsi="Segoe UI" w:cs="Segoe UI"/>
          <w:i/>
          <w:color w:val="0D0D0D" w:themeColor="text1" w:themeTint="F2"/>
          <w:sz w:val="18"/>
          <w:szCs w:val="20"/>
        </w:rPr>
        <w:t xml:space="preserve"> </w:t>
      </w:r>
      <w:r w:rsidRPr="00BC04E0">
        <w:rPr>
          <w:rFonts w:ascii="Segoe UI" w:hAnsi="Segoe UI" w:cs="Segoe UI"/>
          <w:i/>
          <w:color w:val="0D0D0D" w:themeColor="text1" w:themeTint="F2"/>
          <w:sz w:val="18"/>
          <w:szCs w:val="20"/>
        </w:rPr>
        <w:t>απορροφώντας</w:t>
      </w:r>
      <w:r w:rsidR="00141CEE">
        <w:rPr>
          <w:rFonts w:ascii="Segoe UI" w:hAnsi="Segoe UI" w:cs="Segoe UI"/>
          <w:i/>
          <w:color w:val="0D0D0D" w:themeColor="text1" w:themeTint="F2"/>
          <w:sz w:val="18"/>
          <w:szCs w:val="20"/>
        </w:rPr>
        <w:t xml:space="preserve"> ήδη </w:t>
      </w:r>
      <w:r w:rsidR="00141CEE" w:rsidRPr="00141CEE">
        <w:rPr>
          <w:rFonts w:ascii="Segoe UI" w:hAnsi="Segoe UI" w:cs="Segoe UI"/>
          <w:i/>
          <w:color w:val="0D0D0D" w:themeColor="text1" w:themeTint="F2"/>
          <w:sz w:val="18"/>
          <w:szCs w:val="20"/>
        </w:rPr>
        <w:t xml:space="preserve">το </w:t>
      </w:r>
      <w:r w:rsidR="0057757E">
        <w:rPr>
          <w:rFonts w:ascii="Segoe UI" w:hAnsi="Segoe UI" w:cs="Segoe UI"/>
          <w:i/>
          <w:color w:val="0D0D0D" w:themeColor="text1" w:themeTint="F2"/>
          <w:sz w:val="18"/>
          <w:szCs w:val="20"/>
        </w:rPr>
        <w:t xml:space="preserve">αναμενόμενο </w:t>
      </w:r>
      <w:r w:rsidR="00141CEE" w:rsidRPr="00141CEE">
        <w:rPr>
          <w:rFonts w:ascii="Segoe UI" w:hAnsi="Segoe UI" w:cs="Segoe UI"/>
          <w:i/>
          <w:color w:val="0D0D0D" w:themeColor="text1" w:themeTint="F2"/>
          <w:sz w:val="18"/>
          <w:szCs w:val="20"/>
        </w:rPr>
        <w:t>κόστος πιστωτικού κινδύνου σχετιζόμεν</w:t>
      </w:r>
      <w:r w:rsidR="00141CEE">
        <w:rPr>
          <w:rFonts w:ascii="Segoe UI" w:hAnsi="Segoe UI" w:cs="Segoe UI"/>
          <w:i/>
          <w:color w:val="0D0D0D" w:themeColor="text1" w:themeTint="F2"/>
          <w:sz w:val="18"/>
          <w:szCs w:val="20"/>
        </w:rPr>
        <w:t>ο</w:t>
      </w:r>
      <w:r w:rsidR="00141CEE" w:rsidRPr="00141CEE">
        <w:rPr>
          <w:rFonts w:ascii="Segoe UI" w:hAnsi="Segoe UI" w:cs="Segoe UI"/>
          <w:i/>
          <w:color w:val="0D0D0D" w:themeColor="text1" w:themeTint="F2"/>
          <w:sz w:val="18"/>
          <w:szCs w:val="20"/>
        </w:rPr>
        <w:t xml:space="preserve"> με την πανδημία του κορωνοϊού</w:t>
      </w:r>
      <w:r w:rsidRPr="00BC04E0">
        <w:rPr>
          <w:rFonts w:ascii="Segoe UI" w:hAnsi="Segoe UI" w:cs="Segoe UI"/>
          <w:i/>
          <w:color w:val="0D0D0D" w:themeColor="text1" w:themeTint="F2"/>
          <w:sz w:val="18"/>
          <w:szCs w:val="20"/>
        </w:rPr>
        <w:t>,</w:t>
      </w:r>
      <w:r w:rsidR="004C455C">
        <w:rPr>
          <w:rFonts w:ascii="Segoe UI" w:hAnsi="Segoe UI" w:cs="Segoe UI"/>
          <w:i/>
          <w:color w:val="0D0D0D" w:themeColor="text1" w:themeTint="F2"/>
          <w:sz w:val="18"/>
          <w:szCs w:val="20"/>
        </w:rPr>
        <w:t xml:space="preserve"> </w:t>
      </w:r>
      <w:r w:rsidR="00141CEE">
        <w:rPr>
          <w:rFonts w:ascii="Segoe UI" w:hAnsi="Segoe UI" w:cs="Segoe UI"/>
          <w:i/>
          <w:color w:val="0D0D0D" w:themeColor="text1" w:themeTint="F2"/>
          <w:sz w:val="18"/>
          <w:szCs w:val="20"/>
        </w:rPr>
        <w:t>καθώς και το κ</w:t>
      </w:r>
      <w:r w:rsidRPr="00BC04E0">
        <w:rPr>
          <w:rFonts w:ascii="Segoe UI" w:hAnsi="Segoe UI" w:cs="Segoe UI"/>
          <w:i/>
          <w:color w:val="0D0D0D" w:themeColor="text1" w:themeTint="F2"/>
          <w:sz w:val="18"/>
          <w:szCs w:val="20"/>
        </w:rPr>
        <w:t xml:space="preserve">όστος του Προγράμματος Εθελούσιας Εξόδου που ξεκίνησε </w:t>
      </w:r>
      <w:r w:rsidR="00532890">
        <w:rPr>
          <w:rFonts w:ascii="Segoe UI" w:hAnsi="Segoe UI" w:cs="Segoe UI"/>
          <w:i/>
          <w:color w:val="0D0D0D" w:themeColor="text1" w:themeTint="F2"/>
          <w:sz w:val="18"/>
          <w:szCs w:val="20"/>
        </w:rPr>
        <w:t>νωρίτερα μέσα στο μήνα</w:t>
      </w:r>
      <w:r w:rsidRPr="00BC04E0">
        <w:rPr>
          <w:rFonts w:ascii="Segoe UI" w:hAnsi="Segoe UI" w:cs="Segoe UI"/>
          <w:i/>
          <w:color w:val="0D0D0D" w:themeColor="text1" w:themeTint="F2"/>
          <w:sz w:val="18"/>
          <w:szCs w:val="20"/>
        </w:rPr>
        <w:t xml:space="preserve">. Εξαιρουμένων των προβλέψεων που αφορούν την πανδημία του κορωνοϊού και των κερδών από χρηματοοικονομικές πράξεις, τα </w:t>
      </w:r>
      <w:r w:rsidR="003B1126">
        <w:rPr>
          <w:rFonts w:ascii="Segoe UI" w:hAnsi="Segoe UI" w:cs="Segoe UI"/>
          <w:i/>
          <w:color w:val="0D0D0D" w:themeColor="text1" w:themeTint="F2"/>
          <w:sz w:val="18"/>
          <w:szCs w:val="20"/>
        </w:rPr>
        <w:t>οργανικά</w:t>
      </w:r>
      <w:r w:rsidRPr="00BC04E0">
        <w:rPr>
          <w:rFonts w:ascii="Segoe UI" w:hAnsi="Segoe UI" w:cs="Segoe UI"/>
          <w:i/>
          <w:color w:val="0D0D0D" w:themeColor="text1" w:themeTint="F2"/>
          <w:sz w:val="18"/>
          <w:szCs w:val="20"/>
        </w:rPr>
        <w:t xml:space="preserve"> κέρδη για το </w:t>
      </w:r>
      <w:r w:rsidR="003B1126">
        <w:rPr>
          <w:rFonts w:ascii="Segoe UI" w:hAnsi="Segoe UI" w:cs="Segoe UI"/>
          <w:i/>
          <w:color w:val="0D0D0D" w:themeColor="text1" w:themeTint="F2"/>
          <w:sz w:val="18"/>
          <w:szCs w:val="20"/>
        </w:rPr>
        <w:t xml:space="preserve">Εννεάμηνο </w:t>
      </w:r>
      <w:r w:rsidRPr="00BC04E0">
        <w:rPr>
          <w:rFonts w:ascii="Segoe UI" w:hAnsi="Segoe UI" w:cs="Segoe UI"/>
          <w:i/>
          <w:color w:val="0D0D0D" w:themeColor="text1" w:themeTint="F2"/>
          <w:sz w:val="18"/>
          <w:szCs w:val="20"/>
        </w:rPr>
        <w:t xml:space="preserve">2020 ανήλθαν σε €228 εκατ., </w:t>
      </w:r>
      <w:r w:rsidR="00EE7955">
        <w:rPr>
          <w:rFonts w:ascii="Segoe UI" w:hAnsi="Segoe UI" w:cs="Segoe UI"/>
          <w:i/>
          <w:color w:val="0D0D0D" w:themeColor="text1" w:themeTint="F2"/>
          <w:sz w:val="18"/>
          <w:szCs w:val="20"/>
        </w:rPr>
        <w:t xml:space="preserve">ενώ </w:t>
      </w:r>
      <w:r w:rsidR="00475EF0">
        <w:rPr>
          <w:rFonts w:ascii="Segoe UI" w:hAnsi="Segoe UI" w:cs="Segoe UI"/>
          <w:i/>
          <w:color w:val="0D0D0D" w:themeColor="text1" w:themeTint="F2"/>
          <w:sz w:val="18"/>
          <w:szCs w:val="20"/>
        </w:rPr>
        <w:t xml:space="preserve">για </w:t>
      </w:r>
      <w:r w:rsidR="00EE7955">
        <w:rPr>
          <w:rFonts w:ascii="Segoe UI" w:hAnsi="Segoe UI" w:cs="Segoe UI"/>
          <w:i/>
          <w:color w:val="0D0D0D" w:themeColor="text1" w:themeTint="F2"/>
          <w:sz w:val="18"/>
          <w:szCs w:val="20"/>
        </w:rPr>
        <w:t xml:space="preserve">το Γ’ τρίμηνο 2020 </w:t>
      </w:r>
      <w:r w:rsidRPr="00BC04E0">
        <w:rPr>
          <w:rFonts w:ascii="Segoe UI" w:hAnsi="Segoe UI" w:cs="Segoe UI"/>
          <w:i/>
          <w:color w:val="0D0D0D" w:themeColor="text1" w:themeTint="F2"/>
          <w:sz w:val="18"/>
          <w:szCs w:val="20"/>
        </w:rPr>
        <w:t>σημε</w:t>
      </w:r>
      <w:r w:rsidR="00EE7955">
        <w:rPr>
          <w:rFonts w:ascii="Segoe UI" w:hAnsi="Segoe UI" w:cs="Segoe UI"/>
          <w:i/>
          <w:color w:val="0D0D0D" w:themeColor="text1" w:themeTint="F2"/>
          <w:sz w:val="18"/>
          <w:szCs w:val="20"/>
        </w:rPr>
        <w:t xml:space="preserve">ίωσαν </w:t>
      </w:r>
      <w:r w:rsidR="00CA5FCA">
        <w:rPr>
          <w:rFonts w:ascii="Segoe UI" w:hAnsi="Segoe UI" w:cs="Segoe UI"/>
          <w:i/>
          <w:color w:val="0D0D0D" w:themeColor="text1" w:themeTint="F2"/>
          <w:sz w:val="18"/>
          <w:szCs w:val="20"/>
        </w:rPr>
        <w:t>αύξηση</w:t>
      </w:r>
      <w:r w:rsidRPr="00BC04E0">
        <w:rPr>
          <w:rFonts w:ascii="Segoe UI" w:hAnsi="Segoe UI" w:cs="Segoe UI"/>
          <w:i/>
          <w:color w:val="0D0D0D" w:themeColor="text1" w:themeTint="F2"/>
          <w:sz w:val="18"/>
          <w:szCs w:val="20"/>
        </w:rPr>
        <w:t xml:space="preserve"> κατά 50% περίπου, σε σχέση </w:t>
      </w:r>
      <w:r w:rsidR="0057757E">
        <w:rPr>
          <w:rFonts w:ascii="Segoe UI" w:hAnsi="Segoe UI" w:cs="Segoe UI"/>
          <w:i/>
          <w:color w:val="0D0D0D" w:themeColor="text1" w:themeTint="F2"/>
          <w:sz w:val="18"/>
          <w:szCs w:val="20"/>
        </w:rPr>
        <w:t>με το προηγούμενο</w:t>
      </w:r>
      <w:r w:rsidRPr="00BC04E0">
        <w:rPr>
          <w:rFonts w:ascii="Segoe UI" w:hAnsi="Segoe UI" w:cs="Segoe UI"/>
          <w:i/>
          <w:color w:val="0D0D0D" w:themeColor="text1" w:themeTint="F2"/>
          <w:sz w:val="18"/>
          <w:szCs w:val="20"/>
        </w:rPr>
        <w:t xml:space="preserve"> τρίμηνο. </w:t>
      </w:r>
      <w:r w:rsidR="00045A5C">
        <w:rPr>
          <w:rFonts w:ascii="Segoe UI" w:hAnsi="Segoe UI" w:cs="Segoe UI"/>
          <w:i/>
          <w:color w:val="0D0D0D" w:themeColor="text1" w:themeTint="F2"/>
          <w:sz w:val="18"/>
          <w:szCs w:val="20"/>
        </w:rPr>
        <w:t xml:space="preserve">Η επίδοση αυτή αντανακλά </w:t>
      </w:r>
      <w:r w:rsidRPr="00BC04E0">
        <w:rPr>
          <w:rFonts w:ascii="Segoe UI" w:hAnsi="Segoe UI" w:cs="Segoe UI"/>
          <w:i/>
          <w:color w:val="0D0D0D" w:themeColor="text1" w:themeTint="F2"/>
          <w:sz w:val="18"/>
          <w:szCs w:val="20"/>
        </w:rPr>
        <w:t xml:space="preserve">την </w:t>
      </w:r>
      <w:r w:rsidR="00045A5C">
        <w:rPr>
          <w:rFonts w:ascii="Segoe UI" w:hAnsi="Segoe UI" w:cs="Segoe UI"/>
          <w:i/>
          <w:color w:val="0D0D0D" w:themeColor="text1" w:themeTint="F2"/>
          <w:sz w:val="18"/>
          <w:szCs w:val="20"/>
        </w:rPr>
        <w:t xml:space="preserve">ισχυρή </w:t>
      </w:r>
      <w:r w:rsidRPr="00BC04E0">
        <w:rPr>
          <w:rFonts w:ascii="Segoe UI" w:hAnsi="Segoe UI" w:cs="Segoe UI"/>
          <w:i/>
          <w:color w:val="0D0D0D" w:themeColor="text1" w:themeTint="F2"/>
          <w:sz w:val="18"/>
          <w:szCs w:val="20"/>
        </w:rPr>
        <w:t xml:space="preserve">ανάκαμψη των οργανικών </w:t>
      </w:r>
      <w:r w:rsidR="00045A5C">
        <w:rPr>
          <w:rFonts w:ascii="Segoe UI" w:hAnsi="Segoe UI" w:cs="Segoe UI"/>
          <w:i/>
          <w:color w:val="0D0D0D" w:themeColor="text1" w:themeTint="F2"/>
          <w:sz w:val="18"/>
          <w:szCs w:val="20"/>
        </w:rPr>
        <w:t>εσόδων,</w:t>
      </w:r>
      <w:r w:rsidRPr="00BC04E0">
        <w:rPr>
          <w:rFonts w:ascii="Segoe UI" w:hAnsi="Segoe UI" w:cs="Segoe UI"/>
          <w:i/>
          <w:color w:val="0D0D0D" w:themeColor="text1" w:themeTint="F2"/>
          <w:sz w:val="18"/>
          <w:szCs w:val="20"/>
        </w:rPr>
        <w:t xml:space="preserve"> τη διατήρηση της δυναμικής μείωσης των δαπανών </w:t>
      </w:r>
      <w:r w:rsidRPr="00DC035F">
        <w:rPr>
          <w:rFonts w:ascii="Segoe UI" w:hAnsi="Segoe UI" w:cs="Segoe UI"/>
          <w:i/>
          <w:color w:val="0D0D0D" w:themeColor="text1" w:themeTint="F2"/>
          <w:sz w:val="18"/>
          <w:szCs w:val="20"/>
        </w:rPr>
        <w:t xml:space="preserve">προσωπικού και των γενικών διοικητικών και λοιπών λειτουργικών εξόδων, </w:t>
      </w:r>
      <w:r w:rsidR="00045A5C" w:rsidRPr="00DC035F">
        <w:rPr>
          <w:rFonts w:ascii="Segoe UI" w:hAnsi="Segoe UI" w:cs="Segoe UI"/>
          <w:i/>
          <w:color w:val="0D0D0D" w:themeColor="text1" w:themeTint="F2"/>
          <w:sz w:val="18"/>
          <w:szCs w:val="20"/>
        </w:rPr>
        <w:t>καθώς και</w:t>
      </w:r>
      <w:r w:rsidRPr="00DC035F">
        <w:rPr>
          <w:rFonts w:ascii="Segoe UI" w:hAnsi="Segoe UI" w:cs="Segoe UI"/>
          <w:i/>
          <w:color w:val="0D0D0D" w:themeColor="text1" w:themeTint="F2"/>
          <w:sz w:val="18"/>
          <w:szCs w:val="20"/>
        </w:rPr>
        <w:t xml:space="preserve"> τη </w:t>
      </w:r>
      <w:r w:rsidR="00FF3DE4">
        <w:rPr>
          <w:rFonts w:ascii="Segoe UI" w:hAnsi="Segoe UI" w:cs="Segoe UI"/>
          <w:i/>
          <w:color w:val="0D0D0D" w:themeColor="text1" w:themeTint="F2"/>
          <w:sz w:val="18"/>
          <w:szCs w:val="20"/>
        </w:rPr>
        <w:t>σταθεροποίηση</w:t>
      </w:r>
      <w:r w:rsidR="00045A5C" w:rsidRPr="00DC035F">
        <w:rPr>
          <w:rFonts w:ascii="Segoe UI" w:hAnsi="Segoe UI" w:cs="Segoe UI"/>
          <w:i/>
          <w:color w:val="0D0D0D" w:themeColor="text1" w:themeTint="F2"/>
          <w:sz w:val="18"/>
          <w:szCs w:val="20"/>
        </w:rPr>
        <w:t xml:space="preserve"> </w:t>
      </w:r>
      <w:r w:rsidRPr="00DC035F">
        <w:rPr>
          <w:rFonts w:ascii="Segoe UI" w:hAnsi="Segoe UI" w:cs="Segoe UI"/>
          <w:i/>
          <w:color w:val="0D0D0D" w:themeColor="text1" w:themeTint="F2"/>
          <w:sz w:val="18"/>
          <w:szCs w:val="20"/>
        </w:rPr>
        <w:t xml:space="preserve">του κόστους πιστωτικού κινδύνου κοντά </w:t>
      </w:r>
      <w:r w:rsidR="000E1C4E">
        <w:rPr>
          <w:rFonts w:ascii="Segoe UI" w:hAnsi="Segoe UI" w:cs="Segoe UI"/>
          <w:i/>
          <w:color w:val="0D0D0D" w:themeColor="text1" w:themeTint="F2"/>
          <w:sz w:val="18"/>
          <w:szCs w:val="20"/>
        </w:rPr>
        <w:t>στα επίπεδα των</w:t>
      </w:r>
      <w:r w:rsidRPr="00DC035F">
        <w:rPr>
          <w:rFonts w:ascii="Segoe UI" w:hAnsi="Segoe UI" w:cs="Segoe UI"/>
          <w:i/>
          <w:color w:val="0D0D0D" w:themeColor="text1" w:themeTint="F2"/>
          <w:sz w:val="18"/>
          <w:szCs w:val="20"/>
        </w:rPr>
        <w:t xml:space="preserve"> 100μ.β.</w:t>
      </w:r>
      <w:r w:rsidR="00045A5C" w:rsidRPr="00DC035F">
        <w:rPr>
          <w:rFonts w:ascii="Segoe UI" w:hAnsi="Segoe UI" w:cs="Segoe UI"/>
          <w:i/>
          <w:color w:val="0D0D0D" w:themeColor="text1" w:themeTint="F2"/>
          <w:sz w:val="18"/>
          <w:szCs w:val="20"/>
        </w:rPr>
        <w:t xml:space="preserve">, </w:t>
      </w:r>
      <w:r w:rsidR="009B1DFC">
        <w:rPr>
          <w:rFonts w:ascii="Segoe UI" w:hAnsi="Segoe UI" w:cs="Segoe UI"/>
          <w:i/>
          <w:color w:val="0D0D0D" w:themeColor="text1" w:themeTint="F2"/>
          <w:sz w:val="18"/>
          <w:szCs w:val="20"/>
        </w:rPr>
        <w:t>εξαιρουμένων των π</w:t>
      </w:r>
      <w:r w:rsidRPr="00DC035F">
        <w:rPr>
          <w:rFonts w:ascii="Segoe UI" w:hAnsi="Segoe UI" w:cs="Segoe UI"/>
          <w:i/>
          <w:color w:val="0D0D0D" w:themeColor="text1" w:themeTint="F2"/>
          <w:sz w:val="18"/>
          <w:szCs w:val="20"/>
        </w:rPr>
        <w:t>ροβλέψε</w:t>
      </w:r>
      <w:r w:rsidR="00DC035F" w:rsidRPr="00DC035F">
        <w:rPr>
          <w:rFonts w:ascii="Segoe UI" w:hAnsi="Segoe UI" w:cs="Segoe UI"/>
          <w:i/>
          <w:color w:val="0D0D0D" w:themeColor="text1" w:themeTint="F2"/>
          <w:sz w:val="18"/>
          <w:szCs w:val="20"/>
        </w:rPr>
        <w:t>ων</w:t>
      </w:r>
      <w:r w:rsidRPr="00DC035F">
        <w:rPr>
          <w:rFonts w:ascii="Segoe UI" w:hAnsi="Segoe UI" w:cs="Segoe UI"/>
          <w:i/>
          <w:color w:val="0D0D0D" w:themeColor="text1" w:themeTint="F2"/>
          <w:sz w:val="18"/>
          <w:szCs w:val="20"/>
        </w:rPr>
        <w:t xml:space="preserve"> για τον κορωνοϊό</w:t>
      </w:r>
      <w:r w:rsidR="009B1DFC">
        <w:rPr>
          <w:rFonts w:ascii="Segoe UI" w:hAnsi="Segoe UI" w:cs="Segoe UI"/>
          <w:i/>
          <w:color w:val="0D0D0D" w:themeColor="text1" w:themeTint="F2"/>
          <w:sz w:val="18"/>
          <w:szCs w:val="20"/>
        </w:rPr>
        <w:t>, ή στις 244μ.β., συμπεριλαμβανομένων των εν λόγω π</w:t>
      </w:r>
      <w:r w:rsidR="009B1DFC" w:rsidRPr="00DC035F">
        <w:rPr>
          <w:rFonts w:ascii="Segoe UI" w:hAnsi="Segoe UI" w:cs="Segoe UI"/>
          <w:i/>
          <w:color w:val="0D0D0D" w:themeColor="text1" w:themeTint="F2"/>
          <w:sz w:val="18"/>
          <w:szCs w:val="20"/>
        </w:rPr>
        <w:t>ροβλέψεων</w:t>
      </w:r>
      <w:r w:rsidRPr="00DC035F">
        <w:rPr>
          <w:rFonts w:ascii="Segoe UI" w:hAnsi="Segoe UI" w:cs="Segoe UI"/>
          <w:i/>
          <w:color w:val="0D0D0D" w:themeColor="text1" w:themeTint="F2"/>
          <w:sz w:val="18"/>
          <w:szCs w:val="20"/>
        </w:rPr>
        <w:t>.</w:t>
      </w:r>
      <w:r w:rsidRPr="00BC04E0">
        <w:rPr>
          <w:rFonts w:ascii="Segoe UI" w:hAnsi="Segoe UI" w:cs="Segoe UI"/>
          <w:i/>
          <w:color w:val="0D0D0D" w:themeColor="text1" w:themeTint="F2"/>
          <w:sz w:val="18"/>
          <w:szCs w:val="20"/>
        </w:rPr>
        <w:t xml:space="preserve">   </w:t>
      </w:r>
    </w:p>
    <w:p w:rsidR="004C28F4" w:rsidRDefault="004C28F4" w:rsidP="004C28F4">
      <w:pPr>
        <w:jc w:val="both"/>
        <w:rPr>
          <w:rFonts w:ascii="Segoe UI" w:hAnsi="Segoe UI" w:cs="Segoe UI"/>
          <w:i/>
          <w:color w:val="0D0D0D" w:themeColor="text1" w:themeTint="F2"/>
          <w:sz w:val="18"/>
          <w:szCs w:val="20"/>
        </w:rPr>
      </w:pPr>
    </w:p>
    <w:p w:rsidR="00E55AED" w:rsidRPr="00A125BB" w:rsidRDefault="00BC04E0" w:rsidP="004C28F4">
      <w:pPr>
        <w:jc w:val="both"/>
        <w:rPr>
          <w:rFonts w:ascii="Segoe UI" w:hAnsi="Segoe UI" w:cs="Segoe UI"/>
          <w:i/>
          <w:highlight w:val="yellow"/>
          <w:lang w:eastAsia="en-GB"/>
        </w:rPr>
      </w:pPr>
      <w:r w:rsidRPr="00BC04E0">
        <w:rPr>
          <w:rFonts w:ascii="Segoe UI" w:hAnsi="Segoe UI" w:cs="Segoe UI"/>
          <w:i/>
          <w:color w:val="0D0D0D" w:themeColor="text1" w:themeTint="F2"/>
          <w:sz w:val="18"/>
          <w:szCs w:val="20"/>
        </w:rPr>
        <w:t xml:space="preserve">Ενόψει της αναμενόμενης </w:t>
      </w:r>
      <w:r w:rsidR="008667A7">
        <w:rPr>
          <w:rFonts w:ascii="Segoe UI" w:hAnsi="Segoe UI" w:cs="Segoe UI"/>
          <w:i/>
          <w:color w:val="0D0D0D" w:themeColor="text1" w:themeTint="F2"/>
          <w:sz w:val="18"/>
          <w:szCs w:val="20"/>
        </w:rPr>
        <w:t xml:space="preserve">οικονομικής </w:t>
      </w:r>
      <w:r w:rsidRPr="00BC04E0">
        <w:rPr>
          <w:rFonts w:ascii="Segoe UI" w:hAnsi="Segoe UI" w:cs="Segoe UI"/>
          <w:i/>
          <w:color w:val="0D0D0D" w:themeColor="text1" w:themeTint="F2"/>
          <w:sz w:val="18"/>
          <w:szCs w:val="20"/>
        </w:rPr>
        <w:t>ανάκαμψης το</w:t>
      </w:r>
      <w:r w:rsidR="0057757E">
        <w:rPr>
          <w:rFonts w:ascii="Segoe UI" w:hAnsi="Segoe UI" w:cs="Segoe UI"/>
          <w:i/>
          <w:color w:val="0D0D0D" w:themeColor="text1" w:themeTint="F2"/>
          <w:sz w:val="18"/>
          <w:szCs w:val="20"/>
        </w:rPr>
        <w:t>υ</w:t>
      </w:r>
      <w:r w:rsidRPr="00BC04E0">
        <w:rPr>
          <w:rFonts w:ascii="Segoe UI" w:hAnsi="Segoe UI" w:cs="Segoe UI"/>
          <w:i/>
          <w:color w:val="0D0D0D" w:themeColor="text1" w:themeTint="F2"/>
          <w:sz w:val="18"/>
          <w:szCs w:val="20"/>
        </w:rPr>
        <w:t xml:space="preserve"> 2021, θα συνεχίσουμε να αξιοποιούμε το επιτυχημένο Πρόγραμμα Μετασχηματισμού που </w:t>
      </w:r>
      <w:r w:rsidR="00B7377B">
        <w:rPr>
          <w:rFonts w:ascii="Segoe UI" w:hAnsi="Segoe UI" w:cs="Segoe UI"/>
          <w:i/>
          <w:color w:val="0D0D0D" w:themeColor="text1" w:themeTint="F2"/>
          <w:sz w:val="18"/>
          <w:szCs w:val="20"/>
        </w:rPr>
        <w:t xml:space="preserve">αποτελεί τον κινητήριο μοχλό για </w:t>
      </w:r>
      <w:r w:rsidR="005F771D">
        <w:rPr>
          <w:rFonts w:ascii="Segoe UI" w:hAnsi="Segoe UI" w:cs="Segoe UI"/>
          <w:i/>
          <w:color w:val="0D0D0D" w:themeColor="text1" w:themeTint="F2"/>
          <w:sz w:val="18"/>
          <w:szCs w:val="20"/>
        </w:rPr>
        <w:t xml:space="preserve">τις άμεσες </w:t>
      </w:r>
      <w:r w:rsidR="00B7377B">
        <w:rPr>
          <w:rFonts w:ascii="Segoe UI" w:hAnsi="Segoe UI" w:cs="Segoe UI"/>
          <w:i/>
          <w:color w:val="0D0D0D" w:themeColor="text1" w:themeTint="F2"/>
          <w:sz w:val="18"/>
          <w:szCs w:val="20"/>
        </w:rPr>
        <w:t xml:space="preserve">και επιτυχημένες </w:t>
      </w:r>
      <w:r w:rsidRPr="00BC04E0">
        <w:rPr>
          <w:rFonts w:ascii="Segoe UI" w:hAnsi="Segoe UI" w:cs="Segoe UI"/>
          <w:i/>
          <w:color w:val="0D0D0D" w:themeColor="text1" w:themeTint="F2"/>
          <w:sz w:val="18"/>
          <w:szCs w:val="20"/>
        </w:rPr>
        <w:t>αλλαγές στην ΕΤΕ</w:t>
      </w:r>
      <w:r w:rsidR="005243FA" w:rsidRPr="005243FA">
        <w:rPr>
          <w:rFonts w:ascii="Segoe UI" w:hAnsi="Segoe UI" w:cs="Segoe UI"/>
          <w:i/>
          <w:color w:val="0D0D0D" w:themeColor="text1" w:themeTint="F2"/>
          <w:sz w:val="18"/>
          <w:szCs w:val="20"/>
        </w:rPr>
        <w:t xml:space="preserve"> </w:t>
      </w:r>
      <w:r w:rsidR="005243FA">
        <w:rPr>
          <w:rFonts w:ascii="Segoe UI" w:hAnsi="Segoe UI" w:cs="Segoe UI"/>
          <w:i/>
          <w:color w:val="0D0D0D" w:themeColor="text1" w:themeTint="F2"/>
          <w:sz w:val="18"/>
          <w:szCs w:val="20"/>
        </w:rPr>
        <w:t>κατά τη διάρκεια</w:t>
      </w:r>
      <w:r w:rsidR="005243FA" w:rsidRPr="005243FA">
        <w:rPr>
          <w:rFonts w:ascii="Segoe UI" w:hAnsi="Segoe UI" w:cs="Segoe UI"/>
          <w:i/>
          <w:color w:val="0D0D0D" w:themeColor="text1" w:themeTint="F2"/>
          <w:sz w:val="18"/>
          <w:szCs w:val="20"/>
        </w:rPr>
        <w:t xml:space="preserve"> </w:t>
      </w:r>
      <w:r w:rsidR="005243FA" w:rsidRPr="00BC04E0">
        <w:rPr>
          <w:rFonts w:ascii="Segoe UI" w:hAnsi="Segoe UI" w:cs="Segoe UI"/>
          <w:i/>
          <w:color w:val="0D0D0D" w:themeColor="text1" w:themeTint="F2"/>
          <w:sz w:val="18"/>
          <w:szCs w:val="20"/>
        </w:rPr>
        <w:t>της τελευταίας διετίας</w:t>
      </w:r>
      <w:r w:rsidRPr="00BC04E0">
        <w:rPr>
          <w:rFonts w:ascii="Segoe UI" w:hAnsi="Segoe UI" w:cs="Segoe UI"/>
          <w:i/>
          <w:color w:val="0D0D0D" w:themeColor="text1" w:themeTint="F2"/>
          <w:sz w:val="18"/>
          <w:szCs w:val="20"/>
        </w:rPr>
        <w:t xml:space="preserve">. Η έκθεσή μας σε </w:t>
      </w:r>
      <w:r w:rsidR="00AB010F" w:rsidRPr="00AB010F">
        <w:rPr>
          <w:rFonts w:ascii="Segoe UI" w:hAnsi="Segoe UI" w:cs="Segoe UI"/>
          <w:i/>
          <w:color w:val="0D0D0D" w:themeColor="text1" w:themeTint="F2"/>
          <w:sz w:val="18"/>
          <w:szCs w:val="20"/>
        </w:rPr>
        <w:t>Μη Εξυπηρετούμεν</w:t>
      </w:r>
      <w:r w:rsidR="00AB010F">
        <w:rPr>
          <w:rFonts w:ascii="Segoe UI" w:hAnsi="Segoe UI" w:cs="Segoe UI"/>
          <w:i/>
          <w:color w:val="0D0D0D" w:themeColor="text1" w:themeTint="F2"/>
          <w:sz w:val="18"/>
          <w:szCs w:val="20"/>
        </w:rPr>
        <w:t>α</w:t>
      </w:r>
      <w:r w:rsidR="00AB010F" w:rsidRPr="00AB010F">
        <w:rPr>
          <w:rFonts w:ascii="Segoe UI" w:hAnsi="Segoe UI" w:cs="Segoe UI"/>
          <w:i/>
          <w:color w:val="0D0D0D" w:themeColor="text1" w:themeTint="F2"/>
          <w:sz w:val="18"/>
          <w:szCs w:val="20"/>
        </w:rPr>
        <w:t xml:space="preserve"> Ανοίγματ</w:t>
      </w:r>
      <w:r w:rsidR="00AB010F">
        <w:rPr>
          <w:rFonts w:ascii="Segoe UI" w:hAnsi="Segoe UI" w:cs="Segoe UI"/>
          <w:i/>
          <w:color w:val="0D0D0D" w:themeColor="text1" w:themeTint="F2"/>
          <w:sz w:val="18"/>
          <w:szCs w:val="20"/>
        </w:rPr>
        <w:t xml:space="preserve">α </w:t>
      </w:r>
      <w:r w:rsidRPr="00BC04E0">
        <w:rPr>
          <w:rFonts w:ascii="Segoe UI" w:hAnsi="Segoe UI" w:cs="Segoe UI"/>
          <w:i/>
          <w:color w:val="0D0D0D" w:themeColor="text1" w:themeTint="F2"/>
          <w:sz w:val="18"/>
          <w:szCs w:val="20"/>
        </w:rPr>
        <w:t xml:space="preserve">αναμένεται να </w:t>
      </w:r>
      <w:r w:rsidR="00F96258">
        <w:rPr>
          <w:rFonts w:ascii="Segoe UI" w:hAnsi="Segoe UI" w:cs="Segoe UI"/>
          <w:i/>
          <w:color w:val="0D0D0D" w:themeColor="text1" w:themeTint="F2"/>
          <w:sz w:val="18"/>
          <w:szCs w:val="20"/>
        </w:rPr>
        <w:t xml:space="preserve">μειωθεί σε </w:t>
      </w:r>
      <w:r w:rsidR="00974237">
        <w:rPr>
          <w:rFonts w:ascii="Segoe UI" w:hAnsi="Segoe UI" w:cs="Segoe UI"/>
          <w:i/>
          <w:color w:val="0D0D0D" w:themeColor="text1" w:themeTint="F2"/>
          <w:sz w:val="18"/>
          <w:szCs w:val="20"/>
        </w:rPr>
        <w:t>προ</w:t>
      </w:r>
      <w:r w:rsidR="00974237" w:rsidRPr="00BC04E0">
        <w:rPr>
          <w:rFonts w:ascii="Segoe UI" w:hAnsi="Segoe UI" w:cs="Segoe UI"/>
          <w:i/>
          <w:color w:val="0D0D0D" w:themeColor="text1" w:themeTint="F2"/>
          <w:sz w:val="18"/>
          <w:szCs w:val="20"/>
        </w:rPr>
        <w:t xml:space="preserve"> δεκαετία</w:t>
      </w:r>
      <w:r w:rsidR="00974237">
        <w:rPr>
          <w:rFonts w:ascii="Segoe UI" w:hAnsi="Segoe UI" w:cs="Segoe UI"/>
          <w:i/>
          <w:color w:val="0D0D0D" w:themeColor="text1" w:themeTint="F2"/>
          <w:sz w:val="18"/>
          <w:szCs w:val="20"/>
        </w:rPr>
        <w:t>ς</w:t>
      </w:r>
      <w:r w:rsidR="00974237" w:rsidRPr="00BC04E0">
        <w:rPr>
          <w:rFonts w:ascii="Segoe UI" w:hAnsi="Segoe UI" w:cs="Segoe UI"/>
          <w:i/>
          <w:color w:val="0D0D0D" w:themeColor="text1" w:themeTint="F2"/>
          <w:sz w:val="18"/>
          <w:szCs w:val="20"/>
        </w:rPr>
        <w:t xml:space="preserve"> </w:t>
      </w:r>
      <w:r w:rsidRPr="00BC04E0">
        <w:rPr>
          <w:rFonts w:ascii="Segoe UI" w:hAnsi="Segoe UI" w:cs="Segoe UI"/>
          <w:i/>
          <w:color w:val="0D0D0D" w:themeColor="text1" w:themeTint="F2"/>
          <w:sz w:val="18"/>
          <w:szCs w:val="20"/>
        </w:rPr>
        <w:t xml:space="preserve">επίπεδα, δίνοντάς μας τη δυνατότητα να επικεντρωθούμε σε ευκαιρίες ανάπτυξης και να αποκαταστήσουμε την </w:t>
      </w:r>
      <w:r w:rsidRPr="00092DC3">
        <w:rPr>
          <w:rFonts w:ascii="Segoe UI" w:hAnsi="Segoe UI" w:cs="Segoe UI"/>
          <w:i/>
          <w:color w:val="0D0D0D" w:themeColor="text1" w:themeTint="F2"/>
          <w:sz w:val="18"/>
          <w:szCs w:val="20"/>
        </w:rPr>
        <w:t xml:space="preserve">κερδοφορία </w:t>
      </w:r>
      <w:r w:rsidR="005F771D">
        <w:rPr>
          <w:rFonts w:ascii="Segoe UI" w:hAnsi="Segoe UI" w:cs="Segoe UI"/>
          <w:i/>
          <w:color w:val="0D0D0D" w:themeColor="text1" w:themeTint="F2"/>
          <w:sz w:val="18"/>
          <w:szCs w:val="20"/>
        </w:rPr>
        <w:t xml:space="preserve">μας </w:t>
      </w:r>
      <w:r w:rsidR="004E1289">
        <w:rPr>
          <w:rFonts w:ascii="Segoe UI" w:hAnsi="Segoe UI" w:cs="Segoe UI"/>
          <w:i/>
          <w:color w:val="0D0D0D" w:themeColor="text1" w:themeTint="F2"/>
          <w:sz w:val="18"/>
          <w:szCs w:val="20"/>
        </w:rPr>
        <w:t xml:space="preserve">σε </w:t>
      </w:r>
      <w:r w:rsidR="00E074CA">
        <w:rPr>
          <w:rFonts w:ascii="Segoe UI" w:hAnsi="Segoe UI" w:cs="Segoe UI"/>
          <w:i/>
          <w:color w:val="0D0D0D" w:themeColor="text1" w:themeTint="F2"/>
          <w:sz w:val="18"/>
          <w:szCs w:val="20"/>
        </w:rPr>
        <w:t>επιθυμητά</w:t>
      </w:r>
      <w:r w:rsidR="004E1289">
        <w:rPr>
          <w:rFonts w:ascii="Segoe UI" w:hAnsi="Segoe UI" w:cs="Segoe UI"/>
          <w:i/>
          <w:color w:val="0D0D0D" w:themeColor="text1" w:themeTint="F2"/>
          <w:sz w:val="18"/>
          <w:szCs w:val="20"/>
        </w:rPr>
        <w:t xml:space="preserve"> επίπεδα</w:t>
      </w:r>
      <w:r w:rsidRPr="00092DC3">
        <w:rPr>
          <w:rFonts w:ascii="Segoe UI" w:hAnsi="Segoe UI" w:cs="Segoe UI"/>
          <w:i/>
          <w:color w:val="0D0D0D" w:themeColor="text1" w:themeTint="F2"/>
          <w:sz w:val="18"/>
          <w:szCs w:val="20"/>
        </w:rPr>
        <w:t xml:space="preserve">. </w:t>
      </w:r>
      <w:r w:rsidR="006D0B6D">
        <w:rPr>
          <w:rFonts w:ascii="Segoe UI" w:hAnsi="Segoe UI" w:cs="Segoe UI"/>
          <w:i/>
          <w:color w:val="0D0D0D" w:themeColor="text1" w:themeTint="F2"/>
          <w:sz w:val="18"/>
          <w:szCs w:val="20"/>
        </w:rPr>
        <w:t>Η</w:t>
      </w:r>
      <w:r w:rsidRPr="00092DC3">
        <w:rPr>
          <w:rFonts w:ascii="Segoe UI" w:hAnsi="Segoe UI" w:cs="Segoe UI"/>
          <w:i/>
          <w:color w:val="0D0D0D" w:themeColor="text1" w:themeTint="F2"/>
          <w:sz w:val="18"/>
          <w:szCs w:val="20"/>
        </w:rPr>
        <w:t xml:space="preserve"> συνεχιζόμενη μετάβα</w:t>
      </w:r>
      <w:r w:rsidR="006D0B6D">
        <w:rPr>
          <w:rFonts w:ascii="Segoe UI" w:hAnsi="Segoe UI" w:cs="Segoe UI"/>
          <w:i/>
          <w:color w:val="0D0D0D" w:themeColor="text1" w:themeTint="F2"/>
          <w:sz w:val="18"/>
          <w:szCs w:val="20"/>
        </w:rPr>
        <w:t xml:space="preserve">σή μας </w:t>
      </w:r>
      <w:r w:rsidRPr="00092DC3">
        <w:rPr>
          <w:rFonts w:ascii="Segoe UI" w:hAnsi="Segoe UI" w:cs="Segoe UI"/>
          <w:i/>
          <w:color w:val="0D0D0D" w:themeColor="text1" w:themeTint="F2"/>
          <w:sz w:val="18"/>
          <w:szCs w:val="20"/>
        </w:rPr>
        <w:t xml:space="preserve">σε ένα πιο ευέλικτο </w:t>
      </w:r>
      <w:r w:rsidR="006D0B6D">
        <w:rPr>
          <w:rFonts w:ascii="Segoe UI" w:hAnsi="Segoe UI" w:cs="Segoe UI"/>
          <w:i/>
          <w:color w:val="0D0D0D" w:themeColor="text1" w:themeTint="F2"/>
          <w:sz w:val="18"/>
          <w:szCs w:val="20"/>
        </w:rPr>
        <w:t xml:space="preserve">και αποτελεσματικό </w:t>
      </w:r>
      <w:r w:rsidRPr="00092DC3">
        <w:rPr>
          <w:rFonts w:ascii="Segoe UI" w:hAnsi="Segoe UI" w:cs="Segoe UI"/>
          <w:i/>
          <w:color w:val="0D0D0D" w:themeColor="text1" w:themeTint="F2"/>
          <w:sz w:val="18"/>
          <w:szCs w:val="20"/>
        </w:rPr>
        <w:t>μοντέλο λειτουργίας της Τράπεζας</w:t>
      </w:r>
      <w:r w:rsidR="006D0B6D">
        <w:rPr>
          <w:rFonts w:ascii="Segoe UI" w:hAnsi="Segoe UI" w:cs="Segoe UI"/>
          <w:i/>
          <w:color w:val="0D0D0D" w:themeColor="text1" w:themeTint="F2"/>
          <w:sz w:val="18"/>
          <w:szCs w:val="20"/>
        </w:rPr>
        <w:t xml:space="preserve"> θα μας επιτρέψει να διατηρήσουμε τη </w:t>
      </w:r>
      <w:r w:rsidR="006D0B6D" w:rsidRPr="00092DC3">
        <w:rPr>
          <w:rFonts w:ascii="Segoe UI" w:hAnsi="Segoe UI" w:cs="Segoe UI"/>
          <w:i/>
          <w:color w:val="0D0D0D" w:themeColor="text1" w:themeTint="F2"/>
          <w:sz w:val="18"/>
          <w:szCs w:val="20"/>
        </w:rPr>
        <w:t>δυναμική μείωσης του κόστους</w:t>
      </w:r>
      <w:r w:rsidRPr="00092DC3">
        <w:rPr>
          <w:rFonts w:ascii="Segoe UI" w:hAnsi="Segoe UI" w:cs="Segoe UI"/>
          <w:i/>
          <w:color w:val="0D0D0D" w:themeColor="text1" w:themeTint="F2"/>
          <w:sz w:val="18"/>
          <w:szCs w:val="20"/>
        </w:rPr>
        <w:t xml:space="preserve">. Προς αυτήν την κατεύθυνση, </w:t>
      </w:r>
      <w:r w:rsidR="00E0744A">
        <w:rPr>
          <w:rFonts w:ascii="Segoe UI" w:hAnsi="Segoe UI" w:cs="Segoe UI"/>
          <w:i/>
          <w:color w:val="0D0D0D" w:themeColor="text1" w:themeTint="F2"/>
          <w:sz w:val="18"/>
          <w:szCs w:val="20"/>
        </w:rPr>
        <w:t xml:space="preserve">στρεφόμαστε με γρήγορους ρυθμούς </w:t>
      </w:r>
      <w:r w:rsidRPr="00092DC3">
        <w:rPr>
          <w:rFonts w:ascii="Segoe UI" w:hAnsi="Segoe UI" w:cs="Segoe UI"/>
          <w:i/>
          <w:color w:val="0D0D0D" w:themeColor="text1" w:themeTint="F2"/>
          <w:sz w:val="18"/>
          <w:szCs w:val="20"/>
        </w:rPr>
        <w:t xml:space="preserve">προς </w:t>
      </w:r>
      <w:r w:rsidR="00F96258" w:rsidRPr="00092DC3">
        <w:rPr>
          <w:rFonts w:ascii="Segoe UI" w:hAnsi="Segoe UI" w:cs="Segoe UI"/>
          <w:i/>
          <w:color w:val="0D0D0D" w:themeColor="text1" w:themeTint="F2"/>
          <w:sz w:val="18"/>
          <w:szCs w:val="20"/>
        </w:rPr>
        <w:t>ένα</w:t>
      </w:r>
      <w:r w:rsidRPr="00092DC3">
        <w:rPr>
          <w:rFonts w:ascii="Segoe UI" w:hAnsi="Segoe UI" w:cs="Segoe UI"/>
          <w:i/>
          <w:color w:val="0D0D0D" w:themeColor="text1" w:themeTint="F2"/>
          <w:sz w:val="18"/>
          <w:szCs w:val="20"/>
        </w:rPr>
        <w:t xml:space="preserve"> </w:t>
      </w:r>
      <w:r w:rsidR="007E63CB" w:rsidRPr="00092DC3">
        <w:rPr>
          <w:rFonts w:ascii="Segoe UI" w:hAnsi="Segoe UI" w:cs="Segoe UI"/>
          <w:i/>
          <w:color w:val="0D0D0D" w:themeColor="text1" w:themeTint="F2"/>
          <w:sz w:val="18"/>
          <w:szCs w:val="20"/>
        </w:rPr>
        <w:t xml:space="preserve">πιο </w:t>
      </w:r>
      <w:r w:rsidRPr="00092DC3">
        <w:rPr>
          <w:rFonts w:ascii="Segoe UI" w:hAnsi="Segoe UI" w:cs="Segoe UI"/>
          <w:i/>
          <w:color w:val="0D0D0D" w:themeColor="text1" w:themeTint="F2"/>
          <w:sz w:val="18"/>
          <w:szCs w:val="20"/>
        </w:rPr>
        <w:t>ψηφιακ</w:t>
      </w:r>
      <w:r w:rsidR="00F96258" w:rsidRPr="00092DC3">
        <w:rPr>
          <w:rFonts w:ascii="Segoe UI" w:hAnsi="Segoe UI" w:cs="Segoe UI"/>
          <w:i/>
          <w:color w:val="0D0D0D" w:themeColor="text1" w:themeTint="F2"/>
          <w:sz w:val="18"/>
          <w:szCs w:val="20"/>
        </w:rPr>
        <w:t>ό μοντέλο λειτουργίας</w:t>
      </w:r>
      <w:r w:rsidRPr="00092DC3">
        <w:rPr>
          <w:rFonts w:ascii="Segoe UI" w:hAnsi="Segoe UI" w:cs="Segoe UI"/>
          <w:i/>
          <w:color w:val="0D0D0D" w:themeColor="text1" w:themeTint="F2"/>
          <w:sz w:val="18"/>
          <w:szCs w:val="20"/>
        </w:rPr>
        <w:t>,</w:t>
      </w:r>
      <w:r w:rsidR="007E63CB" w:rsidRPr="00092DC3">
        <w:rPr>
          <w:rFonts w:ascii="Segoe UI" w:hAnsi="Segoe UI" w:cs="Segoe UI"/>
          <w:i/>
          <w:color w:val="0D0D0D" w:themeColor="text1" w:themeTint="F2"/>
          <w:sz w:val="18"/>
          <w:szCs w:val="20"/>
        </w:rPr>
        <w:t xml:space="preserve"> με απλούστερες και αυτοματοποιημένες υπηρεσίες</w:t>
      </w:r>
      <w:r w:rsidR="004E7B60" w:rsidRPr="00092DC3">
        <w:rPr>
          <w:rFonts w:ascii="Segoe UI" w:hAnsi="Segoe UI" w:cs="Segoe UI"/>
          <w:i/>
          <w:color w:val="0D0D0D" w:themeColor="text1" w:themeTint="F2"/>
          <w:sz w:val="18"/>
          <w:szCs w:val="20"/>
        </w:rPr>
        <w:t xml:space="preserve"> υποστήριξης</w:t>
      </w:r>
      <w:r w:rsidR="007E63CB" w:rsidRPr="00092DC3">
        <w:rPr>
          <w:rFonts w:ascii="Segoe UI" w:hAnsi="Segoe UI" w:cs="Segoe UI"/>
          <w:i/>
          <w:color w:val="0D0D0D" w:themeColor="text1" w:themeTint="F2"/>
          <w:sz w:val="18"/>
          <w:szCs w:val="20"/>
        </w:rPr>
        <w:t>,</w:t>
      </w:r>
      <w:r w:rsidR="007E63CB" w:rsidRPr="007E63CB">
        <w:rPr>
          <w:rFonts w:ascii="Segoe UI" w:hAnsi="Segoe UI" w:cs="Segoe UI"/>
          <w:i/>
          <w:color w:val="0D0D0D" w:themeColor="text1" w:themeTint="F2"/>
          <w:sz w:val="18"/>
          <w:szCs w:val="20"/>
        </w:rPr>
        <w:t xml:space="preserve"> </w:t>
      </w:r>
      <w:r w:rsidR="002E7327">
        <w:rPr>
          <w:rFonts w:ascii="Segoe UI" w:hAnsi="Segoe UI" w:cs="Segoe UI"/>
          <w:i/>
          <w:color w:val="0D0D0D" w:themeColor="text1" w:themeTint="F2"/>
          <w:sz w:val="18"/>
          <w:szCs w:val="20"/>
        </w:rPr>
        <w:t>εστιάζοντας τ</w:t>
      </w:r>
      <w:r w:rsidR="008B59F2">
        <w:rPr>
          <w:rFonts w:ascii="Segoe UI" w:hAnsi="Segoe UI" w:cs="Segoe UI"/>
          <w:i/>
          <w:color w:val="0D0D0D" w:themeColor="text1" w:themeTint="F2"/>
          <w:sz w:val="18"/>
          <w:szCs w:val="20"/>
        </w:rPr>
        <w:t>η</w:t>
      </w:r>
      <w:r w:rsidR="002E7327">
        <w:rPr>
          <w:rFonts w:ascii="Segoe UI" w:hAnsi="Segoe UI" w:cs="Segoe UI"/>
          <w:i/>
          <w:color w:val="0D0D0D" w:themeColor="text1" w:themeTint="F2"/>
          <w:sz w:val="18"/>
          <w:szCs w:val="20"/>
        </w:rPr>
        <w:t xml:space="preserve">ν προσοχή μας </w:t>
      </w:r>
      <w:r w:rsidR="007E63CB" w:rsidRPr="007E63CB">
        <w:rPr>
          <w:rFonts w:ascii="Segoe UI" w:hAnsi="Segoe UI" w:cs="Segoe UI"/>
          <w:i/>
          <w:color w:val="0D0D0D" w:themeColor="text1" w:themeTint="F2"/>
          <w:sz w:val="18"/>
          <w:szCs w:val="20"/>
        </w:rPr>
        <w:t>σε υπηρεσίες προστιθέμενης αξίας</w:t>
      </w:r>
      <w:r w:rsidR="00433078">
        <w:rPr>
          <w:rFonts w:ascii="Segoe UI" w:hAnsi="Segoe UI" w:cs="Segoe UI"/>
          <w:i/>
          <w:color w:val="0D0D0D" w:themeColor="text1" w:themeTint="F2"/>
          <w:sz w:val="18"/>
          <w:szCs w:val="20"/>
        </w:rPr>
        <w:t xml:space="preserve"> και βελτιώνοντας την </w:t>
      </w:r>
      <w:r w:rsidR="002E7327">
        <w:rPr>
          <w:rFonts w:ascii="Segoe UI" w:hAnsi="Segoe UI" w:cs="Segoe UI"/>
          <w:i/>
          <w:color w:val="0D0D0D" w:themeColor="text1" w:themeTint="F2"/>
          <w:sz w:val="18"/>
          <w:szCs w:val="20"/>
        </w:rPr>
        <w:t xml:space="preserve">εμπειρία </w:t>
      </w:r>
      <w:r w:rsidR="00433078">
        <w:rPr>
          <w:rFonts w:ascii="Segoe UI" w:hAnsi="Segoe UI" w:cs="Segoe UI"/>
          <w:i/>
          <w:color w:val="0D0D0D" w:themeColor="text1" w:themeTint="F2"/>
          <w:sz w:val="18"/>
          <w:szCs w:val="20"/>
        </w:rPr>
        <w:t xml:space="preserve">των πελατών </w:t>
      </w:r>
      <w:r w:rsidR="002E7327">
        <w:rPr>
          <w:rFonts w:ascii="Segoe UI" w:hAnsi="Segoe UI" w:cs="Segoe UI"/>
          <w:i/>
          <w:color w:val="0D0D0D" w:themeColor="text1" w:themeTint="F2"/>
          <w:sz w:val="18"/>
          <w:szCs w:val="20"/>
        </w:rPr>
        <w:t xml:space="preserve">μας στα </w:t>
      </w:r>
      <w:r w:rsidR="007E63CB" w:rsidRPr="007E63CB">
        <w:rPr>
          <w:rFonts w:ascii="Segoe UI" w:hAnsi="Segoe UI" w:cs="Segoe UI"/>
          <w:i/>
          <w:color w:val="0D0D0D" w:themeColor="text1" w:themeTint="F2"/>
          <w:sz w:val="18"/>
          <w:szCs w:val="20"/>
        </w:rPr>
        <w:t xml:space="preserve">εναλλακτικά </w:t>
      </w:r>
      <w:r w:rsidR="00A449F2">
        <w:rPr>
          <w:rFonts w:ascii="Segoe UI" w:hAnsi="Segoe UI" w:cs="Segoe UI"/>
          <w:i/>
          <w:color w:val="0D0D0D" w:themeColor="text1" w:themeTint="F2"/>
          <w:sz w:val="18"/>
          <w:szCs w:val="20"/>
        </w:rPr>
        <w:t>δίκτυα</w:t>
      </w:r>
      <w:r w:rsidR="00DA38C7">
        <w:rPr>
          <w:rFonts w:ascii="Segoe UI" w:hAnsi="Segoe UI" w:cs="Segoe UI"/>
          <w:i/>
          <w:color w:val="0D0D0D" w:themeColor="text1" w:themeTint="F2"/>
          <w:sz w:val="18"/>
          <w:szCs w:val="20"/>
        </w:rPr>
        <w:t xml:space="preserve"> τραπεζικής εξυπηρέτησης</w:t>
      </w:r>
      <w:r w:rsidR="00F96258">
        <w:rPr>
          <w:rFonts w:ascii="Segoe UI" w:hAnsi="Segoe UI" w:cs="Segoe UI"/>
          <w:i/>
          <w:color w:val="0D0D0D" w:themeColor="text1" w:themeTint="F2"/>
          <w:sz w:val="18"/>
          <w:szCs w:val="20"/>
        </w:rPr>
        <w:t>.</w:t>
      </w:r>
      <w:r w:rsidRPr="00BC04E0">
        <w:rPr>
          <w:rFonts w:ascii="Segoe UI" w:hAnsi="Segoe UI" w:cs="Segoe UI"/>
          <w:i/>
          <w:color w:val="0D0D0D" w:themeColor="text1" w:themeTint="F2"/>
          <w:sz w:val="18"/>
          <w:szCs w:val="20"/>
        </w:rPr>
        <w:t xml:space="preserve"> Υπό αυτές τις ταχέως μεταβαλλόμενες συνθήκες, η Ε</w:t>
      </w:r>
      <w:r w:rsidR="00785197">
        <w:rPr>
          <w:rFonts w:ascii="Segoe UI" w:hAnsi="Segoe UI" w:cs="Segoe UI"/>
          <w:i/>
          <w:color w:val="0D0D0D" w:themeColor="text1" w:themeTint="F2"/>
          <w:sz w:val="18"/>
          <w:szCs w:val="20"/>
        </w:rPr>
        <w:t xml:space="preserve">θνική </w:t>
      </w:r>
      <w:r w:rsidRPr="00BC04E0">
        <w:rPr>
          <w:rFonts w:ascii="Segoe UI" w:hAnsi="Segoe UI" w:cs="Segoe UI"/>
          <w:i/>
          <w:color w:val="0D0D0D" w:themeColor="text1" w:themeTint="F2"/>
          <w:sz w:val="18"/>
          <w:szCs w:val="20"/>
        </w:rPr>
        <w:t>Τ</w:t>
      </w:r>
      <w:r w:rsidR="00785197">
        <w:rPr>
          <w:rFonts w:ascii="Segoe UI" w:hAnsi="Segoe UI" w:cs="Segoe UI"/>
          <w:i/>
          <w:color w:val="0D0D0D" w:themeColor="text1" w:themeTint="F2"/>
          <w:sz w:val="18"/>
          <w:szCs w:val="20"/>
        </w:rPr>
        <w:t xml:space="preserve">ράπεζα </w:t>
      </w:r>
      <w:r w:rsidRPr="00BC04E0">
        <w:rPr>
          <w:rFonts w:ascii="Segoe UI" w:hAnsi="Segoe UI" w:cs="Segoe UI"/>
          <w:i/>
          <w:color w:val="0D0D0D" w:themeColor="text1" w:themeTint="F2"/>
          <w:sz w:val="18"/>
          <w:szCs w:val="20"/>
        </w:rPr>
        <w:t xml:space="preserve">θα συνεχίσει να ανταποκρίνεται στις επερχόμενες προκλήσεις και ευκαιρίες, </w:t>
      </w:r>
      <w:r w:rsidR="00C420F5">
        <w:rPr>
          <w:rFonts w:ascii="Segoe UI" w:hAnsi="Segoe UI" w:cs="Segoe UI"/>
          <w:i/>
          <w:color w:val="0D0D0D" w:themeColor="text1" w:themeTint="F2"/>
          <w:sz w:val="18"/>
          <w:szCs w:val="20"/>
        </w:rPr>
        <w:t xml:space="preserve">προασπίζοντας την ασφάλεια των εργαζομένων </w:t>
      </w:r>
      <w:r w:rsidR="00B85BDF">
        <w:rPr>
          <w:rFonts w:ascii="Segoe UI" w:hAnsi="Segoe UI" w:cs="Segoe UI"/>
          <w:i/>
          <w:color w:val="0D0D0D" w:themeColor="text1" w:themeTint="F2"/>
          <w:sz w:val="18"/>
          <w:szCs w:val="20"/>
        </w:rPr>
        <w:t xml:space="preserve">της </w:t>
      </w:r>
      <w:r w:rsidRPr="00BC04E0">
        <w:rPr>
          <w:rFonts w:ascii="Segoe UI" w:hAnsi="Segoe UI" w:cs="Segoe UI"/>
          <w:i/>
          <w:color w:val="0D0D0D" w:themeColor="text1" w:themeTint="F2"/>
          <w:sz w:val="18"/>
          <w:szCs w:val="20"/>
        </w:rPr>
        <w:t xml:space="preserve">και στηρίζοντας </w:t>
      </w:r>
      <w:r w:rsidR="00E0744A">
        <w:rPr>
          <w:rFonts w:ascii="Segoe UI" w:hAnsi="Segoe UI" w:cs="Segoe UI"/>
          <w:i/>
          <w:color w:val="0D0D0D" w:themeColor="text1" w:themeTint="F2"/>
          <w:sz w:val="18"/>
          <w:szCs w:val="20"/>
        </w:rPr>
        <w:t>τις φιλοδοξίες των</w:t>
      </w:r>
      <w:r w:rsidRPr="00BC04E0">
        <w:rPr>
          <w:rFonts w:ascii="Segoe UI" w:hAnsi="Segoe UI" w:cs="Segoe UI"/>
          <w:i/>
          <w:color w:val="0D0D0D" w:themeColor="text1" w:themeTint="F2"/>
          <w:sz w:val="18"/>
          <w:szCs w:val="20"/>
        </w:rPr>
        <w:t xml:space="preserve"> </w:t>
      </w:r>
      <w:r w:rsidR="00E0744A">
        <w:rPr>
          <w:rFonts w:ascii="Segoe UI" w:hAnsi="Segoe UI" w:cs="Segoe UI"/>
          <w:i/>
          <w:color w:val="0D0D0D" w:themeColor="text1" w:themeTint="F2"/>
          <w:sz w:val="18"/>
          <w:szCs w:val="20"/>
        </w:rPr>
        <w:t>πελατών</w:t>
      </w:r>
      <w:r w:rsidRPr="00BC04E0">
        <w:rPr>
          <w:rFonts w:ascii="Segoe UI" w:hAnsi="Segoe UI" w:cs="Segoe UI"/>
          <w:i/>
          <w:color w:val="0D0D0D" w:themeColor="text1" w:themeTint="F2"/>
          <w:sz w:val="18"/>
          <w:szCs w:val="20"/>
        </w:rPr>
        <w:t xml:space="preserve"> </w:t>
      </w:r>
      <w:r w:rsidR="00E0744A">
        <w:rPr>
          <w:rFonts w:ascii="Segoe UI" w:hAnsi="Segoe UI" w:cs="Segoe UI"/>
          <w:i/>
          <w:color w:val="0D0D0D" w:themeColor="text1" w:themeTint="F2"/>
          <w:sz w:val="18"/>
          <w:szCs w:val="20"/>
        </w:rPr>
        <w:t>της</w:t>
      </w:r>
      <w:r w:rsidR="008D4292">
        <w:rPr>
          <w:rFonts w:ascii="Segoe UI" w:hAnsi="Segoe UI" w:cs="Segoe UI"/>
          <w:i/>
          <w:color w:val="0D0D0D" w:themeColor="text1" w:themeTint="F2"/>
          <w:sz w:val="18"/>
          <w:szCs w:val="20"/>
        </w:rPr>
        <w:t>,</w:t>
      </w:r>
      <w:r w:rsidR="00E0744A">
        <w:rPr>
          <w:rFonts w:ascii="Segoe UI" w:hAnsi="Segoe UI" w:cs="Segoe UI"/>
          <w:i/>
          <w:color w:val="0D0D0D" w:themeColor="text1" w:themeTint="F2"/>
          <w:sz w:val="18"/>
          <w:szCs w:val="20"/>
        </w:rPr>
        <w:t xml:space="preserve"> </w:t>
      </w:r>
      <w:r w:rsidR="004D2D87">
        <w:rPr>
          <w:rFonts w:ascii="Segoe UI" w:hAnsi="Segoe UI" w:cs="Segoe UI"/>
          <w:i/>
          <w:color w:val="0D0D0D" w:themeColor="text1" w:themeTint="F2"/>
          <w:sz w:val="18"/>
          <w:szCs w:val="20"/>
        </w:rPr>
        <w:t xml:space="preserve">συντελώντας </w:t>
      </w:r>
      <w:r w:rsidR="00E0744A">
        <w:rPr>
          <w:rFonts w:ascii="Segoe UI" w:hAnsi="Segoe UI" w:cs="Segoe UI"/>
          <w:i/>
          <w:color w:val="0D0D0D" w:themeColor="text1" w:themeTint="F2"/>
          <w:sz w:val="18"/>
          <w:szCs w:val="20"/>
        </w:rPr>
        <w:t xml:space="preserve">με αυτόν τον τρόπο </w:t>
      </w:r>
      <w:r w:rsidR="004D2D87">
        <w:rPr>
          <w:rFonts w:ascii="Segoe UI" w:hAnsi="Segoe UI" w:cs="Segoe UI"/>
          <w:i/>
          <w:color w:val="0D0D0D" w:themeColor="text1" w:themeTint="F2"/>
          <w:sz w:val="18"/>
          <w:szCs w:val="20"/>
        </w:rPr>
        <w:t>σ</w:t>
      </w:r>
      <w:r w:rsidRPr="00BC04E0">
        <w:rPr>
          <w:rFonts w:ascii="Segoe UI" w:hAnsi="Segoe UI" w:cs="Segoe UI"/>
          <w:i/>
          <w:color w:val="0D0D0D" w:themeColor="text1" w:themeTint="F2"/>
          <w:sz w:val="18"/>
          <w:szCs w:val="20"/>
        </w:rPr>
        <w:t xml:space="preserve">την </w:t>
      </w:r>
      <w:r w:rsidR="004D2D87">
        <w:rPr>
          <w:rFonts w:ascii="Segoe UI" w:hAnsi="Segoe UI" w:cs="Segoe UI"/>
          <w:i/>
          <w:color w:val="0D0D0D" w:themeColor="text1" w:themeTint="F2"/>
          <w:sz w:val="18"/>
          <w:szCs w:val="20"/>
        </w:rPr>
        <w:t xml:space="preserve">ανάπτυξη της </w:t>
      </w:r>
      <w:r w:rsidRPr="00BC04E0">
        <w:rPr>
          <w:rFonts w:ascii="Segoe UI" w:hAnsi="Segoe UI" w:cs="Segoe UI"/>
          <w:i/>
          <w:color w:val="0D0D0D" w:themeColor="text1" w:themeTint="F2"/>
          <w:sz w:val="18"/>
          <w:szCs w:val="20"/>
        </w:rPr>
        <w:t>οικονομία</w:t>
      </w:r>
      <w:r w:rsidR="004D2D87">
        <w:rPr>
          <w:rFonts w:ascii="Segoe UI" w:hAnsi="Segoe UI" w:cs="Segoe UI"/>
          <w:i/>
          <w:color w:val="0D0D0D" w:themeColor="text1" w:themeTint="F2"/>
          <w:sz w:val="18"/>
          <w:szCs w:val="20"/>
        </w:rPr>
        <w:t>ς</w:t>
      </w:r>
      <w:r w:rsidRPr="00BC04E0">
        <w:rPr>
          <w:rFonts w:ascii="Segoe UI" w:hAnsi="Segoe UI" w:cs="Segoe UI"/>
          <w:i/>
          <w:color w:val="0D0D0D" w:themeColor="text1" w:themeTint="F2"/>
          <w:sz w:val="18"/>
          <w:szCs w:val="20"/>
        </w:rPr>
        <w:t xml:space="preserve">.  </w:t>
      </w:r>
      <w:r w:rsidR="00A125BB" w:rsidRPr="00A125BB">
        <w:rPr>
          <w:rFonts w:ascii="Segoe UI" w:hAnsi="Segoe UI" w:cs="Segoe UI"/>
          <w:i/>
          <w:color w:val="0D0D0D" w:themeColor="text1" w:themeTint="F2"/>
          <w:sz w:val="18"/>
          <w:szCs w:val="20"/>
        </w:rPr>
        <w:t xml:space="preserve">  </w:t>
      </w:r>
    </w:p>
    <w:p w:rsidR="004C28F4" w:rsidRDefault="004C28F4" w:rsidP="00B269C6">
      <w:pPr>
        <w:jc w:val="right"/>
        <w:rPr>
          <w:rFonts w:ascii="Segoe UI" w:hAnsi="Segoe UI" w:cs="Segoe UI"/>
          <w:i/>
          <w:sz w:val="18"/>
          <w:lang w:eastAsia="en-GB"/>
        </w:rPr>
      </w:pPr>
    </w:p>
    <w:p w:rsidR="006E7557" w:rsidRPr="00F045E4" w:rsidRDefault="006E7557" w:rsidP="00B269C6">
      <w:pPr>
        <w:jc w:val="right"/>
        <w:rPr>
          <w:rFonts w:ascii="Segoe UI" w:hAnsi="Segoe UI" w:cs="Segoe UI"/>
          <w:i/>
          <w:sz w:val="18"/>
          <w:lang w:eastAsia="en-GB"/>
        </w:rPr>
      </w:pPr>
    </w:p>
    <w:p w:rsidR="004C28F4" w:rsidRDefault="004C28F4" w:rsidP="00B269C6">
      <w:pPr>
        <w:jc w:val="right"/>
        <w:rPr>
          <w:rFonts w:ascii="Segoe UI" w:hAnsi="Segoe UI" w:cs="Segoe UI"/>
          <w:i/>
          <w:sz w:val="18"/>
          <w:lang w:eastAsia="en-GB"/>
        </w:rPr>
      </w:pPr>
    </w:p>
    <w:p w:rsidR="00B269C6" w:rsidRPr="00C648A5" w:rsidRDefault="00B269C6" w:rsidP="00B269C6">
      <w:pPr>
        <w:jc w:val="right"/>
        <w:rPr>
          <w:rFonts w:ascii="Segoe UI" w:hAnsi="Segoe UI" w:cs="Segoe UI"/>
          <w:i/>
          <w:sz w:val="18"/>
          <w:lang w:eastAsia="en-GB"/>
        </w:rPr>
      </w:pPr>
      <w:r w:rsidRPr="00C648A5">
        <w:rPr>
          <w:rFonts w:ascii="Segoe UI" w:hAnsi="Segoe UI" w:cs="Segoe UI"/>
          <w:i/>
          <w:sz w:val="18"/>
          <w:lang w:eastAsia="en-GB"/>
        </w:rPr>
        <w:t xml:space="preserve">Αθήνα, </w:t>
      </w:r>
      <w:r w:rsidR="00CE36CA">
        <w:rPr>
          <w:rFonts w:ascii="Segoe UI" w:hAnsi="Segoe UI" w:cs="Segoe UI"/>
          <w:i/>
          <w:sz w:val="18"/>
          <w:lang w:eastAsia="en-GB"/>
        </w:rPr>
        <w:t>30 Νοεμβρίου</w:t>
      </w:r>
      <w:r w:rsidR="00BF7AAE">
        <w:rPr>
          <w:rFonts w:ascii="Segoe UI" w:hAnsi="Segoe UI" w:cs="Segoe UI"/>
          <w:i/>
          <w:sz w:val="18"/>
          <w:lang w:eastAsia="en-GB"/>
        </w:rPr>
        <w:t xml:space="preserve"> </w:t>
      </w:r>
      <w:r w:rsidRPr="00C648A5">
        <w:rPr>
          <w:rFonts w:ascii="Segoe UI" w:hAnsi="Segoe UI" w:cs="Segoe UI"/>
          <w:i/>
          <w:sz w:val="18"/>
          <w:lang w:eastAsia="en-GB"/>
        </w:rPr>
        <w:t>2020</w:t>
      </w:r>
    </w:p>
    <w:p w:rsidR="00B269C6" w:rsidRPr="00C648A5" w:rsidRDefault="00B269C6" w:rsidP="00B269C6">
      <w:pPr>
        <w:jc w:val="right"/>
        <w:rPr>
          <w:rFonts w:ascii="Segoe UI" w:hAnsi="Segoe UI" w:cs="Segoe UI"/>
          <w:i/>
          <w:sz w:val="18"/>
          <w:lang w:eastAsia="en-GB"/>
        </w:rPr>
      </w:pPr>
      <w:r w:rsidRPr="00C648A5">
        <w:rPr>
          <w:rFonts w:ascii="Segoe UI" w:hAnsi="Segoe UI" w:cs="Segoe UI"/>
          <w:i/>
          <w:sz w:val="18"/>
          <w:lang w:eastAsia="en-GB"/>
        </w:rPr>
        <w:t>Παύλος Μυλωνάς</w:t>
      </w:r>
    </w:p>
    <w:p w:rsidR="00E55AED" w:rsidRPr="00C648A5" w:rsidRDefault="00B269C6" w:rsidP="00B269C6">
      <w:pPr>
        <w:jc w:val="right"/>
        <w:rPr>
          <w:rFonts w:ascii="Segoe UI" w:hAnsi="Segoe UI" w:cs="Segoe UI"/>
          <w:i/>
          <w:sz w:val="18"/>
          <w:lang w:eastAsia="en-GB"/>
        </w:rPr>
      </w:pPr>
      <w:r w:rsidRPr="00C648A5">
        <w:rPr>
          <w:rFonts w:ascii="Segoe UI" w:hAnsi="Segoe UI" w:cs="Segoe UI"/>
          <w:i/>
          <w:sz w:val="18"/>
          <w:lang w:eastAsia="en-GB"/>
        </w:rPr>
        <w:t>Διευθύνων Σύμβουλος ΕΤΕ</w:t>
      </w:r>
    </w:p>
    <w:p w:rsidR="00A72C4D" w:rsidRPr="00E95FD5" w:rsidRDefault="00A72C4D" w:rsidP="00B269C6">
      <w:pPr>
        <w:jc w:val="right"/>
        <w:rPr>
          <w:rFonts w:ascii="Segoe UI" w:hAnsi="Segoe UI" w:cs="Segoe UI"/>
          <w:i/>
          <w:sz w:val="20"/>
          <w:lang w:eastAsia="en-GB"/>
        </w:rPr>
      </w:pPr>
    </w:p>
    <w:p w:rsidR="00E55AED" w:rsidRPr="00E95FD5" w:rsidRDefault="00E55AED" w:rsidP="00E55AED">
      <w:pPr>
        <w:rPr>
          <w:rFonts w:ascii="Segoe UI" w:hAnsi="Segoe UI" w:cs="Segoe UI"/>
          <w:b/>
          <w:sz w:val="16"/>
        </w:rPr>
      </w:pPr>
      <w:r w:rsidRPr="00E95FD5">
        <w:rPr>
          <w:rFonts w:ascii="Segoe UI" w:hAnsi="Segoe UI" w:cs="Segoe UI"/>
          <w:b/>
          <w:sz w:val="16"/>
        </w:rPr>
        <w:br w:type="page"/>
      </w:r>
    </w:p>
    <w:p w:rsidR="00931D2C" w:rsidRPr="00EE40A0" w:rsidRDefault="009F7797" w:rsidP="00931D2C">
      <w:pPr>
        <w:pStyle w:val="TITLEINBODY"/>
        <w:rPr>
          <w:rFonts w:ascii="Segoe UI" w:hAnsi="Segoe UI" w:cs="Segoe UI"/>
        </w:rPr>
      </w:pPr>
      <w:r>
        <w:rPr>
          <w:rFonts w:ascii="Segoe UI" w:hAnsi="Segoe UI" w:cs="Segoe UI"/>
          <w:noProof/>
          <w:lang w:val="el-GR" w:eastAsia="el-GR"/>
        </w:rPr>
        <w:lastRenderedPageBreak/>
        <mc:AlternateContent>
          <mc:Choice Requires="wps">
            <w:drawing>
              <wp:anchor distT="0" distB="0" distL="114300" distR="114300" simplePos="0" relativeHeight="251653632" behindDoc="0" locked="0" layoutInCell="1" allowOverlap="1">
                <wp:simplePos x="0" y="0"/>
                <wp:positionH relativeFrom="column">
                  <wp:posOffset>-48577</wp:posOffset>
                </wp:positionH>
                <wp:positionV relativeFrom="paragraph">
                  <wp:posOffset>327025</wp:posOffset>
                </wp:positionV>
                <wp:extent cx="2981960" cy="311150"/>
                <wp:effectExtent l="0" t="0" r="8890" b="0"/>
                <wp:wrapNone/>
                <wp:docPr id="23" name="Text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981960" cy="311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F56" w:rsidRPr="00053193" w:rsidRDefault="00D95F56" w:rsidP="00E55AED">
                            <w:pPr>
                              <w:kinsoku w:val="0"/>
                              <w:overflowPunct w:val="0"/>
                              <w:spacing w:before="40"/>
                              <w:ind w:left="547" w:hanging="547"/>
                              <w:textAlignment w:val="baseline"/>
                              <w:rPr>
                                <w:b/>
                                <w:color w:val="008080"/>
                                <w:sz w:val="16"/>
                              </w:rPr>
                            </w:pPr>
                            <w:r>
                              <w:rPr>
                                <w:rFonts w:ascii="Segoe UI" w:eastAsia="Segoe UI" w:hAnsi="Segoe UI" w:cs="Segoe UI"/>
                                <w:b/>
                                <w:color w:val="008080"/>
                                <w:kern w:val="24"/>
                                <w:sz w:val="20"/>
                              </w:rPr>
                              <w:t>Κατάσταση</w:t>
                            </w:r>
                            <w:r w:rsidRPr="004810B7">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Αποτελεσμάτων</w:t>
                            </w:r>
                            <w:r w:rsidRPr="004810B7">
                              <w:rPr>
                                <w:rFonts w:ascii="Segoe UI" w:eastAsia="Segoe UI" w:hAnsi="Segoe UI" w:cs="Segoe UI"/>
                                <w:b/>
                                <w:color w:val="008080"/>
                                <w:kern w:val="24"/>
                                <w:sz w:val="20"/>
                                <w:lang w:val="en-US"/>
                              </w:rPr>
                              <w:t xml:space="preserve"> | </w:t>
                            </w:r>
                            <w:r>
                              <w:rPr>
                                <w:rFonts w:ascii="Segoe UI" w:eastAsia="Segoe UI" w:hAnsi="Segoe UI" w:cs="Segoe UI"/>
                                <w:b/>
                                <w:color w:val="008080"/>
                                <w:kern w:val="24"/>
                                <w:sz w:val="20"/>
                              </w:rPr>
                              <w:t>Όμιλος</w:t>
                            </w: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id="Text Placeholder 1" o:spid="_x0000_s1031" style="position:absolute;margin-left:-3.8pt;margin-top:25.75pt;width:234.8pt;height:2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" filled="f" stroked="f">
                <v:path arrowok="t"/>
                <o:lock v:ext="edit" grouping="t"/>
                <v:textbox inset="1.2699mm,1.2699mm,1.2699mm,1.2699mm">
                  <w:txbxContent>
                    <w:p w:rsidR="00D95F56" w:rsidRPr="00053193" w:rsidRDefault="00D95F56" w:rsidP="00E55AED">
                      <w:pPr>
                        <w:kinsoku w:val="0"/>
                        <w:overflowPunct w:val="0"/>
                        <w:spacing w:before="40"/>
                        <w:ind w:left="547" w:hanging="547"/>
                        <w:textAlignment w:val="baseline"/>
                        <w:rPr>
                          <w:b/>
                          <w:color w:val="008080"/>
                          <w:sz w:val="16"/>
                        </w:rPr>
                      </w:pPr>
                      <w:r>
                        <w:rPr>
                          <w:rFonts w:ascii="Segoe UI" w:eastAsia="Segoe UI" w:hAnsi="Segoe UI" w:cs="Segoe UI"/>
                          <w:b/>
                          <w:color w:val="008080"/>
                          <w:kern w:val="24"/>
                          <w:sz w:val="20"/>
                        </w:rPr>
                        <w:t>Κατάσταση</w:t>
                      </w:r>
                      <w:r w:rsidRPr="004810B7">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Αποτελεσμάτων</w:t>
                      </w:r>
                      <w:r w:rsidRPr="004810B7">
                        <w:rPr>
                          <w:rFonts w:ascii="Segoe UI" w:eastAsia="Segoe UI" w:hAnsi="Segoe UI" w:cs="Segoe UI"/>
                          <w:b/>
                          <w:color w:val="008080"/>
                          <w:kern w:val="24"/>
                          <w:sz w:val="20"/>
                          <w:lang w:val="en-US"/>
                        </w:rPr>
                        <w:t xml:space="preserve"> | </w:t>
                      </w:r>
                      <w:r>
                        <w:rPr>
                          <w:rFonts w:ascii="Segoe UI" w:eastAsia="Segoe UI" w:hAnsi="Segoe UI" w:cs="Segoe UI"/>
                          <w:b/>
                          <w:color w:val="008080"/>
                          <w:kern w:val="24"/>
                          <w:sz w:val="20"/>
                        </w:rPr>
                        <w:t>Όμιλος</w:t>
                      </w:r>
                    </w:p>
                  </w:txbxContent>
                </v:textbox>
              </v:rect>
            </w:pict>
          </mc:Fallback>
        </mc:AlternateContent>
      </w:r>
      <w:r w:rsidR="00FC133B">
        <w:rPr>
          <w:rFonts w:ascii="Segoe UI" w:hAnsi="Segoe UI" w:cs="Segoe UI"/>
          <w:noProof/>
          <w:lang w:val="el-GR" w:eastAsia="el-GR"/>
        </w:rPr>
        <w:t xml:space="preserve">Κύρια Χρηματοοικονομικά Μεγέθη </w:t>
      </w:r>
    </w:p>
    <w:p w:rsidR="00E55AED" w:rsidRPr="00EE40A0" w:rsidRDefault="009731C9" w:rsidP="00E55AED">
      <w:pPr>
        <w:spacing w:after="160"/>
        <w:jc w:val="both"/>
        <w:rPr>
          <w:rFonts w:ascii="Segoe UI" w:hAnsi="Segoe UI" w:cs="Segoe UI"/>
          <w:b/>
          <w:sz w:val="20"/>
          <w:szCs w:val="20"/>
        </w:rPr>
      </w:pPr>
      <w:r>
        <w:rPr>
          <w:rFonts w:ascii="Segoe UI" w:hAnsi="Segoe UI" w:cs="Segoe UI"/>
          <w:noProof/>
          <w:sz w:val="14"/>
          <w:szCs w:val="14"/>
          <w:lang w:eastAsia="el-GR"/>
        </w:rPr>
        <mc:AlternateContent>
          <mc:Choice Requires="wps">
            <w:drawing>
              <wp:anchor distT="0" distB="0" distL="114300" distR="114300" simplePos="0" relativeHeight="251652608" behindDoc="0" locked="0" layoutInCell="1" allowOverlap="1" wp14:anchorId="5F9733EF" wp14:editId="46B04119">
                <wp:simplePos x="0" y="0"/>
                <wp:positionH relativeFrom="column">
                  <wp:posOffset>2734615</wp:posOffset>
                </wp:positionH>
                <wp:positionV relativeFrom="paragraph">
                  <wp:posOffset>260985</wp:posOffset>
                </wp:positionV>
                <wp:extent cx="612000" cy="3167380"/>
                <wp:effectExtent l="0" t="0" r="17145" b="13970"/>
                <wp:wrapNone/>
                <wp:docPr id="20"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00" cy="316738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22AF178F" id="Rounded Rectangle 18" o:spid="_x0000_s1026" style="position:absolute;margin-left:215.3pt;margin-top:20.55pt;width:48.2pt;height:24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" filled="f" strokecolor="#ff7415">
                <v:path arrowok="t"/>
              </v:roundrect>
            </w:pict>
          </mc:Fallback>
        </mc:AlternateContent>
      </w:r>
    </w:p>
    <w:tbl>
      <w:tblPr>
        <w:tblW w:w="4983" w:type="pct"/>
        <w:tblLayout w:type="fixed"/>
        <w:tblCellMar>
          <w:left w:w="0" w:type="dxa"/>
          <w:right w:w="0" w:type="dxa"/>
        </w:tblCellMar>
        <w:tblLook w:val="0420" w:firstRow="1" w:lastRow="0" w:firstColumn="0" w:lastColumn="0" w:noHBand="0" w:noVBand="1"/>
      </w:tblPr>
      <w:tblGrid>
        <w:gridCol w:w="4311"/>
        <w:gridCol w:w="976"/>
        <w:gridCol w:w="976"/>
        <w:gridCol w:w="976"/>
        <w:gridCol w:w="976"/>
        <w:gridCol w:w="976"/>
        <w:gridCol w:w="972"/>
      </w:tblGrid>
      <w:tr w:rsidR="000C14F0" w:rsidRPr="00E95FD5" w:rsidTr="0039618F">
        <w:trPr>
          <w:trHeight w:val="170"/>
        </w:trPr>
        <w:tc>
          <w:tcPr>
            <w:tcW w:w="2121"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tcPr>
          <w:p w:rsidR="000C14F0" w:rsidRPr="0098297F" w:rsidRDefault="000C14F0" w:rsidP="00B5579A">
            <w:pPr>
              <w:spacing w:before="38"/>
              <w:textAlignment w:val="baseline"/>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 </w:t>
            </w:r>
            <w:r>
              <w:rPr>
                <w:rFonts w:ascii="Segoe UI" w:eastAsia="Segoe UI" w:hAnsi="Segoe UI" w:cs="Segoe UI"/>
                <w:b/>
                <w:bCs/>
                <w:color w:val="000000"/>
                <w:kern w:val="24"/>
                <w:sz w:val="14"/>
                <w:szCs w:val="14"/>
                <w:lang w:eastAsia="el-GR"/>
              </w:rPr>
              <w:t>εκατ.</w:t>
            </w:r>
          </w:p>
        </w:tc>
        <w:tc>
          <w:tcPr>
            <w:tcW w:w="480" w:type="pct"/>
            <w:tcBorders>
              <w:top w:val="single" w:sz="8" w:space="0" w:color="000000"/>
              <w:left w:val="nil"/>
              <w:bottom w:val="single" w:sz="8" w:space="0" w:color="000000"/>
              <w:right w:val="nil"/>
            </w:tcBorders>
            <w:vAlign w:val="center"/>
          </w:tcPr>
          <w:p w:rsidR="000C14F0" w:rsidRPr="00E95FD5" w:rsidRDefault="00FB7108" w:rsidP="00C02F1B">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Γ</w:t>
            </w:r>
            <w:r w:rsidR="000C14F0" w:rsidRPr="00E95FD5">
              <w:rPr>
                <w:rFonts w:ascii="Segoe UI" w:eastAsia="Times New Roman" w:hAnsi="Segoe UI" w:cs="Segoe UI"/>
                <w:b/>
                <w:bCs/>
                <w:color w:val="000000" w:themeColor="text1"/>
                <w:kern w:val="24"/>
                <w:sz w:val="14"/>
                <w:szCs w:val="14"/>
                <w:lang w:eastAsia="el-GR"/>
              </w:rPr>
              <w:t>‘ τρίμηνο 20</w:t>
            </w:r>
            <w:r w:rsidR="000C14F0">
              <w:rPr>
                <w:rFonts w:ascii="Segoe UI" w:eastAsia="Times New Roman" w:hAnsi="Segoe UI" w:cs="Segoe UI"/>
                <w:b/>
                <w:bCs/>
                <w:color w:val="000000" w:themeColor="text1"/>
                <w:kern w:val="24"/>
                <w:sz w:val="14"/>
                <w:szCs w:val="14"/>
                <w:lang w:eastAsia="el-GR"/>
              </w:rPr>
              <w:t>20</w:t>
            </w:r>
            <w:r w:rsidR="000C14F0" w:rsidRPr="00E95FD5">
              <w:rPr>
                <w:rFonts w:ascii="Segoe UI" w:eastAsia="Times New Roman" w:hAnsi="Segoe UI" w:cs="Segoe UI"/>
                <w:b/>
                <w:bCs/>
                <w:color w:val="000000" w:themeColor="text1"/>
                <w:kern w:val="24"/>
                <w:sz w:val="14"/>
                <w:szCs w:val="14"/>
                <w:lang w:eastAsia="el-GR"/>
              </w:rPr>
              <w:t xml:space="preserve"> </w:t>
            </w:r>
          </w:p>
        </w:tc>
        <w:tc>
          <w:tcPr>
            <w:tcW w:w="480" w:type="pct"/>
            <w:tcBorders>
              <w:top w:val="single" w:sz="8" w:space="0" w:color="000000"/>
              <w:left w:val="nil"/>
              <w:bottom w:val="single" w:sz="8" w:space="0" w:color="000000"/>
              <w:right w:val="nil"/>
            </w:tcBorders>
            <w:vAlign w:val="center"/>
          </w:tcPr>
          <w:p w:rsidR="000C14F0" w:rsidRPr="00E95FD5" w:rsidRDefault="00FB7108" w:rsidP="00C02F1B">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Β</w:t>
            </w:r>
            <w:r w:rsidR="000C14F0" w:rsidRPr="00E95FD5">
              <w:rPr>
                <w:rFonts w:ascii="Segoe UI" w:eastAsia="Times New Roman" w:hAnsi="Segoe UI" w:cs="Segoe UI"/>
                <w:b/>
                <w:bCs/>
                <w:color w:val="000000" w:themeColor="text1"/>
                <w:kern w:val="24"/>
                <w:sz w:val="14"/>
                <w:szCs w:val="14"/>
                <w:lang w:eastAsia="el-GR"/>
              </w:rPr>
              <w:t>‘ τρίμηνο 20</w:t>
            </w:r>
            <w:r w:rsidR="000C14F0">
              <w:rPr>
                <w:rFonts w:ascii="Segoe UI" w:eastAsia="Times New Roman" w:hAnsi="Segoe UI" w:cs="Segoe UI"/>
                <w:b/>
                <w:bCs/>
                <w:color w:val="000000" w:themeColor="text1"/>
                <w:kern w:val="24"/>
                <w:sz w:val="14"/>
                <w:szCs w:val="14"/>
                <w:lang w:eastAsia="el-GR"/>
              </w:rPr>
              <w:t>20</w:t>
            </w:r>
            <w:r w:rsidR="000C14F0" w:rsidRPr="00E95FD5">
              <w:rPr>
                <w:rFonts w:ascii="Segoe UI" w:eastAsia="Times New Roman" w:hAnsi="Segoe UI" w:cs="Segoe UI"/>
                <w:b/>
                <w:bCs/>
                <w:color w:val="000000" w:themeColor="text1"/>
                <w:kern w:val="24"/>
                <w:sz w:val="14"/>
                <w:szCs w:val="14"/>
                <w:lang w:eastAsia="el-GR"/>
              </w:rPr>
              <w:t xml:space="preserve"> </w:t>
            </w:r>
          </w:p>
        </w:tc>
        <w:tc>
          <w:tcPr>
            <w:tcW w:w="480" w:type="pct"/>
            <w:tcBorders>
              <w:top w:val="single" w:sz="8" w:space="0" w:color="000000"/>
              <w:left w:val="nil"/>
              <w:bottom w:val="single" w:sz="8" w:space="0" w:color="000000"/>
              <w:right w:val="nil"/>
            </w:tcBorders>
            <w:vAlign w:val="center"/>
          </w:tcPr>
          <w:p w:rsidR="000C14F0" w:rsidRPr="00E95FD5" w:rsidRDefault="000C14F0" w:rsidP="00B5579A">
            <w:pPr>
              <w:spacing w:before="38"/>
              <w:ind w:right="142"/>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c>
          <w:tcPr>
            <w:tcW w:w="480" w:type="pct"/>
            <w:tcBorders>
              <w:top w:val="single" w:sz="8" w:space="0" w:color="000000"/>
              <w:left w:val="nil"/>
              <w:bottom w:val="single" w:sz="8" w:space="0" w:color="000000"/>
              <w:right w:val="nil"/>
            </w:tcBorders>
            <w:vAlign w:val="center"/>
          </w:tcPr>
          <w:p w:rsidR="000C14F0" w:rsidRPr="00E95FD5" w:rsidRDefault="00FB7108" w:rsidP="00C02F1B">
            <w:pPr>
              <w:ind w:right="148"/>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Εννεάμηνο</w:t>
            </w:r>
            <w:r w:rsidR="000C14F0" w:rsidRPr="0077020D">
              <w:rPr>
                <w:rFonts w:ascii="Segoe UI" w:eastAsia="Times New Roman" w:hAnsi="Segoe UI" w:cs="Segoe UI"/>
                <w:b/>
                <w:bCs/>
                <w:color w:val="000000" w:themeColor="text1"/>
                <w:kern w:val="24"/>
                <w:sz w:val="14"/>
                <w:szCs w:val="14"/>
                <w:lang w:eastAsia="el-GR"/>
              </w:rPr>
              <w:t xml:space="preserve"> 20</w:t>
            </w:r>
            <w:r w:rsidR="000C14F0">
              <w:rPr>
                <w:rFonts w:ascii="Segoe UI" w:eastAsia="Times New Roman" w:hAnsi="Segoe UI" w:cs="Segoe UI"/>
                <w:b/>
                <w:bCs/>
                <w:color w:val="000000" w:themeColor="text1"/>
                <w:kern w:val="24"/>
                <w:sz w:val="14"/>
                <w:szCs w:val="14"/>
                <w:lang w:eastAsia="el-GR"/>
              </w:rPr>
              <w:t>20</w:t>
            </w:r>
          </w:p>
        </w:tc>
        <w:tc>
          <w:tcPr>
            <w:tcW w:w="480" w:type="pct"/>
            <w:tcBorders>
              <w:top w:val="single" w:sz="8" w:space="0" w:color="000000"/>
              <w:left w:val="nil"/>
              <w:bottom w:val="single" w:sz="8" w:space="0" w:color="000000"/>
              <w:right w:val="nil"/>
            </w:tcBorders>
            <w:vAlign w:val="center"/>
          </w:tcPr>
          <w:p w:rsidR="000C14F0" w:rsidRPr="00E95FD5" w:rsidRDefault="00FB7108" w:rsidP="00C02F1B">
            <w:pPr>
              <w:ind w:right="148"/>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Εννεάμηνο</w:t>
            </w:r>
            <w:r w:rsidRPr="0077020D">
              <w:rPr>
                <w:rFonts w:ascii="Segoe UI" w:eastAsia="Times New Roman" w:hAnsi="Segoe UI" w:cs="Segoe UI"/>
                <w:b/>
                <w:bCs/>
                <w:color w:val="000000" w:themeColor="text1"/>
                <w:kern w:val="24"/>
                <w:sz w:val="14"/>
                <w:szCs w:val="14"/>
                <w:lang w:eastAsia="el-GR"/>
              </w:rPr>
              <w:t xml:space="preserve"> </w:t>
            </w:r>
            <w:r w:rsidR="000C14F0" w:rsidRPr="00E95FD5">
              <w:rPr>
                <w:rFonts w:ascii="Segoe UI" w:eastAsia="Times New Roman" w:hAnsi="Segoe UI" w:cs="Segoe UI"/>
                <w:b/>
                <w:bCs/>
                <w:color w:val="000000" w:themeColor="text1"/>
                <w:kern w:val="24"/>
                <w:sz w:val="14"/>
                <w:szCs w:val="14"/>
                <w:lang w:eastAsia="el-GR"/>
              </w:rPr>
              <w:t>2019</w:t>
            </w:r>
          </w:p>
        </w:tc>
        <w:tc>
          <w:tcPr>
            <w:tcW w:w="478"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tcPr>
          <w:p w:rsidR="000C14F0" w:rsidRPr="00E95FD5" w:rsidRDefault="000C14F0" w:rsidP="00B5579A">
            <w:pPr>
              <w:spacing w:before="38"/>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r>
      <w:tr w:rsidR="0039618F" w:rsidRPr="00E95FD5" w:rsidTr="0039618F">
        <w:trPr>
          <w:trHeight w:hRule="exact" w:val="227"/>
        </w:trPr>
        <w:tc>
          <w:tcPr>
            <w:tcW w:w="2121"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39618F" w:rsidRPr="00E95FD5" w:rsidRDefault="0039618F" w:rsidP="0039618F">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Καθαρά έσοδα από τόκους</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304 </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273 </w:t>
            </w:r>
          </w:p>
        </w:tc>
        <w:tc>
          <w:tcPr>
            <w:tcW w:w="480" w:type="pct"/>
            <w:tcBorders>
              <w:top w:val="nil"/>
              <w:left w:val="nil"/>
              <w:bottom w:val="nil"/>
            </w:tcBorders>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12%</w:t>
            </w:r>
          </w:p>
        </w:tc>
        <w:tc>
          <w:tcPr>
            <w:tcW w:w="480" w:type="pct"/>
            <w:tcBorders>
              <w:top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855 </w:t>
            </w:r>
          </w:p>
        </w:tc>
        <w:tc>
          <w:tcPr>
            <w:tcW w:w="480" w:type="pct"/>
            <w:tcBorders>
              <w:top w:val="nil"/>
              <w:left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901 </w:t>
            </w:r>
          </w:p>
        </w:tc>
        <w:tc>
          <w:tcPr>
            <w:tcW w:w="478" w:type="pct"/>
            <w:tcBorders>
              <w:top w:val="single" w:sz="4" w:space="0" w:color="auto"/>
              <w:left w:val="nil"/>
              <w:bottom w:val="nil"/>
            </w:tcBorders>
            <w:shd w:val="clear" w:color="auto" w:fill="auto"/>
            <w:tcMar>
              <w:top w:w="15" w:type="dxa"/>
              <w:left w:w="15" w:type="dxa"/>
              <w:bottom w:w="0" w:type="dxa"/>
              <w:right w:w="78"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-5%</w:t>
            </w:r>
          </w:p>
        </w:tc>
      </w:tr>
      <w:tr w:rsidR="0039618F" w:rsidRPr="00E95FD5" w:rsidTr="0039618F">
        <w:trPr>
          <w:trHeight w:hRule="exact" w:val="227"/>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39618F" w:rsidRPr="00E95FD5" w:rsidRDefault="0039618F" w:rsidP="0039618F">
            <w:pPr>
              <w:textAlignment w:val="center"/>
              <w:rPr>
                <w:rFonts w:ascii="Segoe UI" w:eastAsia="Times New Roman" w:hAnsi="Segoe UI" w:cs="Segoe UI"/>
                <w:sz w:val="14"/>
                <w:szCs w:val="14"/>
                <w:lang w:eastAsia="el-GR"/>
              </w:rPr>
            </w:pPr>
            <w:r w:rsidRPr="00E95FD5">
              <w:rPr>
                <w:rFonts w:ascii="Segoe UI" w:eastAsia="Segoe UI" w:hAnsi="Segoe UI" w:cs="Segoe UI"/>
                <w:color w:val="000000" w:themeColor="text1"/>
                <w:kern w:val="24"/>
                <w:sz w:val="14"/>
                <w:szCs w:val="14"/>
                <w:lang w:eastAsia="el-GR"/>
              </w:rPr>
              <w:t>Καθαρά έσοδα από προμήθειες</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65 </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57 </w:t>
            </w:r>
          </w:p>
        </w:tc>
        <w:tc>
          <w:tcPr>
            <w:tcW w:w="480" w:type="pct"/>
            <w:tcBorders>
              <w:top w:val="nil"/>
              <w:left w:val="nil"/>
              <w:bottom w:val="nil"/>
            </w:tcBorders>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13%</w:t>
            </w:r>
          </w:p>
        </w:tc>
        <w:tc>
          <w:tcPr>
            <w:tcW w:w="480" w:type="pct"/>
            <w:tcBorders>
              <w:top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188 </w:t>
            </w:r>
          </w:p>
        </w:tc>
        <w:tc>
          <w:tcPr>
            <w:tcW w:w="480" w:type="pct"/>
            <w:tcBorders>
              <w:top w:val="nil"/>
              <w:left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185 </w:t>
            </w:r>
          </w:p>
        </w:tc>
        <w:tc>
          <w:tcPr>
            <w:tcW w:w="478" w:type="pct"/>
            <w:tcBorders>
              <w:top w:val="nil"/>
              <w:left w:val="nil"/>
              <w:bottom w:val="nil"/>
            </w:tcBorders>
            <w:shd w:val="clear" w:color="auto" w:fill="auto"/>
            <w:tcMar>
              <w:top w:w="15" w:type="dxa"/>
              <w:left w:w="15" w:type="dxa"/>
              <w:bottom w:w="0" w:type="dxa"/>
              <w:right w:w="78"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2%</w:t>
            </w:r>
          </w:p>
        </w:tc>
      </w:tr>
      <w:tr w:rsidR="0039618F" w:rsidRPr="00E95FD5" w:rsidTr="0039618F">
        <w:trPr>
          <w:trHeight w:hRule="exact" w:val="227"/>
        </w:trPr>
        <w:tc>
          <w:tcPr>
            <w:tcW w:w="2121" w:type="pct"/>
            <w:tcBorders>
              <w:top w:val="nil"/>
              <w:left w:val="nil"/>
              <w:bottom w:val="nil"/>
              <w:right w:val="nil"/>
            </w:tcBorders>
            <w:shd w:val="clear" w:color="auto" w:fill="F2F2F2"/>
            <w:tcMar>
              <w:top w:w="15" w:type="dxa"/>
              <w:left w:w="42" w:type="dxa"/>
              <w:bottom w:w="0" w:type="dxa"/>
              <w:right w:w="15" w:type="dxa"/>
            </w:tcMar>
            <w:vAlign w:val="center"/>
            <w:hideMark/>
          </w:tcPr>
          <w:p w:rsidR="0039618F" w:rsidRPr="00E95FD5" w:rsidRDefault="0039618F" w:rsidP="0039618F">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themeColor="text1"/>
                <w:kern w:val="24"/>
                <w:sz w:val="14"/>
                <w:szCs w:val="14"/>
                <w:lang w:eastAsia="el-GR"/>
              </w:rPr>
              <w:t>Οργανικά έσοδα</w:t>
            </w:r>
          </w:p>
        </w:tc>
        <w:tc>
          <w:tcPr>
            <w:tcW w:w="480" w:type="pct"/>
            <w:tcBorders>
              <w:top w:val="nil"/>
              <w:left w:val="nil"/>
              <w:bottom w:val="nil"/>
              <w:right w:val="nil"/>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369 </w:t>
            </w:r>
          </w:p>
        </w:tc>
        <w:tc>
          <w:tcPr>
            <w:tcW w:w="480" w:type="pct"/>
            <w:tcBorders>
              <w:top w:val="nil"/>
              <w:left w:val="nil"/>
              <w:bottom w:val="nil"/>
              <w:right w:val="nil"/>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330 </w:t>
            </w:r>
          </w:p>
        </w:tc>
        <w:tc>
          <w:tcPr>
            <w:tcW w:w="480" w:type="pct"/>
            <w:tcBorders>
              <w:top w:val="nil"/>
              <w:left w:val="nil"/>
              <w:bottom w:val="nil"/>
            </w:tcBorders>
            <w:shd w:val="clear" w:color="000000" w:fill="F2F2F2"/>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12%</w:t>
            </w:r>
          </w:p>
        </w:tc>
        <w:tc>
          <w:tcPr>
            <w:tcW w:w="480" w:type="pct"/>
            <w:tcBorders>
              <w:top w:val="nil"/>
              <w:bottom w:val="nil"/>
              <w:right w:val="nil"/>
            </w:tcBorders>
            <w:shd w:val="clear" w:color="000000" w:fill="F2F2F2"/>
            <w:vAlign w:val="center"/>
          </w:tcPr>
          <w:p w:rsidR="0039618F" w:rsidRPr="0039618F" w:rsidRDefault="00425274" w:rsidP="0039618F">
            <w:pPr>
              <w:pStyle w:val="NormalWeb"/>
              <w:spacing w:before="0" w:beforeAutospacing="0" w:after="0" w:afterAutospacing="0"/>
              <w:ind w:right="148"/>
              <w:jc w:val="right"/>
              <w:textAlignment w:val="center"/>
              <w:rPr>
                <w:rFonts w:ascii="Segoe UI" w:hAnsi="Segoe UI" w:cs="Segoe UI"/>
                <w:b/>
                <w:sz w:val="14"/>
                <w:szCs w:val="16"/>
                <w:lang w:val="en-US"/>
              </w:rPr>
            </w:pPr>
            <w:r>
              <w:rPr>
                <w:rFonts w:ascii="Segoe UI" w:hAnsi="Segoe UI" w:cs="Segoe UI"/>
                <w:b/>
                <w:sz w:val="14"/>
                <w:szCs w:val="16"/>
                <w:lang w:val="en-US"/>
              </w:rPr>
              <w:t>1.</w:t>
            </w:r>
            <w:r w:rsidR="0039618F" w:rsidRPr="0039618F">
              <w:rPr>
                <w:rFonts w:ascii="Segoe UI" w:hAnsi="Segoe UI" w:cs="Segoe UI"/>
                <w:b/>
                <w:sz w:val="14"/>
                <w:szCs w:val="16"/>
                <w:lang w:val="en-US"/>
              </w:rPr>
              <w:t xml:space="preserve">043 </w:t>
            </w:r>
          </w:p>
        </w:tc>
        <w:tc>
          <w:tcPr>
            <w:tcW w:w="480" w:type="pct"/>
            <w:tcBorders>
              <w:top w:val="nil"/>
              <w:left w:val="nil"/>
              <w:bottom w:val="nil"/>
              <w:right w:val="nil"/>
            </w:tcBorders>
            <w:shd w:val="clear" w:color="000000" w:fill="F2F2F2"/>
            <w:vAlign w:val="center"/>
          </w:tcPr>
          <w:p w:rsidR="0039618F" w:rsidRPr="0039618F" w:rsidRDefault="00425274" w:rsidP="0039618F">
            <w:pPr>
              <w:pStyle w:val="NormalWeb"/>
              <w:spacing w:before="0" w:beforeAutospacing="0" w:after="0" w:afterAutospacing="0"/>
              <w:ind w:right="148"/>
              <w:jc w:val="right"/>
              <w:textAlignment w:val="center"/>
              <w:rPr>
                <w:rFonts w:ascii="Segoe UI" w:hAnsi="Segoe UI" w:cs="Segoe UI"/>
                <w:b/>
                <w:sz w:val="14"/>
                <w:szCs w:val="16"/>
                <w:lang w:val="en-US"/>
              </w:rPr>
            </w:pPr>
            <w:r>
              <w:rPr>
                <w:rFonts w:ascii="Segoe UI" w:hAnsi="Segoe UI" w:cs="Segoe UI"/>
                <w:b/>
                <w:sz w:val="14"/>
                <w:szCs w:val="16"/>
                <w:lang w:val="en-US"/>
              </w:rPr>
              <w:t>1.</w:t>
            </w:r>
            <w:r w:rsidR="0039618F" w:rsidRPr="0039618F">
              <w:rPr>
                <w:rFonts w:ascii="Segoe UI" w:hAnsi="Segoe UI" w:cs="Segoe UI"/>
                <w:b/>
                <w:sz w:val="14"/>
                <w:szCs w:val="16"/>
                <w:lang w:val="en-US"/>
              </w:rPr>
              <w:t xml:space="preserve">086 </w:t>
            </w:r>
          </w:p>
        </w:tc>
        <w:tc>
          <w:tcPr>
            <w:tcW w:w="478" w:type="pct"/>
            <w:tcBorders>
              <w:top w:val="nil"/>
              <w:left w:val="nil"/>
              <w:bottom w:val="nil"/>
            </w:tcBorders>
            <w:shd w:val="clear" w:color="000000" w:fill="F2F2F2"/>
            <w:tcMar>
              <w:top w:w="15" w:type="dxa"/>
              <w:left w:w="15" w:type="dxa"/>
              <w:bottom w:w="0" w:type="dxa"/>
              <w:right w:w="78"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-4%</w:t>
            </w:r>
          </w:p>
        </w:tc>
      </w:tr>
      <w:tr w:rsidR="0039618F" w:rsidRPr="00E95FD5" w:rsidTr="0039618F">
        <w:trPr>
          <w:trHeight w:hRule="exact" w:val="227"/>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39618F" w:rsidRPr="00E95FD5" w:rsidRDefault="0039618F" w:rsidP="0039618F">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 xml:space="preserve">Έσοδα από </w:t>
            </w:r>
            <w:r w:rsidRPr="00286F74">
              <w:rPr>
                <w:rFonts w:ascii="Segoe UI" w:eastAsia="Segoe UI" w:hAnsi="Segoe UI" w:cs="Segoe UI"/>
                <w:color w:val="000000"/>
                <w:kern w:val="24"/>
                <w:sz w:val="14"/>
                <w:szCs w:val="14"/>
                <w:lang w:eastAsia="el-GR"/>
              </w:rPr>
              <w:t xml:space="preserve">χρηματοοικονομικές </w:t>
            </w:r>
            <w:r w:rsidRPr="00E95FD5">
              <w:rPr>
                <w:rFonts w:ascii="Segoe UI" w:eastAsia="Segoe UI" w:hAnsi="Segoe UI" w:cs="Segoe UI"/>
                <w:color w:val="000000"/>
                <w:kern w:val="24"/>
                <w:sz w:val="14"/>
                <w:szCs w:val="14"/>
                <w:lang w:eastAsia="el-GR"/>
              </w:rPr>
              <w:t>πράξεις και λοιπά έσοδα</w:t>
            </w:r>
            <w:r w:rsidRPr="0020487F">
              <w:rPr>
                <w:rFonts w:ascii="Segoe UI" w:eastAsia="Segoe UI" w:hAnsi="Segoe UI" w:cs="Segoe UI"/>
                <w:color w:val="000000"/>
                <w:kern w:val="24"/>
                <w:sz w:val="16"/>
                <w:szCs w:val="14"/>
                <w:vertAlign w:val="superscript"/>
                <w:lang w:eastAsia="el-GR"/>
              </w:rPr>
              <w:t>1</w:t>
            </w:r>
          </w:p>
        </w:tc>
        <w:tc>
          <w:tcPr>
            <w:tcW w:w="480" w:type="pct"/>
            <w:tcBorders>
              <w:top w:val="nil"/>
              <w:left w:val="nil"/>
              <w:bottom w:val="nil"/>
              <w:right w:val="nil"/>
            </w:tcBorders>
            <w:vAlign w:val="center"/>
          </w:tcPr>
          <w:p w:rsidR="0039618F" w:rsidRPr="0039618F" w:rsidRDefault="0039618F" w:rsidP="00C224D4">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4</w:t>
            </w:r>
            <w:r w:rsidR="00C224D4">
              <w:rPr>
                <w:rFonts w:ascii="Segoe UI" w:hAnsi="Segoe UI" w:cs="Segoe UI"/>
                <w:sz w:val="14"/>
                <w:szCs w:val="16"/>
              </w:rPr>
              <w:t>3</w:t>
            </w:r>
            <w:r w:rsidRPr="0039618F">
              <w:rPr>
                <w:rFonts w:ascii="Segoe UI" w:hAnsi="Segoe UI" w:cs="Segoe UI"/>
                <w:sz w:val="14"/>
                <w:szCs w:val="16"/>
                <w:lang w:val="en-US"/>
              </w:rPr>
              <w:t xml:space="preserve"> </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12 </w:t>
            </w:r>
          </w:p>
        </w:tc>
        <w:tc>
          <w:tcPr>
            <w:tcW w:w="480" w:type="pct"/>
            <w:tcBorders>
              <w:top w:val="nil"/>
              <w:left w:val="nil"/>
              <w:bottom w:val="nil"/>
            </w:tcBorders>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&gt;100%</w:t>
            </w:r>
          </w:p>
        </w:tc>
        <w:tc>
          <w:tcPr>
            <w:tcW w:w="480" w:type="pct"/>
            <w:tcBorders>
              <w:top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830 </w:t>
            </w:r>
          </w:p>
        </w:tc>
        <w:tc>
          <w:tcPr>
            <w:tcW w:w="480" w:type="pct"/>
            <w:tcBorders>
              <w:top w:val="nil"/>
              <w:left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249 </w:t>
            </w:r>
          </w:p>
        </w:tc>
        <w:tc>
          <w:tcPr>
            <w:tcW w:w="478" w:type="pct"/>
            <w:tcBorders>
              <w:top w:val="nil"/>
              <w:left w:val="nil"/>
              <w:bottom w:val="nil"/>
            </w:tcBorders>
            <w:shd w:val="clear" w:color="auto" w:fill="auto"/>
            <w:tcMar>
              <w:top w:w="15" w:type="dxa"/>
              <w:left w:w="15" w:type="dxa"/>
              <w:bottom w:w="0" w:type="dxa"/>
              <w:right w:w="78"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&gt;100%</w:t>
            </w:r>
          </w:p>
        </w:tc>
      </w:tr>
      <w:tr w:rsidR="0039618F" w:rsidRPr="00E95FD5" w:rsidTr="0039618F">
        <w:trPr>
          <w:trHeight w:hRule="exact" w:val="227"/>
        </w:trPr>
        <w:tc>
          <w:tcPr>
            <w:tcW w:w="2121" w:type="pct"/>
            <w:tcBorders>
              <w:top w:val="nil"/>
              <w:left w:val="nil"/>
              <w:bottom w:val="nil"/>
              <w:right w:val="nil"/>
            </w:tcBorders>
            <w:shd w:val="clear" w:color="auto" w:fill="F2F2F2"/>
            <w:tcMar>
              <w:top w:w="15" w:type="dxa"/>
              <w:left w:w="42" w:type="dxa"/>
              <w:bottom w:w="0" w:type="dxa"/>
              <w:right w:w="15" w:type="dxa"/>
            </w:tcMar>
            <w:vAlign w:val="center"/>
            <w:hideMark/>
          </w:tcPr>
          <w:p w:rsidR="0039618F" w:rsidRPr="00E95FD5" w:rsidRDefault="0039618F" w:rsidP="0039618F">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 xml:space="preserve">Καθαρά λειτουργικά έσοδα </w:t>
            </w:r>
          </w:p>
        </w:tc>
        <w:tc>
          <w:tcPr>
            <w:tcW w:w="480" w:type="pct"/>
            <w:tcBorders>
              <w:top w:val="nil"/>
              <w:left w:val="nil"/>
              <w:bottom w:val="nil"/>
              <w:right w:val="nil"/>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412 </w:t>
            </w:r>
          </w:p>
        </w:tc>
        <w:tc>
          <w:tcPr>
            <w:tcW w:w="480" w:type="pct"/>
            <w:tcBorders>
              <w:top w:val="nil"/>
              <w:left w:val="nil"/>
              <w:bottom w:val="nil"/>
              <w:right w:val="nil"/>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342 </w:t>
            </w:r>
          </w:p>
        </w:tc>
        <w:tc>
          <w:tcPr>
            <w:tcW w:w="480" w:type="pct"/>
            <w:tcBorders>
              <w:top w:val="nil"/>
              <w:left w:val="nil"/>
              <w:bottom w:val="nil"/>
            </w:tcBorders>
            <w:shd w:val="clear" w:color="000000" w:fill="F2F2F2"/>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21%</w:t>
            </w:r>
          </w:p>
        </w:tc>
        <w:tc>
          <w:tcPr>
            <w:tcW w:w="480" w:type="pct"/>
            <w:tcBorders>
              <w:top w:val="nil"/>
              <w:bottom w:val="nil"/>
              <w:right w:val="nil"/>
            </w:tcBorders>
            <w:shd w:val="clear" w:color="000000" w:fill="F2F2F2"/>
            <w:vAlign w:val="center"/>
          </w:tcPr>
          <w:p w:rsidR="0039618F" w:rsidRPr="0039618F" w:rsidRDefault="00425274" w:rsidP="0039618F">
            <w:pPr>
              <w:pStyle w:val="NormalWeb"/>
              <w:spacing w:before="0" w:beforeAutospacing="0" w:after="0" w:afterAutospacing="0"/>
              <w:ind w:right="148"/>
              <w:jc w:val="right"/>
              <w:textAlignment w:val="center"/>
              <w:rPr>
                <w:rFonts w:ascii="Segoe UI" w:hAnsi="Segoe UI" w:cs="Segoe UI"/>
                <w:b/>
                <w:sz w:val="14"/>
                <w:szCs w:val="16"/>
                <w:lang w:val="en-US"/>
              </w:rPr>
            </w:pPr>
            <w:r>
              <w:rPr>
                <w:rFonts w:ascii="Segoe UI" w:hAnsi="Segoe UI" w:cs="Segoe UI"/>
                <w:b/>
                <w:sz w:val="14"/>
                <w:szCs w:val="16"/>
                <w:lang w:val="en-US"/>
              </w:rPr>
              <w:t>1.</w:t>
            </w:r>
            <w:r w:rsidR="0039618F" w:rsidRPr="0039618F">
              <w:rPr>
                <w:rFonts w:ascii="Segoe UI" w:hAnsi="Segoe UI" w:cs="Segoe UI"/>
                <w:b/>
                <w:sz w:val="14"/>
                <w:szCs w:val="16"/>
                <w:lang w:val="en-US"/>
              </w:rPr>
              <w:t xml:space="preserve">872 </w:t>
            </w:r>
          </w:p>
        </w:tc>
        <w:tc>
          <w:tcPr>
            <w:tcW w:w="480" w:type="pct"/>
            <w:tcBorders>
              <w:top w:val="nil"/>
              <w:left w:val="nil"/>
              <w:bottom w:val="nil"/>
              <w:right w:val="nil"/>
            </w:tcBorders>
            <w:shd w:val="clear" w:color="000000" w:fill="F2F2F2"/>
            <w:vAlign w:val="center"/>
          </w:tcPr>
          <w:p w:rsidR="0039618F" w:rsidRPr="0039618F" w:rsidRDefault="00425274" w:rsidP="0039618F">
            <w:pPr>
              <w:pStyle w:val="NormalWeb"/>
              <w:spacing w:before="0" w:beforeAutospacing="0" w:after="0" w:afterAutospacing="0"/>
              <w:ind w:right="148"/>
              <w:jc w:val="right"/>
              <w:textAlignment w:val="center"/>
              <w:rPr>
                <w:rFonts w:ascii="Segoe UI" w:hAnsi="Segoe UI" w:cs="Segoe UI"/>
                <w:b/>
                <w:sz w:val="14"/>
                <w:szCs w:val="16"/>
                <w:lang w:val="en-US"/>
              </w:rPr>
            </w:pPr>
            <w:r>
              <w:rPr>
                <w:rFonts w:ascii="Segoe UI" w:hAnsi="Segoe UI" w:cs="Segoe UI"/>
                <w:b/>
                <w:sz w:val="14"/>
                <w:szCs w:val="16"/>
                <w:lang w:val="en-US"/>
              </w:rPr>
              <w:t>1.</w:t>
            </w:r>
            <w:r w:rsidR="0039618F" w:rsidRPr="0039618F">
              <w:rPr>
                <w:rFonts w:ascii="Segoe UI" w:hAnsi="Segoe UI" w:cs="Segoe UI"/>
                <w:b/>
                <w:sz w:val="14"/>
                <w:szCs w:val="16"/>
                <w:lang w:val="en-US"/>
              </w:rPr>
              <w:t xml:space="preserve">335 </w:t>
            </w:r>
          </w:p>
        </w:tc>
        <w:tc>
          <w:tcPr>
            <w:tcW w:w="478" w:type="pct"/>
            <w:tcBorders>
              <w:top w:val="nil"/>
              <w:left w:val="nil"/>
              <w:bottom w:val="nil"/>
            </w:tcBorders>
            <w:shd w:val="clear" w:color="000000" w:fill="F2F2F2"/>
            <w:tcMar>
              <w:top w:w="15" w:type="dxa"/>
              <w:left w:w="15" w:type="dxa"/>
              <w:bottom w:w="0" w:type="dxa"/>
              <w:right w:w="78"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40%</w:t>
            </w:r>
          </w:p>
        </w:tc>
      </w:tr>
      <w:tr w:rsidR="0039618F" w:rsidRPr="00E95FD5" w:rsidTr="0039618F">
        <w:trPr>
          <w:trHeight w:hRule="exact" w:val="227"/>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39618F" w:rsidRPr="00E95FD5" w:rsidRDefault="0039618F" w:rsidP="0039618F">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Λειτουργικές δαπάνες</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(198) </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(199) </w:t>
            </w:r>
          </w:p>
        </w:tc>
        <w:tc>
          <w:tcPr>
            <w:tcW w:w="480" w:type="pct"/>
            <w:tcBorders>
              <w:top w:val="nil"/>
              <w:left w:val="nil"/>
              <w:bottom w:val="nil"/>
            </w:tcBorders>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-1%</w:t>
            </w:r>
          </w:p>
        </w:tc>
        <w:tc>
          <w:tcPr>
            <w:tcW w:w="480" w:type="pct"/>
            <w:tcBorders>
              <w:top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(604) </w:t>
            </w:r>
          </w:p>
        </w:tc>
        <w:tc>
          <w:tcPr>
            <w:tcW w:w="480" w:type="pct"/>
            <w:tcBorders>
              <w:top w:val="nil"/>
              <w:left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(624) </w:t>
            </w:r>
          </w:p>
        </w:tc>
        <w:tc>
          <w:tcPr>
            <w:tcW w:w="478" w:type="pct"/>
            <w:tcBorders>
              <w:top w:val="nil"/>
              <w:left w:val="nil"/>
              <w:bottom w:val="nil"/>
            </w:tcBorders>
            <w:shd w:val="clear" w:color="auto" w:fill="auto"/>
            <w:tcMar>
              <w:top w:w="15" w:type="dxa"/>
              <w:left w:w="15" w:type="dxa"/>
              <w:bottom w:w="0" w:type="dxa"/>
              <w:right w:w="78"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-3%</w:t>
            </w:r>
          </w:p>
        </w:tc>
      </w:tr>
      <w:tr w:rsidR="0039618F" w:rsidRPr="00E95FD5" w:rsidTr="0039618F">
        <w:trPr>
          <w:trHeight w:hRule="exact" w:val="227"/>
        </w:trPr>
        <w:tc>
          <w:tcPr>
            <w:tcW w:w="2121" w:type="pct"/>
            <w:tcBorders>
              <w:top w:val="nil"/>
              <w:left w:val="nil"/>
              <w:bottom w:val="nil"/>
              <w:right w:val="nil"/>
            </w:tcBorders>
            <w:shd w:val="clear" w:color="auto" w:fill="F2F2F2"/>
            <w:tcMar>
              <w:top w:w="15" w:type="dxa"/>
              <w:left w:w="42" w:type="dxa"/>
              <w:bottom w:w="0" w:type="dxa"/>
              <w:right w:w="15" w:type="dxa"/>
            </w:tcMar>
            <w:vAlign w:val="center"/>
            <w:hideMark/>
          </w:tcPr>
          <w:p w:rsidR="0039618F" w:rsidRPr="00E95FD5" w:rsidRDefault="0039618F" w:rsidP="0039618F">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 xml:space="preserve">Οργανικά κέρδη / (ζημίες) προ προβλέψεων </w:t>
            </w:r>
          </w:p>
        </w:tc>
        <w:tc>
          <w:tcPr>
            <w:tcW w:w="480" w:type="pct"/>
            <w:tcBorders>
              <w:top w:val="nil"/>
              <w:left w:val="nil"/>
              <w:bottom w:val="nil"/>
              <w:right w:val="nil"/>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171 </w:t>
            </w:r>
          </w:p>
        </w:tc>
        <w:tc>
          <w:tcPr>
            <w:tcW w:w="480" w:type="pct"/>
            <w:tcBorders>
              <w:top w:val="nil"/>
              <w:left w:val="nil"/>
              <w:bottom w:val="nil"/>
              <w:right w:val="nil"/>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131 </w:t>
            </w:r>
          </w:p>
        </w:tc>
        <w:tc>
          <w:tcPr>
            <w:tcW w:w="480" w:type="pct"/>
            <w:tcBorders>
              <w:top w:val="nil"/>
              <w:left w:val="nil"/>
              <w:bottom w:val="nil"/>
            </w:tcBorders>
            <w:shd w:val="clear" w:color="000000" w:fill="F2F2F2"/>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31%</w:t>
            </w:r>
          </w:p>
        </w:tc>
        <w:tc>
          <w:tcPr>
            <w:tcW w:w="480" w:type="pct"/>
            <w:tcBorders>
              <w:top w:val="nil"/>
              <w:right w:val="nil"/>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439 </w:t>
            </w:r>
          </w:p>
        </w:tc>
        <w:tc>
          <w:tcPr>
            <w:tcW w:w="480" w:type="pct"/>
            <w:tcBorders>
              <w:top w:val="nil"/>
              <w:left w:val="nil"/>
              <w:bottom w:val="nil"/>
              <w:right w:val="nil"/>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462 </w:t>
            </w:r>
          </w:p>
        </w:tc>
        <w:tc>
          <w:tcPr>
            <w:tcW w:w="478" w:type="pct"/>
            <w:tcBorders>
              <w:top w:val="nil"/>
              <w:left w:val="nil"/>
              <w:bottom w:val="nil"/>
            </w:tcBorders>
            <w:shd w:val="clear" w:color="000000" w:fill="F2F2F2"/>
            <w:tcMar>
              <w:top w:w="15" w:type="dxa"/>
              <w:left w:w="15" w:type="dxa"/>
              <w:bottom w:w="0" w:type="dxa"/>
              <w:right w:w="78"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-5%</w:t>
            </w:r>
          </w:p>
        </w:tc>
      </w:tr>
      <w:tr w:rsidR="0039618F" w:rsidRPr="00E95FD5" w:rsidTr="0039618F">
        <w:trPr>
          <w:trHeight w:hRule="exact" w:val="227"/>
        </w:trPr>
        <w:tc>
          <w:tcPr>
            <w:tcW w:w="2121" w:type="pct"/>
            <w:tcBorders>
              <w:top w:val="nil"/>
              <w:left w:val="nil"/>
              <w:bottom w:val="nil"/>
              <w:right w:val="nil"/>
            </w:tcBorders>
            <w:shd w:val="clear" w:color="auto" w:fill="F2F2F2"/>
            <w:tcMar>
              <w:top w:w="15" w:type="dxa"/>
              <w:left w:w="42" w:type="dxa"/>
              <w:bottom w:w="0" w:type="dxa"/>
              <w:right w:w="15" w:type="dxa"/>
            </w:tcMar>
            <w:vAlign w:val="center"/>
            <w:hideMark/>
          </w:tcPr>
          <w:p w:rsidR="0039618F" w:rsidRPr="00E95FD5" w:rsidRDefault="0039618F" w:rsidP="0039618F">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Κέρδη / (ζημίες) προ προβλέψεων</w:t>
            </w:r>
          </w:p>
        </w:tc>
        <w:tc>
          <w:tcPr>
            <w:tcW w:w="480" w:type="pct"/>
            <w:tcBorders>
              <w:top w:val="nil"/>
              <w:left w:val="nil"/>
              <w:bottom w:val="nil"/>
              <w:right w:val="nil"/>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215 </w:t>
            </w:r>
          </w:p>
        </w:tc>
        <w:tc>
          <w:tcPr>
            <w:tcW w:w="480" w:type="pct"/>
            <w:tcBorders>
              <w:top w:val="nil"/>
              <w:left w:val="nil"/>
              <w:bottom w:val="nil"/>
              <w:right w:val="nil"/>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143 </w:t>
            </w:r>
          </w:p>
        </w:tc>
        <w:tc>
          <w:tcPr>
            <w:tcW w:w="480" w:type="pct"/>
            <w:tcBorders>
              <w:top w:val="nil"/>
              <w:left w:val="nil"/>
              <w:bottom w:val="nil"/>
            </w:tcBorders>
            <w:shd w:val="clear" w:color="000000" w:fill="F2F2F2"/>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50%</w:t>
            </w:r>
          </w:p>
        </w:tc>
        <w:tc>
          <w:tcPr>
            <w:tcW w:w="480" w:type="pct"/>
            <w:tcBorders>
              <w:top w:val="nil"/>
              <w:bottom w:val="nil"/>
              <w:right w:val="nil"/>
            </w:tcBorders>
            <w:shd w:val="clear" w:color="000000" w:fill="F2F2F2"/>
            <w:vAlign w:val="center"/>
          </w:tcPr>
          <w:p w:rsidR="0039618F" w:rsidRPr="0039618F" w:rsidRDefault="00425274" w:rsidP="0039618F">
            <w:pPr>
              <w:pStyle w:val="NormalWeb"/>
              <w:spacing w:before="0" w:beforeAutospacing="0" w:after="0" w:afterAutospacing="0"/>
              <w:ind w:right="148"/>
              <w:jc w:val="right"/>
              <w:textAlignment w:val="center"/>
              <w:rPr>
                <w:rFonts w:ascii="Segoe UI" w:hAnsi="Segoe UI" w:cs="Segoe UI"/>
                <w:b/>
                <w:sz w:val="14"/>
                <w:szCs w:val="16"/>
                <w:lang w:val="en-US"/>
              </w:rPr>
            </w:pPr>
            <w:r>
              <w:rPr>
                <w:rFonts w:ascii="Segoe UI" w:hAnsi="Segoe UI" w:cs="Segoe UI"/>
                <w:b/>
                <w:sz w:val="14"/>
                <w:szCs w:val="16"/>
                <w:lang w:val="en-US"/>
              </w:rPr>
              <w:t>1.</w:t>
            </w:r>
            <w:r w:rsidR="0039618F" w:rsidRPr="0039618F">
              <w:rPr>
                <w:rFonts w:ascii="Segoe UI" w:hAnsi="Segoe UI" w:cs="Segoe UI"/>
                <w:b/>
                <w:sz w:val="14"/>
                <w:szCs w:val="16"/>
                <w:lang w:val="en-US"/>
              </w:rPr>
              <w:t xml:space="preserve">269 </w:t>
            </w:r>
          </w:p>
        </w:tc>
        <w:tc>
          <w:tcPr>
            <w:tcW w:w="480" w:type="pct"/>
            <w:tcBorders>
              <w:top w:val="nil"/>
              <w:left w:val="nil"/>
              <w:bottom w:val="nil"/>
              <w:right w:val="nil"/>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711 </w:t>
            </w:r>
          </w:p>
        </w:tc>
        <w:tc>
          <w:tcPr>
            <w:tcW w:w="478" w:type="pct"/>
            <w:tcBorders>
              <w:top w:val="nil"/>
              <w:left w:val="nil"/>
              <w:bottom w:val="nil"/>
            </w:tcBorders>
            <w:shd w:val="clear" w:color="000000" w:fill="F2F2F2"/>
            <w:tcMar>
              <w:top w:w="15" w:type="dxa"/>
              <w:left w:w="15" w:type="dxa"/>
              <w:bottom w:w="0" w:type="dxa"/>
              <w:right w:w="78"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78%</w:t>
            </w:r>
          </w:p>
        </w:tc>
      </w:tr>
      <w:tr w:rsidR="0039618F" w:rsidRPr="00E95FD5" w:rsidTr="0039618F">
        <w:trPr>
          <w:trHeight w:hRule="exact" w:val="227"/>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39618F" w:rsidRPr="00E95FD5" w:rsidRDefault="0039618F" w:rsidP="0039618F">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Προβλέψεις για επισφαλή δάνεια</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(78) </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(76) </w:t>
            </w:r>
          </w:p>
        </w:tc>
        <w:tc>
          <w:tcPr>
            <w:tcW w:w="480" w:type="pct"/>
            <w:tcBorders>
              <w:top w:val="nil"/>
              <w:left w:val="nil"/>
              <w:bottom w:val="nil"/>
            </w:tcBorders>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2%</w:t>
            </w:r>
          </w:p>
        </w:tc>
        <w:tc>
          <w:tcPr>
            <w:tcW w:w="480" w:type="pct"/>
            <w:tcBorders>
              <w:top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(640) </w:t>
            </w:r>
          </w:p>
        </w:tc>
        <w:tc>
          <w:tcPr>
            <w:tcW w:w="480" w:type="pct"/>
            <w:tcBorders>
              <w:top w:val="nil"/>
              <w:left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(260) </w:t>
            </w:r>
          </w:p>
        </w:tc>
        <w:tc>
          <w:tcPr>
            <w:tcW w:w="478" w:type="pct"/>
            <w:tcBorders>
              <w:top w:val="nil"/>
              <w:left w:val="nil"/>
              <w:bottom w:val="nil"/>
            </w:tcBorders>
            <w:shd w:val="clear" w:color="auto" w:fill="auto"/>
            <w:tcMar>
              <w:top w:w="15" w:type="dxa"/>
              <w:left w:w="15" w:type="dxa"/>
              <w:bottom w:w="0" w:type="dxa"/>
              <w:right w:w="78"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&gt;100%</w:t>
            </w:r>
          </w:p>
        </w:tc>
      </w:tr>
      <w:tr w:rsidR="0039618F" w:rsidRPr="00E95FD5" w:rsidTr="0039618F">
        <w:trPr>
          <w:trHeight w:hRule="exact" w:val="227"/>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39618F" w:rsidRPr="00E95FD5" w:rsidRDefault="0039618F" w:rsidP="0039618F">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Λειτουργικά κέρδη / (ζημίες)</w:t>
            </w:r>
          </w:p>
        </w:tc>
        <w:tc>
          <w:tcPr>
            <w:tcW w:w="480" w:type="pct"/>
            <w:tcBorders>
              <w:top w:val="nil"/>
              <w:left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137 </w:t>
            </w:r>
          </w:p>
        </w:tc>
        <w:tc>
          <w:tcPr>
            <w:tcW w:w="480" w:type="pct"/>
            <w:tcBorders>
              <w:top w:val="nil"/>
              <w:left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67 </w:t>
            </w:r>
          </w:p>
        </w:tc>
        <w:tc>
          <w:tcPr>
            <w:tcW w:w="480" w:type="pct"/>
            <w:tcBorders>
              <w:top w:val="nil"/>
              <w:left w:val="nil"/>
            </w:tcBorders>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&gt;100%</w:t>
            </w:r>
          </w:p>
        </w:tc>
        <w:tc>
          <w:tcPr>
            <w:tcW w:w="480" w:type="pct"/>
            <w:tcBorders>
              <w:top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629 </w:t>
            </w:r>
          </w:p>
        </w:tc>
        <w:tc>
          <w:tcPr>
            <w:tcW w:w="480" w:type="pct"/>
            <w:tcBorders>
              <w:top w:val="nil"/>
              <w:left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451 </w:t>
            </w:r>
          </w:p>
        </w:tc>
        <w:tc>
          <w:tcPr>
            <w:tcW w:w="478" w:type="pct"/>
            <w:tcBorders>
              <w:top w:val="nil"/>
              <w:left w:val="nil"/>
            </w:tcBorders>
            <w:shd w:val="clear" w:color="auto" w:fill="auto"/>
            <w:tcMar>
              <w:top w:w="15" w:type="dxa"/>
              <w:left w:w="15" w:type="dxa"/>
              <w:bottom w:w="0" w:type="dxa"/>
              <w:right w:w="78"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39%</w:t>
            </w:r>
          </w:p>
        </w:tc>
      </w:tr>
      <w:tr w:rsidR="0039618F" w:rsidRPr="00E95FD5" w:rsidTr="0039618F">
        <w:trPr>
          <w:trHeight w:hRule="exact" w:val="227"/>
        </w:trPr>
        <w:tc>
          <w:tcPr>
            <w:tcW w:w="2121" w:type="pct"/>
            <w:tcBorders>
              <w:top w:val="nil"/>
              <w:left w:val="nil"/>
              <w:bottom w:val="nil"/>
              <w:right w:val="nil"/>
            </w:tcBorders>
            <w:shd w:val="clear" w:color="auto" w:fill="auto"/>
            <w:tcMar>
              <w:top w:w="15" w:type="dxa"/>
              <w:left w:w="42" w:type="dxa"/>
              <w:bottom w:w="0" w:type="dxa"/>
              <w:right w:w="15" w:type="dxa"/>
            </w:tcMar>
            <w:vAlign w:val="center"/>
          </w:tcPr>
          <w:p w:rsidR="0039618F" w:rsidRPr="00E95FD5" w:rsidRDefault="0039618F" w:rsidP="0039618F">
            <w:pPr>
              <w:textAlignment w:val="center"/>
              <w:rPr>
                <w:rFonts w:ascii="Segoe UI" w:eastAsia="Segoe UI" w:hAnsi="Segoe UI" w:cs="Segoe UI"/>
                <w:b/>
                <w:bCs/>
                <w:color w:val="000000"/>
                <w:kern w:val="24"/>
                <w:sz w:val="14"/>
                <w:szCs w:val="14"/>
                <w:lang w:eastAsia="el-GR"/>
              </w:rPr>
            </w:pPr>
            <w:r w:rsidRPr="00897890">
              <w:rPr>
                <w:rFonts w:ascii="Segoe UI" w:eastAsia="Segoe UI" w:hAnsi="Segoe UI" w:cs="Segoe UI"/>
                <w:b/>
                <w:bCs/>
                <w:color w:val="000000"/>
                <w:kern w:val="24"/>
                <w:sz w:val="14"/>
                <w:szCs w:val="14"/>
                <w:lang w:eastAsia="el-GR"/>
              </w:rPr>
              <w:t>Οργανικά κέρδη / (ζημίες)</w:t>
            </w:r>
            <w:r w:rsidRPr="00467E58">
              <w:rPr>
                <w:rFonts w:ascii="Segoe UI" w:eastAsia="Segoe UI" w:hAnsi="Segoe UI" w:cs="Segoe UI"/>
                <w:b/>
                <w:bCs/>
                <w:color w:val="000000"/>
                <w:kern w:val="24"/>
                <w:sz w:val="14"/>
                <w:szCs w:val="14"/>
                <w:vertAlign w:val="superscript"/>
                <w:lang w:eastAsia="el-GR"/>
              </w:rPr>
              <w:t>2</w:t>
            </w:r>
            <w:r w:rsidRPr="00897890">
              <w:rPr>
                <w:rFonts w:ascii="Segoe UI" w:eastAsia="Segoe UI" w:hAnsi="Segoe UI" w:cs="Segoe UI"/>
                <w:b/>
                <w:bCs/>
                <w:color w:val="000000"/>
                <w:kern w:val="24"/>
                <w:sz w:val="14"/>
                <w:szCs w:val="14"/>
                <w:lang w:eastAsia="el-GR"/>
              </w:rPr>
              <w:t xml:space="preserve"> </w:t>
            </w:r>
          </w:p>
        </w:tc>
        <w:tc>
          <w:tcPr>
            <w:tcW w:w="480" w:type="pct"/>
            <w:tcBorders>
              <w:top w:val="nil"/>
              <w:bottom w:val="nil"/>
            </w:tcBorders>
            <w:shd w:val="clear" w:color="auto" w:fill="F2F2F2" w:themeFill="background1" w:themeFillShade="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9</w:t>
            </w:r>
            <w:r w:rsidRPr="0039618F">
              <w:rPr>
                <w:rFonts w:ascii="Segoe UI" w:hAnsi="Segoe UI" w:cs="Segoe UI"/>
                <w:b/>
                <w:sz w:val="14"/>
                <w:szCs w:val="16"/>
              </w:rPr>
              <w:t>7</w:t>
            </w:r>
            <w:r w:rsidRPr="0039618F">
              <w:rPr>
                <w:rFonts w:ascii="Segoe UI" w:hAnsi="Segoe UI" w:cs="Segoe UI"/>
                <w:b/>
                <w:sz w:val="14"/>
                <w:szCs w:val="16"/>
                <w:lang w:val="en-US"/>
              </w:rPr>
              <w:t xml:space="preserve"> </w:t>
            </w:r>
          </w:p>
        </w:tc>
        <w:tc>
          <w:tcPr>
            <w:tcW w:w="480" w:type="pct"/>
            <w:tcBorders>
              <w:top w:val="nil"/>
              <w:bottom w:val="nil"/>
            </w:tcBorders>
            <w:shd w:val="clear" w:color="auto" w:fill="F2F2F2" w:themeFill="background1" w:themeFillShade="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65 </w:t>
            </w:r>
          </w:p>
        </w:tc>
        <w:tc>
          <w:tcPr>
            <w:tcW w:w="480" w:type="pct"/>
            <w:tcBorders>
              <w:top w:val="nil"/>
              <w:bottom w:val="nil"/>
            </w:tcBorders>
            <w:shd w:val="clear" w:color="auto" w:fill="F2F2F2" w:themeFill="background1" w:themeFillShade="F2"/>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5</w:t>
            </w:r>
            <w:r w:rsidRPr="0039618F">
              <w:rPr>
                <w:rFonts w:ascii="Segoe UI" w:hAnsi="Segoe UI" w:cs="Segoe UI"/>
                <w:b/>
                <w:i/>
                <w:sz w:val="14"/>
                <w:szCs w:val="16"/>
              </w:rPr>
              <w:t>0</w:t>
            </w:r>
            <w:r w:rsidRPr="0039618F">
              <w:rPr>
                <w:rFonts w:ascii="Segoe UI" w:hAnsi="Segoe UI" w:cs="Segoe UI"/>
                <w:b/>
                <w:i/>
                <w:sz w:val="14"/>
                <w:szCs w:val="16"/>
                <w:lang w:val="en-US"/>
              </w:rPr>
              <w:t>%</w:t>
            </w:r>
          </w:p>
        </w:tc>
        <w:tc>
          <w:tcPr>
            <w:tcW w:w="480" w:type="pct"/>
            <w:tcBorders>
              <w:top w:val="nil"/>
              <w:bottom w:val="nil"/>
            </w:tcBorders>
            <w:shd w:val="clear" w:color="auto" w:fill="F2F2F2" w:themeFill="background1" w:themeFillShade="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228 </w:t>
            </w:r>
          </w:p>
        </w:tc>
        <w:tc>
          <w:tcPr>
            <w:tcW w:w="480" w:type="pct"/>
            <w:tcBorders>
              <w:top w:val="nil"/>
              <w:bottom w:val="nil"/>
            </w:tcBorders>
            <w:shd w:val="clear" w:color="auto" w:fill="F2F2F2" w:themeFill="background1" w:themeFillShade="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202 </w:t>
            </w:r>
          </w:p>
        </w:tc>
        <w:tc>
          <w:tcPr>
            <w:tcW w:w="478" w:type="pct"/>
            <w:tcBorders>
              <w:top w:val="nil"/>
              <w:bottom w:val="nil"/>
            </w:tcBorders>
            <w:shd w:val="clear" w:color="auto" w:fill="F2F2F2" w:themeFill="background1" w:themeFillShade="F2"/>
            <w:tcMar>
              <w:top w:w="15" w:type="dxa"/>
              <w:left w:w="15" w:type="dxa"/>
              <w:bottom w:w="0" w:type="dxa"/>
              <w:right w:w="78"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1</w:t>
            </w:r>
            <w:r w:rsidRPr="0039618F">
              <w:rPr>
                <w:rFonts w:ascii="Segoe UI" w:hAnsi="Segoe UI" w:cs="Segoe UI"/>
                <w:b/>
                <w:i/>
                <w:sz w:val="14"/>
                <w:szCs w:val="16"/>
              </w:rPr>
              <w:t>3</w:t>
            </w:r>
            <w:r w:rsidRPr="0039618F">
              <w:rPr>
                <w:rFonts w:ascii="Segoe UI" w:hAnsi="Segoe UI" w:cs="Segoe UI"/>
                <w:b/>
                <w:i/>
                <w:sz w:val="14"/>
                <w:szCs w:val="16"/>
                <w:lang w:val="en-US"/>
              </w:rPr>
              <w:t>%</w:t>
            </w:r>
          </w:p>
        </w:tc>
      </w:tr>
      <w:tr w:rsidR="0039618F" w:rsidRPr="00E95FD5" w:rsidTr="0039618F">
        <w:trPr>
          <w:trHeight w:hRule="exact" w:val="227"/>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39618F" w:rsidRPr="00E95FD5" w:rsidRDefault="0039618F" w:rsidP="00C224D4">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Λοιπές προβλέψεις</w:t>
            </w:r>
            <w:r w:rsidR="00C224D4">
              <w:rPr>
                <w:rFonts w:ascii="Segoe UI" w:eastAsia="Segoe UI" w:hAnsi="Segoe UI" w:cs="Segoe UI"/>
                <w:color w:val="000000"/>
                <w:kern w:val="24"/>
                <w:sz w:val="14"/>
                <w:szCs w:val="14"/>
                <w:lang w:eastAsia="el-GR"/>
              </w:rPr>
              <w:t xml:space="preserve"> </w:t>
            </w:r>
            <w:r w:rsidR="001958FA">
              <w:rPr>
                <w:rFonts w:ascii="Segoe UI" w:eastAsia="Segoe UI" w:hAnsi="Segoe UI" w:cs="Segoe UI"/>
                <w:color w:val="000000"/>
                <w:kern w:val="24"/>
                <w:sz w:val="14"/>
                <w:szCs w:val="14"/>
                <w:lang w:eastAsia="el-GR"/>
              </w:rPr>
              <w:t xml:space="preserve">/ αντιλογισμός προβλέψεων </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3 </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(6) </w:t>
            </w:r>
          </w:p>
        </w:tc>
        <w:tc>
          <w:tcPr>
            <w:tcW w:w="480" w:type="pct"/>
            <w:tcBorders>
              <w:top w:val="nil"/>
              <w:left w:val="nil"/>
              <w:bottom w:val="nil"/>
            </w:tcBorders>
            <w:vAlign w:val="bottom"/>
          </w:tcPr>
          <w:p w:rsidR="0039618F" w:rsidRPr="0039618F" w:rsidRDefault="007B197B" w:rsidP="0039618F">
            <w:pPr>
              <w:pStyle w:val="NormalWeb"/>
              <w:spacing w:before="0" w:beforeAutospacing="0" w:after="0" w:afterAutospacing="0"/>
              <w:ind w:right="148"/>
              <w:jc w:val="right"/>
              <w:textAlignment w:val="center"/>
              <w:rPr>
                <w:rFonts w:ascii="Segoe UI" w:hAnsi="Segoe UI" w:cs="Segoe UI"/>
                <w:i/>
                <w:sz w:val="14"/>
                <w:szCs w:val="16"/>
                <w:lang w:val="en-US"/>
              </w:rPr>
            </w:pPr>
            <w:r>
              <w:rPr>
                <w:rFonts w:ascii="Segoe UI" w:hAnsi="Segoe UI" w:cs="Segoe UI"/>
                <w:i/>
                <w:sz w:val="14"/>
                <w:szCs w:val="16"/>
                <w:lang w:val="en-US"/>
              </w:rPr>
              <w:t>--</w:t>
            </w:r>
          </w:p>
        </w:tc>
        <w:tc>
          <w:tcPr>
            <w:tcW w:w="480" w:type="pct"/>
            <w:tcBorders>
              <w:top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(16) </w:t>
            </w:r>
          </w:p>
        </w:tc>
        <w:tc>
          <w:tcPr>
            <w:tcW w:w="480" w:type="pct"/>
            <w:tcBorders>
              <w:top w:val="nil"/>
              <w:left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12 </w:t>
            </w:r>
          </w:p>
        </w:tc>
        <w:tc>
          <w:tcPr>
            <w:tcW w:w="478" w:type="pct"/>
            <w:tcBorders>
              <w:top w:val="nil"/>
              <w:left w:val="nil"/>
              <w:bottom w:val="nil"/>
            </w:tcBorders>
            <w:shd w:val="clear" w:color="auto" w:fill="auto"/>
            <w:tcMar>
              <w:top w:w="15" w:type="dxa"/>
              <w:left w:w="15" w:type="dxa"/>
              <w:bottom w:w="0" w:type="dxa"/>
              <w:right w:w="84" w:type="dxa"/>
            </w:tcMar>
            <w:vAlign w:val="bottom"/>
          </w:tcPr>
          <w:p w:rsidR="0039618F" w:rsidRPr="0039618F" w:rsidRDefault="007B197B" w:rsidP="0039618F">
            <w:pPr>
              <w:pStyle w:val="NormalWeb"/>
              <w:spacing w:before="0" w:beforeAutospacing="0" w:after="0" w:afterAutospacing="0"/>
              <w:ind w:right="148"/>
              <w:jc w:val="right"/>
              <w:textAlignment w:val="center"/>
              <w:rPr>
                <w:rFonts w:ascii="Segoe UI" w:hAnsi="Segoe UI" w:cs="Segoe UI"/>
                <w:i/>
                <w:sz w:val="14"/>
                <w:szCs w:val="16"/>
                <w:lang w:val="en-US"/>
              </w:rPr>
            </w:pPr>
            <w:r>
              <w:rPr>
                <w:rFonts w:ascii="Segoe UI" w:hAnsi="Segoe UI" w:cs="Segoe UI"/>
                <w:i/>
                <w:sz w:val="14"/>
                <w:szCs w:val="16"/>
                <w:lang w:val="en-US"/>
              </w:rPr>
              <w:t>--</w:t>
            </w:r>
          </w:p>
        </w:tc>
      </w:tr>
      <w:tr w:rsidR="0039618F" w:rsidRPr="00E95FD5" w:rsidTr="0039618F">
        <w:trPr>
          <w:trHeight w:hRule="exact" w:val="227"/>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39618F" w:rsidRPr="00E95FD5" w:rsidRDefault="0039618F" w:rsidP="0039618F">
            <w:pPr>
              <w:textAlignment w:val="center"/>
              <w:rPr>
                <w:rFonts w:ascii="Segoe UI" w:eastAsia="Times New Roman" w:hAnsi="Segoe UI" w:cs="Segoe UI"/>
                <w:b/>
                <w:sz w:val="14"/>
                <w:szCs w:val="14"/>
                <w:lang w:eastAsia="el-GR"/>
              </w:rPr>
            </w:pPr>
            <w:r w:rsidRPr="00E95FD5">
              <w:rPr>
                <w:rFonts w:ascii="Segoe UI" w:eastAsia="Segoe UI" w:hAnsi="Segoe UI" w:cs="Segoe UI"/>
                <w:b/>
                <w:color w:val="000000"/>
                <w:kern w:val="24"/>
                <w:sz w:val="14"/>
                <w:szCs w:val="14"/>
                <w:lang w:eastAsia="el-GR"/>
              </w:rPr>
              <w:t>Κέρδη / (ζημίες) προ φόρων</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140 </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62 </w:t>
            </w:r>
          </w:p>
        </w:tc>
        <w:tc>
          <w:tcPr>
            <w:tcW w:w="480" w:type="pct"/>
            <w:tcBorders>
              <w:top w:val="nil"/>
              <w:left w:val="nil"/>
              <w:bottom w:val="nil"/>
            </w:tcBorders>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&gt;100%</w:t>
            </w:r>
          </w:p>
        </w:tc>
        <w:tc>
          <w:tcPr>
            <w:tcW w:w="480" w:type="pct"/>
            <w:tcBorders>
              <w:top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612 </w:t>
            </w:r>
          </w:p>
        </w:tc>
        <w:tc>
          <w:tcPr>
            <w:tcW w:w="480" w:type="pct"/>
            <w:tcBorders>
              <w:top w:val="nil"/>
              <w:left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463 </w:t>
            </w:r>
          </w:p>
        </w:tc>
        <w:tc>
          <w:tcPr>
            <w:tcW w:w="478" w:type="pct"/>
            <w:tcBorders>
              <w:top w:val="nil"/>
              <w:left w:val="nil"/>
              <w:bottom w:val="nil"/>
            </w:tcBorders>
            <w:shd w:val="clear" w:color="auto" w:fill="auto"/>
            <w:tcMar>
              <w:top w:w="15" w:type="dxa"/>
              <w:left w:w="15" w:type="dxa"/>
              <w:bottom w:w="0" w:type="dxa"/>
              <w:right w:w="84"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32%</w:t>
            </w:r>
          </w:p>
        </w:tc>
      </w:tr>
      <w:tr w:rsidR="0039618F" w:rsidRPr="00E95FD5" w:rsidTr="0039618F">
        <w:trPr>
          <w:trHeight w:hRule="exact" w:val="227"/>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39618F" w:rsidRPr="00E95FD5" w:rsidRDefault="0039618F" w:rsidP="0039618F">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 xml:space="preserve">Φόροι </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(3) </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(3) </w:t>
            </w:r>
          </w:p>
        </w:tc>
        <w:tc>
          <w:tcPr>
            <w:tcW w:w="480" w:type="pct"/>
            <w:tcBorders>
              <w:top w:val="nil"/>
              <w:left w:val="nil"/>
              <w:bottom w:val="nil"/>
            </w:tcBorders>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-9%</w:t>
            </w:r>
          </w:p>
        </w:tc>
        <w:tc>
          <w:tcPr>
            <w:tcW w:w="480" w:type="pct"/>
            <w:tcBorders>
              <w:top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(11) </w:t>
            </w:r>
          </w:p>
        </w:tc>
        <w:tc>
          <w:tcPr>
            <w:tcW w:w="480" w:type="pct"/>
            <w:tcBorders>
              <w:top w:val="nil"/>
              <w:left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(11) </w:t>
            </w:r>
          </w:p>
        </w:tc>
        <w:tc>
          <w:tcPr>
            <w:tcW w:w="478" w:type="pct"/>
            <w:tcBorders>
              <w:top w:val="nil"/>
              <w:left w:val="nil"/>
              <w:bottom w:val="nil"/>
            </w:tcBorders>
            <w:shd w:val="clear" w:color="auto" w:fill="auto"/>
            <w:tcMar>
              <w:top w:w="15" w:type="dxa"/>
              <w:left w:w="15" w:type="dxa"/>
              <w:bottom w:w="0" w:type="dxa"/>
              <w:right w:w="84"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-4%</w:t>
            </w:r>
          </w:p>
        </w:tc>
      </w:tr>
      <w:tr w:rsidR="0039618F" w:rsidRPr="00E95FD5" w:rsidTr="0039618F">
        <w:trPr>
          <w:trHeight w:hRule="exact" w:val="227"/>
        </w:trPr>
        <w:tc>
          <w:tcPr>
            <w:tcW w:w="2121" w:type="pct"/>
            <w:tcBorders>
              <w:top w:val="nil"/>
              <w:left w:val="nil"/>
              <w:bottom w:val="nil"/>
              <w:right w:val="nil"/>
            </w:tcBorders>
            <w:shd w:val="clear" w:color="auto" w:fill="F2F2F2"/>
            <w:tcMar>
              <w:top w:w="15" w:type="dxa"/>
              <w:left w:w="42" w:type="dxa"/>
              <w:bottom w:w="0" w:type="dxa"/>
              <w:right w:w="15" w:type="dxa"/>
            </w:tcMar>
            <w:vAlign w:val="center"/>
            <w:hideMark/>
          </w:tcPr>
          <w:p w:rsidR="0039618F" w:rsidRPr="00E95FD5" w:rsidRDefault="0039618F" w:rsidP="0039618F">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 xml:space="preserve">Κέρδη / (ζημίες) μετά </w:t>
            </w:r>
            <w:r>
              <w:rPr>
                <w:rFonts w:ascii="Segoe UI" w:eastAsia="Segoe UI" w:hAnsi="Segoe UI" w:cs="Segoe UI"/>
                <w:b/>
                <w:bCs/>
                <w:color w:val="000000"/>
                <w:kern w:val="24"/>
                <w:sz w:val="14"/>
                <w:szCs w:val="14"/>
                <w:lang w:eastAsia="el-GR"/>
              </w:rPr>
              <w:t xml:space="preserve">από </w:t>
            </w:r>
            <w:r w:rsidRPr="00E95FD5">
              <w:rPr>
                <w:rFonts w:ascii="Segoe UI" w:eastAsia="Segoe UI" w:hAnsi="Segoe UI" w:cs="Segoe UI"/>
                <w:b/>
                <w:bCs/>
                <w:color w:val="000000"/>
                <w:kern w:val="24"/>
                <w:sz w:val="14"/>
                <w:szCs w:val="14"/>
                <w:lang w:eastAsia="el-GR"/>
              </w:rPr>
              <w:t>φόρ</w:t>
            </w:r>
            <w:r>
              <w:rPr>
                <w:rFonts w:ascii="Segoe UI" w:eastAsia="Segoe UI" w:hAnsi="Segoe UI" w:cs="Segoe UI"/>
                <w:b/>
                <w:bCs/>
                <w:color w:val="000000"/>
                <w:kern w:val="24"/>
                <w:sz w:val="14"/>
                <w:szCs w:val="14"/>
                <w:lang w:eastAsia="el-GR"/>
              </w:rPr>
              <w:t>ους</w:t>
            </w:r>
            <w:r w:rsidRPr="000D2509">
              <w:rPr>
                <w:rFonts w:ascii="Segoe UI" w:eastAsia="Segoe UI" w:hAnsi="Segoe UI" w:cs="Segoe UI"/>
                <w:b/>
                <w:bCs/>
                <w:color w:val="000000"/>
                <w:kern w:val="24"/>
                <w:sz w:val="14"/>
                <w:szCs w:val="14"/>
                <w:lang w:eastAsia="el-GR"/>
              </w:rPr>
              <w:t xml:space="preserve"> </w:t>
            </w:r>
            <w:r w:rsidRPr="00E95FD5">
              <w:rPr>
                <w:rFonts w:ascii="Segoe UI" w:eastAsia="Segoe UI" w:hAnsi="Segoe UI" w:cs="Segoe UI"/>
                <w:b/>
                <w:bCs/>
                <w:color w:val="000000"/>
                <w:kern w:val="24"/>
                <w:sz w:val="14"/>
                <w:szCs w:val="14"/>
                <w:lang w:eastAsia="el-GR"/>
              </w:rPr>
              <w:t>(συνεχ</w:t>
            </w:r>
            <w:r>
              <w:rPr>
                <w:rFonts w:ascii="Segoe UI" w:eastAsia="Segoe UI" w:hAnsi="Segoe UI" w:cs="Segoe UI"/>
                <w:b/>
                <w:bCs/>
                <w:color w:val="000000"/>
                <w:kern w:val="24"/>
                <w:sz w:val="14"/>
                <w:szCs w:val="14"/>
                <w:lang w:eastAsia="el-GR"/>
              </w:rPr>
              <w:t>/με</w:t>
            </w:r>
            <w:r w:rsidRPr="00E95FD5">
              <w:rPr>
                <w:rFonts w:ascii="Segoe UI" w:eastAsia="Segoe UI" w:hAnsi="Segoe UI" w:cs="Segoe UI"/>
                <w:b/>
                <w:bCs/>
                <w:color w:val="000000"/>
                <w:kern w:val="24"/>
                <w:sz w:val="14"/>
                <w:szCs w:val="14"/>
                <w:lang w:eastAsia="el-GR"/>
              </w:rPr>
              <w:t xml:space="preserve">νες </w:t>
            </w:r>
            <w:r>
              <w:rPr>
                <w:rFonts w:ascii="Segoe UI" w:eastAsia="Segoe UI" w:hAnsi="Segoe UI" w:cs="Segoe UI"/>
                <w:b/>
                <w:bCs/>
                <w:color w:val="000000"/>
                <w:kern w:val="24"/>
                <w:sz w:val="14"/>
                <w:szCs w:val="14"/>
                <w:lang w:eastAsia="el-GR"/>
              </w:rPr>
              <w:t>δ</w:t>
            </w:r>
            <w:r w:rsidRPr="00E95FD5">
              <w:rPr>
                <w:rFonts w:ascii="Segoe UI" w:eastAsia="Segoe UI" w:hAnsi="Segoe UI" w:cs="Segoe UI"/>
                <w:b/>
                <w:bCs/>
                <w:color w:val="000000"/>
                <w:kern w:val="24"/>
                <w:sz w:val="14"/>
                <w:szCs w:val="14"/>
                <w:lang w:eastAsia="el-GR"/>
              </w:rPr>
              <w:t>ραστ</w:t>
            </w:r>
            <w:r>
              <w:rPr>
                <w:rFonts w:ascii="Segoe UI" w:eastAsia="Segoe UI" w:hAnsi="Segoe UI" w:cs="Segoe UI"/>
                <w:b/>
                <w:bCs/>
                <w:color w:val="000000"/>
                <w:kern w:val="24"/>
                <w:sz w:val="14"/>
                <w:szCs w:val="14"/>
                <w:lang w:eastAsia="el-GR"/>
              </w:rPr>
              <w:t>/</w:t>
            </w:r>
            <w:r w:rsidRPr="00E95FD5">
              <w:rPr>
                <w:rFonts w:ascii="Segoe UI" w:eastAsia="Segoe UI" w:hAnsi="Segoe UI" w:cs="Segoe UI"/>
                <w:b/>
                <w:bCs/>
                <w:color w:val="000000"/>
                <w:kern w:val="24"/>
                <w:sz w:val="14"/>
                <w:szCs w:val="14"/>
                <w:lang w:eastAsia="el-GR"/>
              </w:rPr>
              <w:t>τητες)</w:t>
            </w:r>
          </w:p>
        </w:tc>
        <w:tc>
          <w:tcPr>
            <w:tcW w:w="480" w:type="pct"/>
            <w:tcBorders>
              <w:top w:val="nil"/>
              <w:left w:val="nil"/>
              <w:bottom w:val="nil"/>
              <w:right w:val="nil"/>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137 </w:t>
            </w:r>
          </w:p>
        </w:tc>
        <w:tc>
          <w:tcPr>
            <w:tcW w:w="480" w:type="pct"/>
            <w:tcBorders>
              <w:top w:val="nil"/>
              <w:left w:val="nil"/>
              <w:bottom w:val="nil"/>
              <w:right w:val="nil"/>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58 </w:t>
            </w:r>
          </w:p>
        </w:tc>
        <w:tc>
          <w:tcPr>
            <w:tcW w:w="480" w:type="pct"/>
            <w:tcBorders>
              <w:top w:val="nil"/>
              <w:left w:val="nil"/>
              <w:bottom w:val="nil"/>
            </w:tcBorders>
            <w:shd w:val="clear" w:color="000000" w:fill="F2F2F2"/>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&gt;100%</w:t>
            </w:r>
          </w:p>
        </w:tc>
        <w:tc>
          <w:tcPr>
            <w:tcW w:w="480" w:type="pct"/>
            <w:tcBorders>
              <w:top w:val="nil"/>
              <w:bottom w:val="nil"/>
              <w:right w:val="nil"/>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602 </w:t>
            </w:r>
          </w:p>
        </w:tc>
        <w:tc>
          <w:tcPr>
            <w:tcW w:w="480" w:type="pct"/>
            <w:tcBorders>
              <w:top w:val="nil"/>
              <w:left w:val="nil"/>
              <w:bottom w:val="nil"/>
              <w:right w:val="nil"/>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452 </w:t>
            </w:r>
          </w:p>
        </w:tc>
        <w:tc>
          <w:tcPr>
            <w:tcW w:w="478" w:type="pct"/>
            <w:tcBorders>
              <w:top w:val="nil"/>
              <w:left w:val="nil"/>
              <w:bottom w:val="nil"/>
            </w:tcBorders>
            <w:shd w:val="clear" w:color="000000" w:fill="F2F2F2"/>
            <w:tcMar>
              <w:top w:w="15" w:type="dxa"/>
              <w:left w:w="15" w:type="dxa"/>
              <w:bottom w:w="0" w:type="dxa"/>
              <w:right w:w="84"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33%</w:t>
            </w:r>
          </w:p>
        </w:tc>
      </w:tr>
      <w:tr w:rsidR="0039618F" w:rsidRPr="00E95FD5" w:rsidTr="0039618F">
        <w:trPr>
          <w:trHeight w:hRule="exact" w:val="227"/>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39618F" w:rsidRPr="00E95FD5" w:rsidRDefault="0039618F" w:rsidP="0039618F">
            <w:pPr>
              <w:textAlignment w:val="center"/>
              <w:rPr>
                <w:rFonts w:ascii="Segoe UI" w:eastAsia="Times New Roman" w:hAnsi="Segoe UI" w:cs="Segoe UI"/>
                <w:sz w:val="14"/>
                <w:szCs w:val="14"/>
                <w:lang w:eastAsia="el-GR"/>
              </w:rPr>
            </w:pPr>
            <w:r w:rsidRPr="00E95FD5">
              <w:rPr>
                <w:rFonts w:ascii="Segoe UI" w:eastAsia="Segoe UI" w:hAnsi="Segoe UI" w:cs="Segoe UI"/>
                <w:bCs/>
                <w:color w:val="000000"/>
                <w:kern w:val="24"/>
                <w:sz w:val="14"/>
                <w:szCs w:val="14"/>
                <w:lang w:eastAsia="el-GR"/>
              </w:rPr>
              <w:t xml:space="preserve">Κέρδη / (ζημίες) μετά </w:t>
            </w:r>
            <w:r w:rsidRPr="00BC5C8C">
              <w:rPr>
                <w:rFonts w:ascii="Segoe UI" w:eastAsia="Segoe UI" w:hAnsi="Segoe UI" w:cs="Segoe UI"/>
                <w:bCs/>
                <w:color w:val="000000"/>
                <w:kern w:val="24"/>
                <w:sz w:val="14"/>
                <w:szCs w:val="14"/>
                <w:lang w:eastAsia="el-GR"/>
              </w:rPr>
              <w:t xml:space="preserve">από φόρους </w:t>
            </w:r>
            <w:r w:rsidRPr="00E95FD5">
              <w:rPr>
                <w:rFonts w:ascii="Segoe UI" w:eastAsia="Segoe UI" w:hAnsi="Segoe UI" w:cs="Segoe UI"/>
                <w:bCs/>
                <w:color w:val="000000"/>
                <w:kern w:val="24"/>
                <w:sz w:val="14"/>
                <w:szCs w:val="14"/>
                <w:lang w:eastAsia="el-GR"/>
              </w:rPr>
              <w:t>(διακοπείσες δραστηριότητες)</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(22) </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10 </w:t>
            </w:r>
          </w:p>
        </w:tc>
        <w:tc>
          <w:tcPr>
            <w:tcW w:w="480" w:type="pct"/>
            <w:tcBorders>
              <w:top w:val="nil"/>
              <w:left w:val="nil"/>
              <w:bottom w:val="nil"/>
            </w:tcBorders>
            <w:vAlign w:val="bottom"/>
          </w:tcPr>
          <w:p w:rsidR="0039618F" w:rsidRPr="0039618F" w:rsidRDefault="007B197B" w:rsidP="0039618F">
            <w:pPr>
              <w:pStyle w:val="NormalWeb"/>
              <w:spacing w:before="0" w:beforeAutospacing="0" w:after="0" w:afterAutospacing="0"/>
              <w:ind w:right="148"/>
              <w:jc w:val="right"/>
              <w:textAlignment w:val="center"/>
              <w:rPr>
                <w:rFonts w:ascii="Segoe UI" w:hAnsi="Segoe UI" w:cs="Segoe UI"/>
                <w:i/>
                <w:sz w:val="14"/>
                <w:szCs w:val="16"/>
                <w:lang w:val="en-US"/>
              </w:rPr>
            </w:pPr>
            <w:r>
              <w:rPr>
                <w:rFonts w:ascii="Segoe UI" w:hAnsi="Segoe UI" w:cs="Segoe UI"/>
                <w:i/>
                <w:sz w:val="14"/>
                <w:szCs w:val="16"/>
                <w:lang w:val="en-US"/>
              </w:rPr>
              <w:t>--</w:t>
            </w:r>
          </w:p>
        </w:tc>
        <w:tc>
          <w:tcPr>
            <w:tcW w:w="480" w:type="pct"/>
            <w:tcBorders>
              <w:top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(8) </w:t>
            </w:r>
          </w:p>
        </w:tc>
        <w:tc>
          <w:tcPr>
            <w:tcW w:w="480" w:type="pct"/>
            <w:tcBorders>
              <w:top w:val="nil"/>
              <w:left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91 </w:t>
            </w:r>
          </w:p>
        </w:tc>
        <w:tc>
          <w:tcPr>
            <w:tcW w:w="478" w:type="pct"/>
            <w:tcBorders>
              <w:top w:val="nil"/>
              <w:left w:val="nil"/>
              <w:bottom w:val="nil"/>
            </w:tcBorders>
            <w:shd w:val="clear" w:color="auto" w:fill="auto"/>
            <w:tcMar>
              <w:top w:w="15" w:type="dxa"/>
              <w:left w:w="15" w:type="dxa"/>
              <w:bottom w:w="0" w:type="dxa"/>
              <w:right w:w="84" w:type="dxa"/>
            </w:tcMar>
            <w:vAlign w:val="bottom"/>
          </w:tcPr>
          <w:p w:rsidR="0039618F" w:rsidRPr="00B915CE" w:rsidRDefault="00B915CE" w:rsidP="0039618F">
            <w:pPr>
              <w:pStyle w:val="NormalWeb"/>
              <w:spacing w:before="0" w:beforeAutospacing="0" w:after="0" w:afterAutospacing="0"/>
              <w:ind w:right="148"/>
              <w:jc w:val="right"/>
              <w:textAlignment w:val="center"/>
              <w:rPr>
                <w:rFonts w:ascii="Segoe UI" w:hAnsi="Segoe UI" w:cs="Segoe UI"/>
                <w:i/>
                <w:sz w:val="14"/>
                <w:szCs w:val="16"/>
              </w:rPr>
            </w:pPr>
            <w:r>
              <w:rPr>
                <w:rFonts w:ascii="Segoe UI" w:hAnsi="Segoe UI" w:cs="Segoe UI"/>
                <w:i/>
                <w:sz w:val="14"/>
                <w:szCs w:val="16"/>
              </w:rPr>
              <w:t>--</w:t>
            </w:r>
          </w:p>
        </w:tc>
      </w:tr>
      <w:tr w:rsidR="0039618F" w:rsidRPr="00E95FD5" w:rsidTr="0039618F">
        <w:trPr>
          <w:trHeight w:hRule="exact" w:val="227"/>
        </w:trPr>
        <w:tc>
          <w:tcPr>
            <w:tcW w:w="2121" w:type="pct"/>
            <w:tcBorders>
              <w:top w:val="nil"/>
              <w:left w:val="nil"/>
              <w:bottom w:val="nil"/>
              <w:right w:val="nil"/>
            </w:tcBorders>
            <w:shd w:val="clear" w:color="auto" w:fill="auto"/>
            <w:tcMar>
              <w:top w:w="15" w:type="dxa"/>
              <w:left w:w="42" w:type="dxa"/>
              <w:bottom w:w="0" w:type="dxa"/>
              <w:right w:w="15" w:type="dxa"/>
            </w:tcMar>
            <w:vAlign w:val="center"/>
          </w:tcPr>
          <w:p w:rsidR="0039618F" w:rsidRPr="00E95FD5" w:rsidRDefault="0039618F" w:rsidP="0039618F">
            <w:pPr>
              <w:textAlignment w:val="center"/>
              <w:rPr>
                <w:rFonts w:ascii="Segoe UI" w:eastAsia="Segoe UI" w:hAnsi="Segoe UI" w:cs="Segoe UI"/>
                <w:color w:val="000000"/>
                <w:kern w:val="24"/>
                <w:sz w:val="14"/>
                <w:szCs w:val="14"/>
                <w:lang w:eastAsia="el-GR"/>
              </w:rPr>
            </w:pPr>
            <w:r w:rsidRPr="00E95FD5">
              <w:rPr>
                <w:rFonts w:ascii="Segoe UI" w:eastAsia="Segoe UI" w:hAnsi="Segoe UI" w:cs="Segoe UI"/>
                <w:color w:val="000000"/>
                <w:kern w:val="24"/>
                <w:sz w:val="14"/>
                <w:szCs w:val="14"/>
                <w:lang w:eastAsia="el-GR"/>
              </w:rPr>
              <w:t>ΛΕΠΕΤΕ</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(9) </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(9) </w:t>
            </w:r>
          </w:p>
        </w:tc>
        <w:tc>
          <w:tcPr>
            <w:tcW w:w="480" w:type="pct"/>
            <w:tcBorders>
              <w:top w:val="nil"/>
              <w:left w:val="nil"/>
              <w:bottom w:val="nil"/>
            </w:tcBorders>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7%</w:t>
            </w:r>
          </w:p>
        </w:tc>
        <w:tc>
          <w:tcPr>
            <w:tcW w:w="480" w:type="pct"/>
            <w:tcBorders>
              <w:top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(28) </w:t>
            </w:r>
          </w:p>
        </w:tc>
        <w:tc>
          <w:tcPr>
            <w:tcW w:w="480" w:type="pct"/>
            <w:tcBorders>
              <w:top w:val="nil"/>
              <w:left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(36) </w:t>
            </w:r>
          </w:p>
        </w:tc>
        <w:tc>
          <w:tcPr>
            <w:tcW w:w="478" w:type="pct"/>
            <w:tcBorders>
              <w:top w:val="nil"/>
              <w:left w:val="nil"/>
              <w:bottom w:val="nil"/>
            </w:tcBorders>
            <w:shd w:val="clear" w:color="auto" w:fill="auto"/>
            <w:tcMar>
              <w:top w:w="15" w:type="dxa"/>
              <w:left w:w="15" w:type="dxa"/>
              <w:bottom w:w="0" w:type="dxa"/>
              <w:right w:w="84"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-22%</w:t>
            </w:r>
          </w:p>
        </w:tc>
      </w:tr>
      <w:tr w:rsidR="0039618F" w:rsidRPr="00E95FD5" w:rsidTr="0039618F">
        <w:trPr>
          <w:trHeight w:hRule="exact" w:val="227"/>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39618F" w:rsidRPr="00C67C08" w:rsidRDefault="0039618F" w:rsidP="0039618F">
            <w:pPr>
              <w:textAlignment w:val="center"/>
              <w:rPr>
                <w:rFonts w:ascii="Segoe UI" w:eastAsia="Segoe UI" w:hAnsi="Segoe UI" w:cs="Segoe UI"/>
                <w:color w:val="000000"/>
                <w:kern w:val="24"/>
                <w:sz w:val="14"/>
                <w:szCs w:val="14"/>
                <w:lang w:eastAsia="el-GR"/>
              </w:rPr>
            </w:pPr>
            <w:r>
              <w:rPr>
                <w:rFonts w:ascii="Segoe UI" w:eastAsia="Segoe UI" w:hAnsi="Segoe UI" w:cs="Segoe UI"/>
                <w:color w:val="000000"/>
                <w:kern w:val="24"/>
                <w:sz w:val="14"/>
                <w:szCs w:val="14"/>
                <w:lang w:eastAsia="el-GR"/>
              </w:rPr>
              <w:t xml:space="preserve">Κόστος Εθελουσίας, </w:t>
            </w:r>
            <w:r w:rsidRPr="00E95FD5">
              <w:rPr>
                <w:rFonts w:ascii="Segoe UI" w:eastAsia="Segoe UI" w:hAnsi="Segoe UI" w:cs="Segoe UI"/>
                <w:color w:val="000000"/>
                <w:kern w:val="24"/>
                <w:sz w:val="14"/>
                <w:szCs w:val="14"/>
                <w:lang w:eastAsia="el-GR"/>
              </w:rPr>
              <w:t>κόστη αναδ</w:t>
            </w:r>
            <w:r>
              <w:rPr>
                <w:rFonts w:ascii="Segoe UI" w:eastAsia="Segoe UI" w:hAnsi="Segoe UI" w:cs="Segoe UI"/>
                <w:color w:val="000000"/>
                <w:kern w:val="24"/>
                <w:sz w:val="14"/>
                <w:szCs w:val="14"/>
                <w:lang w:eastAsia="el-GR"/>
              </w:rPr>
              <w:t>/σης κ λοιπά έκτακτα κόστη</w:t>
            </w:r>
            <w:r>
              <w:rPr>
                <w:rFonts w:ascii="Segoe UI" w:eastAsia="Segoe UI" w:hAnsi="Segoe UI" w:cs="Segoe UI"/>
                <w:color w:val="000000"/>
                <w:kern w:val="24"/>
                <w:sz w:val="14"/>
                <w:szCs w:val="14"/>
                <w:vertAlign w:val="superscript"/>
                <w:lang w:eastAsia="el-GR"/>
              </w:rPr>
              <w:t>3</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(5) </w:t>
            </w:r>
          </w:p>
        </w:tc>
        <w:tc>
          <w:tcPr>
            <w:tcW w:w="480" w:type="pct"/>
            <w:tcBorders>
              <w:top w:val="nil"/>
              <w:left w:val="nil"/>
              <w:bottom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(3) </w:t>
            </w:r>
          </w:p>
        </w:tc>
        <w:tc>
          <w:tcPr>
            <w:tcW w:w="480" w:type="pct"/>
            <w:tcBorders>
              <w:top w:val="nil"/>
              <w:left w:val="nil"/>
              <w:bottom w:val="nil"/>
            </w:tcBorders>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68%</w:t>
            </w:r>
          </w:p>
        </w:tc>
        <w:tc>
          <w:tcPr>
            <w:tcW w:w="480" w:type="pct"/>
            <w:tcBorders>
              <w:top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(104) </w:t>
            </w:r>
          </w:p>
        </w:tc>
        <w:tc>
          <w:tcPr>
            <w:tcW w:w="480" w:type="pct"/>
            <w:tcBorders>
              <w:top w:val="nil"/>
              <w:left w:val="nil"/>
              <w:bottom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(110) </w:t>
            </w:r>
          </w:p>
        </w:tc>
        <w:tc>
          <w:tcPr>
            <w:tcW w:w="478" w:type="pct"/>
            <w:tcBorders>
              <w:top w:val="nil"/>
              <w:left w:val="nil"/>
              <w:bottom w:val="nil"/>
            </w:tcBorders>
            <w:shd w:val="clear" w:color="auto" w:fill="auto"/>
            <w:tcMar>
              <w:top w:w="15" w:type="dxa"/>
              <w:left w:w="15" w:type="dxa"/>
              <w:bottom w:w="0" w:type="dxa"/>
              <w:right w:w="84"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-5%</w:t>
            </w:r>
          </w:p>
        </w:tc>
      </w:tr>
      <w:tr w:rsidR="0039618F" w:rsidRPr="00E95FD5" w:rsidTr="0039618F">
        <w:trPr>
          <w:trHeight w:hRule="exact" w:val="227"/>
        </w:trPr>
        <w:tc>
          <w:tcPr>
            <w:tcW w:w="2121" w:type="pct"/>
            <w:tcBorders>
              <w:top w:val="nil"/>
              <w:left w:val="nil"/>
              <w:bottom w:val="nil"/>
              <w:right w:val="nil"/>
            </w:tcBorders>
            <w:shd w:val="clear" w:color="auto" w:fill="auto"/>
            <w:tcMar>
              <w:top w:w="15" w:type="dxa"/>
              <w:left w:w="42" w:type="dxa"/>
              <w:bottom w:w="0" w:type="dxa"/>
              <w:right w:w="15" w:type="dxa"/>
            </w:tcMar>
            <w:vAlign w:val="center"/>
          </w:tcPr>
          <w:p w:rsidR="0039618F" w:rsidRPr="00E95FD5" w:rsidRDefault="0039618F" w:rsidP="0039618F">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Δικαιώματα μειοψηφίας</w:t>
            </w:r>
          </w:p>
        </w:tc>
        <w:tc>
          <w:tcPr>
            <w:tcW w:w="480" w:type="pct"/>
            <w:tcBorders>
              <w:top w:val="nil"/>
              <w:left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(0) </w:t>
            </w:r>
          </w:p>
        </w:tc>
        <w:tc>
          <w:tcPr>
            <w:tcW w:w="480" w:type="pct"/>
            <w:tcBorders>
              <w:top w:val="nil"/>
              <w:left w:val="nil"/>
              <w:right w:val="nil"/>
            </w:tcBorders>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(0) </w:t>
            </w:r>
          </w:p>
        </w:tc>
        <w:tc>
          <w:tcPr>
            <w:tcW w:w="480" w:type="pct"/>
            <w:tcBorders>
              <w:top w:val="nil"/>
              <w:left w:val="nil"/>
            </w:tcBorders>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0%</w:t>
            </w:r>
          </w:p>
        </w:tc>
        <w:tc>
          <w:tcPr>
            <w:tcW w:w="480" w:type="pct"/>
            <w:tcBorders>
              <w:top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(1) </w:t>
            </w:r>
          </w:p>
        </w:tc>
        <w:tc>
          <w:tcPr>
            <w:tcW w:w="480" w:type="pct"/>
            <w:tcBorders>
              <w:top w:val="nil"/>
              <w:left w:val="nil"/>
              <w:right w:val="nil"/>
            </w:tcBorders>
            <w:shd w:val="clear" w:color="auto" w:fill="auto"/>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sz w:val="14"/>
                <w:szCs w:val="16"/>
                <w:lang w:val="en-US"/>
              </w:rPr>
            </w:pPr>
            <w:r w:rsidRPr="0039618F">
              <w:rPr>
                <w:rFonts w:ascii="Segoe UI" w:hAnsi="Segoe UI" w:cs="Segoe UI"/>
                <w:sz w:val="14"/>
                <w:szCs w:val="16"/>
                <w:lang w:val="en-US"/>
              </w:rPr>
              <w:t xml:space="preserve">(18) </w:t>
            </w:r>
          </w:p>
        </w:tc>
        <w:tc>
          <w:tcPr>
            <w:tcW w:w="478" w:type="pct"/>
            <w:tcBorders>
              <w:top w:val="nil"/>
              <w:left w:val="nil"/>
            </w:tcBorders>
            <w:shd w:val="clear" w:color="auto" w:fill="auto"/>
            <w:tcMar>
              <w:top w:w="15" w:type="dxa"/>
              <w:left w:w="15" w:type="dxa"/>
              <w:bottom w:w="0" w:type="dxa"/>
              <w:right w:w="84"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i/>
                <w:sz w:val="14"/>
                <w:szCs w:val="16"/>
                <w:lang w:val="en-US"/>
              </w:rPr>
            </w:pPr>
            <w:r w:rsidRPr="0039618F">
              <w:rPr>
                <w:rFonts w:ascii="Segoe UI" w:hAnsi="Segoe UI" w:cs="Segoe UI"/>
                <w:i/>
                <w:sz w:val="14"/>
                <w:szCs w:val="16"/>
                <w:lang w:val="en-US"/>
              </w:rPr>
              <w:t>-93%</w:t>
            </w:r>
          </w:p>
        </w:tc>
      </w:tr>
      <w:tr w:rsidR="0039618F" w:rsidRPr="00E95FD5" w:rsidTr="0039618F">
        <w:trPr>
          <w:trHeight w:hRule="exact" w:val="227"/>
        </w:trPr>
        <w:tc>
          <w:tcPr>
            <w:tcW w:w="2121" w:type="pct"/>
            <w:tcBorders>
              <w:top w:val="nil"/>
              <w:left w:val="nil"/>
              <w:bottom w:val="single" w:sz="12" w:space="0" w:color="000000"/>
              <w:right w:val="nil"/>
            </w:tcBorders>
            <w:shd w:val="clear" w:color="auto" w:fill="F2F2F2" w:themeFill="background1" w:themeFillShade="F2"/>
            <w:tcMar>
              <w:top w:w="15" w:type="dxa"/>
              <w:left w:w="42" w:type="dxa"/>
              <w:bottom w:w="0" w:type="dxa"/>
              <w:right w:w="15" w:type="dxa"/>
            </w:tcMar>
            <w:vAlign w:val="center"/>
          </w:tcPr>
          <w:p w:rsidR="0039618F" w:rsidRPr="00E95FD5" w:rsidRDefault="0039618F" w:rsidP="0039618F">
            <w:pPr>
              <w:jc w:val="both"/>
              <w:textAlignment w:val="center"/>
              <w:rPr>
                <w:rFonts w:ascii="Segoe UI" w:eastAsia="Segoe UI" w:hAnsi="Segoe UI" w:cs="Segoe UI"/>
                <w:color w:val="000000"/>
                <w:kern w:val="24"/>
                <w:sz w:val="14"/>
                <w:szCs w:val="14"/>
                <w:lang w:eastAsia="el-GR"/>
              </w:rPr>
            </w:pPr>
            <w:r w:rsidRPr="00E95FD5">
              <w:rPr>
                <w:rFonts w:ascii="Segoe UI" w:eastAsia="Segoe UI" w:hAnsi="Segoe UI" w:cs="Segoe UI"/>
                <w:b/>
                <w:color w:val="000000"/>
                <w:kern w:val="24"/>
                <w:sz w:val="14"/>
                <w:szCs w:val="14"/>
                <w:lang w:eastAsia="el-GR"/>
              </w:rPr>
              <w:t xml:space="preserve">Κέρδη / (ζημίες) μετά </w:t>
            </w:r>
            <w:r w:rsidRPr="00976026">
              <w:rPr>
                <w:rFonts w:ascii="Segoe UI" w:eastAsia="Segoe UI" w:hAnsi="Segoe UI" w:cs="Segoe UI"/>
                <w:b/>
                <w:color w:val="000000"/>
                <w:kern w:val="24"/>
                <w:sz w:val="14"/>
                <w:szCs w:val="14"/>
                <w:lang w:eastAsia="el-GR"/>
              </w:rPr>
              <w:t xml:space="preserve">από φόρους </w:t>
            </w:r>
            <w:r w:rsidRPr="00E95FD5">
              <w:rPr>
                <w:rFonts w:ascii="Segoe UI" w:eastAsia="Segoe UI" w:hAnsi="Segoe UI" w:cs="Segoe UI"/>
                <w:b/>
                <w:color w:val="000000"/>
                <w:kern w:val="24"/>
                <w:sz w:val="14"/>
                <w:szCs w:val="14"/>
                <w:lang w:eastAsia="el-GR"/>
              </w:rPr>
              <w:t>περιόδου</w:t>
            </w:r>
          </w:p>
        </w:tc>
        <w:tc>
          <w:tcPr>
            <w:tcW w:w="480" w:type="pct"/>
            <w:tcBorders>
              <w:top w:val="nil"/>
              <w:bottom w:val="single" w:sz="12" w:space="0" w:color="auto"/>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101 </w:t>
            </w:r>
          </w:p>
        </w:tc>
        <w:tc>
          <w:tcPr>
            <w:tcW w:w="480" w:type="pct"/>
            <w:tcBorders>
              <w:top w:val="nil"/>
              <w:bottom w:val="single" w:sz="12" w:space="0" w:color="auto"/>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56 </w:t>
            </w:r>
          </w:p>
        </w:tc>
        <w:tc>
          <w:tcPr>
            <w:tcW w:w="480" w:type="pct"/>
            <w:tcBorders>
              <w:top w:val="nil"/>
              <w:bottom w:val="single" w:sz="12" w:space="0" w:color="auto"/>
            </w:tcBorders>
            <w:shd w:val="clear" w:color="000000" w:fill="F2F2F2"/>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79%</w:t>
            </w:r>
          </w:p>
        </w:tc>
        <w:tc>
          <w:tcPr>
            <w:tcW w:w="480" w:type="pct"/>
            <w:tcBorders>
              <w:top w:val="nil"/>
              <w:bottom w:val="single" w:sz="12" w:space="0" w:color="auto"/>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461 </w:t>
            </w:r>
          </w:p>
        </w:tc>
        <w:tc>
          <w:tcPr>
            <w:tcW w:w="480" w:type="pct"/>
            <w:tcBorders>
              <w:top w:val="nil"/>
              <w:bottom w:val="single" w:sz="12" w:space="0" w:color="auto"/>
            </w:tcBorders>
            <w:shd w:val="clear" w:color="000000" w:fill="F2F2F2"/>
            <w:vAlign w:val="center"/>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sz w:val="14"/>
                <w:szCs w:val="16"/>
                <w:lang w:val="en-US"/>
              </w:rPr>
            </w:pPr>
            <w:r w:rsidRPr="0039618F">
              <w:rPr>
                <w:rFonts w:ascii="Segoe UI" w:hAnsi="Segoe UI" w:cs="Segoe UI"/>
                <w:b/>
                <w:sz w:val="14"/>
                <w:szCs w:val="16"/>
                <w:lang w:val="en-US"/>
              </w:rPr>
              <w:t xml:space="preserve">379 </w:t>
            </w:r>
          </w:p>
        </w:tc>
        <w:tc>
          <w:tcPr>
            <w:tcW w:w="478" w:type="pct"/>
            <w:tcBorders>
              <w:top w:val="nil"/>
              <w:bottom w:val="single" w:sz="12" w:space="0" w:color="auto"/>
            </w:tcBorders>
            <w:shd w:val="clear" w:color="000000" w:fill="F2F2F2"/>
            <w:tcMar>
              <w:top w:w="15" w:type="dxa"/>
              <w:left w:w="15" w:type="dxa"/>
              <w:bottom w:w="0" w:type="dxa"/>
              <w:right w:w="84" w:type="dxa"/>
            </w:tcMar>
            <w:vAlign w:val="bottom"/>
          </w:tcPr>
          <w:p w:rsidR="0039618F" w:rsidRPr="0039618F" w:rsidRDefault="0039618F" w:rsidP="0039618F">
            <w:pPr>
              <w:pStyle w:val="NormalWeb"/>
              <w:spacing w:before="0" w:beforeAutospacing="0" w:after="0" w:afterAutospacing="0"/>
              <w:ind w:right="148"/>
              <w:jc w:val="right"/>
              <w:textAlignment w:val="center"/>
              <w:rPr>
                <w:rFonts w:ascii="Segoe UI" w:hAnsi="Segoe UI" w:cs="Segoe UI"/>
                <w:b/>
                <w:i/>
                <w:sz w:val="14"/>
                <w:szCs w:val="16"/>
                <w:lang w:val="en-US"/>
              </w:rPr>
            </w:pPr>
            <w:r w:rsidRPr="0039618F">
              <w:rPr>
                <w:rFonts w:ascii="Segoe UI" w:hAnsi="Segoe UI" w:cs="Segoe UI"/>
                <w:b/>
                <w:i/>
                <w:sz w:val="14"/>
                <w:szCs w:val="16"/>
                <w:lang w:val="en-US"/>
              </w:rPr>
              <w:t>22%</w:t>
            </w:r>
          </w:p>
        </w:tc>
      </w:tr>
    </w:tbl>
    <w:p w:rsidR="00907DAB" w:rsidRPr="00F73358" w:rsidRDefault="006313CE" w:rsidP="00BE6158">
      <w:pPr>
        <w:jc w:val="both"/>
        <w:textAlignment w:val="baseline"/>
        <w:rPr>
          <w:rFonts w:ascii="Segoe UI" w:hAnsi="Segoe UI" w:cs="Segoe UI"/>
          <w:b/>
          <w:sz w:val="7"/>
          <w:szCs w:val="7"/>
        </w:rPr>
      </w:pPr>
      <w:r w:rsidRPr="00F73358">
        <w:rPr>
          <w:rFonts w:ascii="Segoe UI" w:hAnsi="Segoe UI" w:cs="Segoe UI"/>
          <w:color w:val="000000" w:themeColor="text1"/>
          <w:kern w:val="24"/>
          <w:sz w:val="7"/>
          <w:szCs w:val="7"/>
          <w:vertAlign w:val="superscript"/>
        </w:rPr>
        <w:t xml:space="preserve">1 </w:t>
      </w:r>
      <w:r w:rsidR="005748DD" w:rsidRPr="00F73358">
        <w:rPr>
          <w:rFonts w:ascii="Segoe UI" w:hAnsi="Segoe UI" w:cs="Segoe UI"/>
          <w:color w:val="000000" w:themeColor="text1"/>
          <w:kern w:val="24"/>
          <w:sz w:val="7"/>
          <w:szCs w:val="7"/>
        </w:rPr>
        <w:t>Περιλαμβάνουν μη επαναλαμβανόμενα κέρδη σχετιζόμενα</w:t>
      </w:r>
      <w:r w:rsidR="0020487F" w:rsidRPr="00F73358">
        <w:rPr>
          <w:rFonts w:ascii="Segoe UI" w:hAnsi="Segoe UI" w:cs="Segoe UI"/>
          <w:color w:val="000000" w:themeColor="text1"/>
          <w:kern w:val="24"/>
          <w:sz w:val="7"/>
          <w:szCs w:val="7"/>
        </w:rPr>
        <w:t xml:space="preserve"> με (α)</w:t>
      </w:r>
      <w:r w:rsidR="005748DD" w:rsidRPr="00F73358">
        <w:rPr>
          <w:rFonts w:ascii="Segoe UI" w:hAnsi="Segoe UI" w:cs="Segoe UI"/>
          <w:color w:val="000000" w:themeColor="text1"/>
          <w:kern w:val="24"/>
          <w:sz w:val="7"/>
          <w:szCs w:val="7"/>
        </w:rPr>
        <w:t xml:space="preserve"> </w:t>
      </w:r>
      <w:r w:rsidR="00676B25" w:rsidRPr="00F73358">
        <w:rPr>
          <w:rFonts w:ascii="Segoe UI" w:hAnsi="Segoe UI" w:cs="Segoe UI"/>
          <w:color w:val="000000" w:themeColor="text1"/>
          <w:kern w:val="24"/>
          <w:sz w:val="7"/>
          <w:szCs w:val="7"/>
        </w:rPr>
        <w:t xml:space="preserve">την ανταλλαγή τριών υφιστάμενων ΟΕΔ που κατείχε η ΕΤΕ με ένα νέο ΟΕΔ ύψους €515 εκατ. και την πώληση ΟΕΔ στο χαρτοφυλάκιο «διακρατούμενων για την είσπραξη συμβατικών ταμειακών ροών και για ενδεχόμενη πώληση» (HTCS) ύψους €264 εκατ. το Α΄ </w:t>
      </w:r>
      <w:r w:rsidR="000B6DAB" w:rsidRPr="00F73358">
        <w:rPr>
          <w:rFonts w:ascii="Segoe UI" w:hAnsi="Segoe UI" w:cs="Segoe UI"/>
          <w:color w:val="000000" w:themeColor="text1"/>
          <w:kern w:val="24"/>
          <w:sz w:val="7"/>
          <w:szCs w:val="7"/>
        </w:rPr>
        <w:t>τρίμηνο</w:t>
      </w:r>
      <w:r w:rsidR="00676B25" w:rsidRPr="00F73358">
        <w:rPr>
          <w:rFonts w:ascii="Segoe UI" w:hAnsi="Segoe UI" w:cs="Segoe UI"/>
          <w:color w:val="000000" w:themeColor="text1"/>
          <w:kern w:val="24"/>
          <w:sz w:val="7"/>
          <w:szCs w:val="7"/>
        </w:rPr>
        <w:t xml:space="preserve"> 2020 </w:t>
      </w:r>
      <w:r w:rsidR="0020487F" w:rsidRPr="00F73358">
        <w:rPr>
          <w:rFonts w:ascii="Segoe UI" w:hAnsi="Segoe UI" w:cs="Segoe UI"/>
          <w:color w:val="000000" w:themeColor="text1"/>
          <w:kern w:val="24"/>
          <w:sz w:val="7"/>
          <w:szCs w:val="7"/>
        </w:rPr>
        <w:t xml:space="preserve">και (β) </w:t>
      </w:r>
      <w:r w:rsidR="00676B25" w:rsidRPr="00F73358">
        <w:rPr>
          <w:rFonts w:ascii="Segoe UI" w:hAnsi="Segoe UI" w:cs="Segoe UI"/>
          <w:color w:val="000000" w:themeColor="text1"/>
          <w:kern w:val="24"/>
          <w:sz w:val="7"/>
          <w:szCs w:val="7"/>
        </w:rPr>
        <w:t xml:space="preserve">την αντικατάσταση της Συμφωνίας Ανταλλαγής Επιτοκίων με ΟΕΔ ύψους €65 εκατ. </w:t>
      </w:r>
      <w:r w:rsidR="00C64509" w:rsidRPr="00F73358">
        <w:rPr>
          <w:rFonts w:ascii="Segoe UI" w:hAnsi="Segoe UI" w:cs="Segoe UI"/>
          <w:color w:val="000000" w:themeColor="text1"/>
          <w:kern w:val="24"/>
          <w:sz w:val="7"/>
          <w:szCs w:val="7"/>
        </w:rPr>
        <w:t>Α’ τρίμηνο 2019</w:t>
      </w:r>
      <w:r w:rsidR="00D24BD9" w:rsidRPr="00F73358">
        <w:rPr>
          <w:rFonts w:ascii="Segoe UI" w:hAnsi="Segoe UI" w:cs="Segoe UI"/>
          <w:color w:val="000000" w:themeColor="text1"/>
          <w:kern w:val="24"/>
          <w:sz w:val="7"/>
          <w:szCs w:val="7"/>
        </w:rPr>
        <w:t xml:space="preserve">, </w:t>
      </w:r>
      <w:r w:rsidR="00676B25" w:rsidRPr="00F73358">
        <w:rPr>
          <w:rFonts w:ascii="Segoe UI" w:hAnsi="Segoe UI" w:cs="Segoe UI"/>
          <w:color w:val="000000" w:themeColor="text1"/>
          <w:kern w:val="24"/>
          <w:sz w:val="7"/>
          <w:szCs w:val="7"/>
        </w:rPr>
        <w:t xml:space="preserve">την πώληση του ξενοδοχείου “Grand Hotel” ύψους €30 εκατ. το </w:t>
      </w:r>
      <w:r w:rsidR="00C64509" w:rsidRPr="00F73358">
        <w:rPr>
          <w:rFonts w:ascii="Segoe UI" w:hAnsi="Segoe UI" w:cs="Segoe UI"/>
          <w:color w:val="000000" w:themeColor="text1"/>
          <w:kern w:val="24"/>
          <w:sz w:val="7"/>
          <w:szCs w:val="7"/>
        </w:rPr>
        <w:t>Β</w:t>
      </w:r>
      <w:r w:rsidR="00676B25" w:rsidRPr="00F73358">
        <w:rPr>
          <w:rFonts w:ascii="Segoe UI" w:hAnsi="Segoe UI" w:cs="Segoe UI"/>
          <w:color w:val="000000" w:themeColor="text1"/>
          <w:kern w:val="24"/>
          <w:sz w:val="7"/>
          <w:szCs w:val="7"/>
        </w:rPr>
        <w:t xml:space="preserve">’ </w:t>
      </w:r>
      <w:r w:rsidR="00C64509" w:rsidRPr="00F73358">
        <w:rPr>
          <w:rFonts w:ascii="Segoe UI" w:hAnsi="Segoe UI" w:cs="Segoe UI"/>
          <w:color w:val="000000" w:themeColor="text1"/>
          <w:kern w:val="24"/>
          <w:sz w:val="7"/>
          <w:szCs w:val="7"/>
        </w:rPr>
        <w:t xml:space="preserve">τρίμηνο </w:t>
      </w:r>
      <w:r w:rsidR="00676B25" w:rsidRPr="00F73358">
        <w:rPr>
          <w:rFonts w:ascii="Segoe UI" w:hAnsi="Segoe UI" w:cs="Segoe UI"/>
          <w:color w:val="000000" w:themeColor="text1"/>
          <w:kern w:val="24"/>
          <w:sz w:val="7"/>
          <w:szCs w:val="7"/>
        </w:rPr>
        <w:t>2019</w:t>
      </w:r>
      <w:r w:rsidR="00D24BD9" w:rsidRPr="00F73358">
        <w:rPr>
          <w:rFonts w:ascii="Segoe UI" w:hAnsi="Segoe UI" w:cs="Segoe UI"/>
          <w:color w:val="000000" w:themeColor="text1"/>
          <w:kern w:val="24"/>
          <w:sz w:val="7"/>
          <w:szCs w:val="7"/>
        </w:rPr>
        <w:t>,</w:t>
      </w:r>
      <w:r w:rsidR="00676B25" w:rsidRPr="00F73358">
        <w:rPr>
          <w:rFonts w:ascii="Segoe UI" w:hAnsi="Segoe UI" w:cs="Segoe UI"/>
          <w:color w:val="000000" w:themeColor="text1"/>
          <w:kern w:val="24"/>
          <w:sz w:val="7"/>
          <w:szCs w:val="7"/>
        </w:rPr>
        <w:t xml:space="preserve"> </w:t>
      </w:r>
      <w:r w:rsidR="00D24BD9" w:rsidRPr="00F73358">
        <w:rPr>
          <w:rFonts w:ascii="Segoe UI" w:hAnsi="Segoe UI" w:cs="Segoe UI"/>
          <w:color w:val="000000" w:themeColor="text1"/>
          <w:kern w:val="24"/>
          <w:sz w:val="7"/>
          <w:szCs w:val="7"/>
        </w:rPr>
        <w:t>καθώς και την πώληση κρατικών ομολόγων το Γ’ τρίμηνο 2019 (€118 εκατ.)</w:t>
      </w:r>
      <w:r w:rsidR="00477940" w:rsidRPr="00F73358">
        <w:rPr>
          <w:rFonts w:ascii="Segoe UI" w:hAnsi="Segoe UI" w:cs="Segoe UI"/>
          <w:color w:val="000000" w:themeColor="text1"/>
          <w:kern w:val="24"/>
          <w:sz w:val="7"/>
          <w:szCs w:val="7"/>
        </w:rPr>
        <w:t xml:space="preserve"> </w:t>
      </w:r>
      <w:r w:rsidR="005748DD" w:rsidRPr="00F73358">
        <w:rPr>
          <w:rFonts w:ascii="Segoe UI" w:hAnsi="Segoe UI" w:cs="Segoe UI"/>
          <w:color w:val="000000" w:themeColor="text1"/>
          <w:kern w:val="24"/>
          <w:sz w:val="7"/>
          <w:szCs w:val="7"/>
        </w:rPr>
        <w:t>/</w:t>
      </w:r>
      <w:r w:rsidRPr="00F73358">
        <w:rPr>
          <w:rFonts w:ascii="Segoe UI" w:hAnsi="Segoe UI" w:cs="Segoe UI"/>
          <w:color w:val="000000" w:themeColor="text1"/>
          <w:kern w:val="24"/>
          <w:sz w:val="7"/>
          <w:szCs w:val="7"/>
        </w:rPr>
        <w:t xml:space="preserve"> </w:t>
      </w:r>
      <w:r w:rsidRPr="00F73358">
        <w:rPr>
          <w:rFonts w:ascii="Segoe UI" w:hAnsi="Segoe UI" w:cs="Segoe UI"/>
          <w:color w:val="000000" w:themeColor="text1"/>
          <w:kern w:val="24"/>
          <w:sz w:val="7"/>
          <w:szCs w:val="7"/>
          <w:vertAlign w:val="superscript"/>
        </w:rPr>
        <w:t>2</w:t>
      </w:r>
      <w:r w:rsidR="00924835" w:rsidRPr="00F73358">
        <w:rPr>
          <w:rFonts w:ascii="Segoe UI" w:hAnsi="Segoe UI" w:cs="Segoe UI"/>
          <w:color w:val="000000" w:themeColor="text1"/>
          <w:kern w:val="24"/>
          <w:sz w:val="7"/>
          <w:szCs w:val="7"/>
          <w:vertAlign w:val="superscript"/>
        </w:rPr>
        <w:t xml:space="preserve"> </w:t>
      </w:r>
      <w:r w:rsidRPr="00F73358">
        <w:rPr>
          <w:rFonts w:ascii="Segoe UI" w:hAnsi="Segoe UI" w:cs="Segoe UI"/>
          <w:color w:val="000000" w:themeColor="text1"/>
          <w:kern w:val="24"/>
          <w:sz w:val="7"/>
          <w:szCs w:val="7"/>
        </w:rPr>
        <w:t xml:space="preserve">Εξαιρούν </w:t>
      </w:r>
      <w:r w:rsidR="00286F74" w:rsidRPr="00F73358">
        <w:rPr>
          <w:rFonts w:ascii="Segoe UI" w:hAnsi="Segoe UI" w:cs="Segoe UI"/>
          <w:color w:val="000000" w:themeColor="text1"/>
          <w:kern w:val="24"/>
          <w:sz w:val="7"/>
          <w:szCs w:val="7"/>
        </w:rPr>
        <w:t>τα έσοδα από χρηματοοικονομικές πράξεις και λοιπά έσοδα</w:t>
      </w:r>
      <w:r w:rsidR="008F40B2" w:rsidRPr="00F73358">
        <w:rPr>
          <w:rFonts w:ascii="Segoe UI" w:hAnsi="Segoe UI" w:cs="Segoe UI"/>
          <w:color w:val="000000" w:themeColor="text1"/>
          <w:kern w:val="24"/>
          <w:sz w:val="7"/>
          <w:szCs w:val="7"/>
        </w:rPr>
        <w:t xml:space="preserve"> </w:t>
      </w:r>
      <w:r w:rsidR="00F2105E" w:rsidRPr="00F73358">
        <w:rPr>
          <w:rFonts w:ascii="Segoe UI" w:hAnsi="Segoe UI" w:cs="Segoe UI"/>
          <w:color w:val="000000" w:themeColor="text1"/>
          <w:kern w:val="24"/>
          <w:sz w:val="7"/>
          <w:szCs w:val="7"/>
        </w:rPr>
        <w:t>και τ</w:t>
      </w:r>
      <w:r w:rsidRPr="00F73358">
        <w:rPr>
          <w:rFonts w:ascii="Segoe UI" w:hAnsi="Segoe UI" w:cs="Segoe UI"/>
          <w:color w:val="000000" w:themeColor="text1"/>
          <w:kern w:val="24"/>
          <w:sz w:val="7"/>
          <w:szCs w:val="7"/>
        </w:rPr>
        <w:t xml:space="preserve">ις προβλέψεις </w:t>
      </w:r>
      <w:r w:rsidR="00467E58" w:rsidRPr="00F73358">
        <w:rPr>
          <w:rFonts w:ascii="Segoe UI" w:hAnsi="Segoe UI" w:cs="Segoe UI"/>
          <w:color w:val="000000" w:themeColor="text1"/>
          <w:kern w:val="24"/>
          <w:sz w:val="7"/>
          <w:szCs w:val="7"/>
        </w:rPr>
        <w:t xml:space="preserve">σχετιζόμενες με την πανδημία του κορωνοϊού </w:t>
      </w:r>
      <w:r w:rsidRPr="00F73358">
        <w:rPr>
          <w:rFonts w:ascii="Segoe UI" w:hAnsi="Segoe UI" w:cs="Segoe UI"/>
          <w:color w:val="000000" w:themeColor="text1"/>
          <w:kern w:val="24"/>
          <w:sz w:val="7"/>
          <w:szCs w:val="7"/>
        </w:rPr>
        <w:t xml:space="preserve">ύψους €416 εκατ. </w:t>
      </w:r>
      <w:r w:rsidR="00D80DC8" w:rsidRPr="00F73358">
        <w:rPr>
          <w:rFonts w:ascii="Segoe UI" w:hAnsi="Segoe UI" w:cs="Segoe UI"/>
          <w:color w:val="000000" w:themeColor="text1"/>
          <w:kern w:val="24"/>
          <w:sz w:val="7"/>
          <w:szCs w:val="7"/>
        </w:rPr>
        <w:t>το Α’ τρίμηνο 2020</w:t>
      </w:r>
      <w:r w:rsidR="00477940" w:rsidRPr="00F73358">
        <w:rPr>
          <w:rFonts w:ascii="Segoe UI" w:hAnsi="Segoe UI" w:cs="Segoe UI"/>
          <w:color w:val="000000" w:themeColor="text1"/>
          <w:kern w:val="24"/>
          <w:sz w:val="7"/>
          <w:szCs w:val="7"/>
        </w:rPr>
        <w:t xml:space="preserve">, </w:t>
      </w:r>
      <w:r w:rsidR="00467E58" w:rsidRPr="00F73358">
        <w:rPr>
          <w:rFonts w:ascii="Segoe UI" w:hAnsi="Segoe UI" w:cs="Segoe UI"/>
          <w:color w:val="000000" w:themeColor="text1"/>
          <w:kern w:val="24"/>
          <w:sz w:val="7"/>
          <w:szCs w:val="7"/>
        </w:rPr>
        <w:t>€10 εκατ. το Β’ τρίμηνο 2020</w:t>
      </w:r>
      <w:r w:rsidR="00477940" w:rsidRPr="00F73358">
        <w:rPr>
          <w:rFonts w:ascii="Segoe UI" w:hAnsi="Segoe UI" w:cs="Segoe UI"/>
          <w:color w:val="000000" w:themeColor="text1"/>
          <w:kern w:val="24"/>
          <w:sz w:val="7"/>
          <w:szCs w:val="7"/>
        </w:rPr>
        <w:t xml:space="preserve"> και €3 εκατ. το Γ’ τρίμηνο 2020 </w:t>
      </w:r>
      <w:r w:rsidR="00467E58" w:rsidRPr="00F73358">
        <w:rPr>
          <w:rFonts w:ascii="Segoe UI" w:hAnsi="Segoe UI" w:cs="Segoe UI"/>
          <w:color w:val="000000" w:themeColor="text1"/>
          <w:kern w:val="24"/>
          <w:sz w:val="7"/>
          <w:szCs w:val="7"/>
        </w:rPr>
        <w:t xml:space="preserve"> </w:t>
      </w:r>
      <w:r w:rsidRPr="00F73358">
        <w:rPr>
          <w:rFonts w:ascii="Segoe UI" w:hAnsi="Segoe UI" w:cs="Segoe UI"/>
          <w:color w:val="000000" w:themeColor="text1"/>
          <w:kern w:val="24"/>
          <w:sz w:val="7"/>
          <w:szCs w:val="7"/>
        </w:rPr>
        <w:t>/</w:t>
      </w:r>
      <w:r w:rsidR="00125A73" w:rsidRPr="00F73358">
        <w:rPr>
          <w:rFonts w:ascii="Segoe UI" w:hAnsi="Segoe UI" w:cs="Segoe UI"/>
          <w:color w:val="000000" w:themeColor="text1"/>
          <w:kern w:val="24"/>
          <w:sz w:val="7"/>
          <w:szCs w:val="7"/>
        </w:rPr>
        <w:t xml:space="preserve"> </w:t>
      </w:r>
      <w:r w:rsidRPr="00F73358">
        <w:rPr>
          <w:rFonts w:ascii="Segoe UI" w:hAnsi="Segoe UI" w:cs="Segoe UI"/>
          <w:color w:val="000000" w:themeColor="text1"/>
          <w:kern w:val="24"/>
          <w:sz w:val="7"/>
          <w:szCs w:val="7"/>
          <w:vertAlign w:val="superscript"/>
        </w:rPr>
        <w:t>3</w:t>
      </w:r>
      <w:r w:rsidR="00924835" w:rsidRPr="00F73358">
        <w:rPr>
          <w:rFonts w:ascii="Segoe UI" w:hAnsi="Segoe UI" w:cs="Segoe UI"/>
          <w:color w:val="000000" w:themeColor="text1"/>
          <w:kern w:val="24"/>
          <w:sz w:val="7"/>
          <w:szCs w:val="7"/>
          <w:vertAlign w:val="superscript"/>
        </w:rPr>
        <w:t xml:space="preserve"> </w:t>
      </w:r>
      <w:r w:rsidR="004949C1" w:rsidRPr="00F73358">
        <w:rPr>
          <w:rFonts w:ascii="Segoe UI" w:hAnsi="Segoe UI" w:cs="Segoe UI"/>
          <w:color w:val="000000" w:themeColor="text1"/>
          <w:kern w:val="24"/>
          <w:sz w:val="7"/>
          <w:szCs w:val="7"/>
        </w:rPr>
        <w:t>Κόστος Εθελουσίας Εξόδου Προσωπικού (€9</w:t>
      </w:r>
      <w:r w:rsidR="0020487F" w:rsidRPr="00F73358">
        <w:rPr>
          <w:rFonts w:ascii="Segoe UI" w:hAnsi="Segoe UI" w:cs="Segoe UI"/>
          <w:color w:val="000000" w:themeColor="text1"/>
          <w:kern w:val="24"/>
          <w:sz w:val="7"/>
          <w:szCs w:val="7"/>
        </w:rPr>
        <w:t>0 εκατ.), κόστη αναδιάρθρωσης (€</w:t>
      </w:r>
      <w:r w:rsidR="00D63563" w:rsidRPr="00F73358">
        <w:rPr>
          <w:rFonts w:ascii="Segoe UI" w:hAnsi="Segoe UI" w:cs="Segoe UI"/>
          <w:color w:val="000000" w:themeColor="text1"/>
          <w:kern w:val="24"/>
          <w:sz w:val="7"/>
          <w:szCs w:val="7"/>
        </w:rPr>
        <w:t>8</w:t>
      </w:r>
      <w:r w:rsidR="004949C1" w:rsidRPr="00F73358">
        <w:rPr>
          <w:rFonts w:ascii="Segoe UI" w:hAnsi="Segoe UI" w:cs="Segoe UI"/>
          <w:color w:val="000000" w:themeColor="text1"/>
          <w:kern w:val="24"/>
          <w:sz w:val="7"/>
          <w:szCs w:val="7"/>
        </w:rPr>
        <w:t xml:space="preserve"> εκατ.)</w:t>
      </w:r>
      <w:r w:rsidR="000201BD" w:rsidRPr="00F73358">
        <w:rPr>
          <w:rFonts w:ascii="Segoe UI" w:hAnsi="Segoe UI" w:cs="Segoe UI"/>
          <w:color w:val="000000" w:themeColor="text1"/>
          <w:kern w:val="24"/>
          <w:sz w:val="7"/>
          <w:szCs w:val="7"/>
        </w:rPr>
        <w:t xml:space="preserve"> </w:t>
      </w:r>
      <w:r w:rsidR="0020487F" w:rsidRPr="00F73358">
        <w:rPr>
          <w:rFonts w:ascii="Segoe UI" w:hAnsi="Segoe UI" w:cs="Segoe UI"/>
          <w:color w:val="000000" w:themeColor="text1"/>
          <w:kern w:val="24"/>
          <w:sz w:val="7"/>
          <w:szCs w:val="7"/>
        </w:rPr>
        <w:t>και λοιπές μη επαναλαμβανόμενες δαπάνες (€</w:t>
      </w:r>
      <w:r w:rsidR="00603B45" w:rsidRPr="00F73358">
        <w:rPr>
          <w:rFonts w:ascii="Segoe UI" w:hAnsi="Segoe UI" w:cs="Segoe UI"/>
          <w:color w:val="000000" w:themeColor="text1"/>
          <w:kern w:val="24"/>
          <w:sz w:val="7"/>
          <w:szCs w:val="7"/>
        </w:rPr>
        <w:t>6</w:t>
      </w:r>
      <w:r w:rsidR="0020487F" w:rsidRPr="00F73358">
        <w:rPr>
          <w:rFonts w:ascii="Segoe UI" w:hAnsi="Segoe UI" w:cs="Segoe UI"/>
          <w:color w:val="000000" w:themeColor="text1"/>
          <w:kern w:val="24"/>
          <w:sz w:val="7"/>
          <w:szCs w:val="7"/>
        </w:rPr>
        <w:t xml:space="preserve"> εκατ.) το </w:t>
      </w:r>
      <w:r w:rsidR="00D63563" w:rsidRPr="00F73358">
        <w:rPr>
          <w:rFonts w:ascii="Segoe UI" w:hAnsi="Segoe UI" w:cs="Segoe UI"/>
          <w:color w:val="000000" w:themeColor="text1"/>
          <w:kern w:val="24"/>
          <w:sz w:val="7"/>
          <w:szCs w:val="7"/>
        </w:rPr>
        <w:t xml:space="preserve">Εννεάμηνο </w:t>
      </w:r>
      <w:r w:rsidR="0020487F" w:rsidRPr="00F73358">
        <w:rPr>
          <w:rFonts w:ascii="Segoe UI" w:hAnsi="Segoe UI" w:cs="Segoe UI"/>
          <w:color w:val="000000" w:themeColor="text1"/>
          <w:kern w:val="24"/>
          <w:sz w:val="7"/>
          <w:szCs w:val="7"/>
        </w:rPr>
        <w:t>2020</w:t>
      </w:r>
      <w:r w:rsidR="00D63563" w:rsidRPr="00F73358">
        <w:rPr>
          <w:rFonts w:ascii="Segoe UI" w:hAnsi="Segoe UI" w:cs="Segoe UI"/>
          <w:color w:val="000000" w:themeColor="text1"/>
          <w:kern w:val="24"/>
          <w:sz w:val="7"/>
          <w:szCs w:val="7"/>
        </w:rPr>
        <w:t xml:space="preserve"> &amp;</w:t>
      </w:r>
      <w:r w:rsidR="003B1279" w:rsidRPr="00F73358">
        <w:rPr>
          <w:rFonts w:ascii="Segoe UI" w:hAnsi="Segoe UI" w:cs="Segoe UI"/>
          <w:color w:val="000000" w:themeColor="text1"/>
          <w:kern w:val="24"/>
          <w:sz w:val="7"/>
          <w:szCs w:val="7"/>
        </w:rPr>
        <w:t xml:space="preserve"> </w:t>
      </w:r>
      <w:r w:rsidR="00924835" w:rsidRPr="00F73358">
        <w:rPr>
          <w:rFonts w:ascii="Segoe UI" w:hAnsi="Segoe UI" w:cs="Segoe UI"/>
          <w:color w:val="000000" w:themeColor="text1"/>
          <w:kern w:val="24"/>
          <w:sz w:val="7"/>
          <w:szCs w:val="7"/>
        </w:rPr>
        <w:t>κόστος Εθελουσίας Εξόδου Προσωπικού (€94 εκατ.) και κόστη αναδιάρθρωσης (€</w:t>
      </w:r>
      <w:r w:rsidR="003B1279" w:rsidRPr="00F73358">
        <w:rPr>
          <w:rFonts w:ascii="Segoe UI" w:hAnsi="Segoe UI" w:cs="Segoe UI"/>
          <w:color w:val="000000" w:themeColor="text1"/>
          <w:kern w:val="24"/>
          <w:sz w:val="7"/>
          <w:szCs w:val="7"/>
        </w:rPr>
        <w:t>1</w:t>
      </w:r>
      <w:r w:rsidR="00D63563" w:rsidRPr="00F73358">
        <w:rPr>
          <w:rFonts w:ascii="Segoe UI" w:hAnsi="Segoe UI" w:cs="Segoe UI"/>
          <w:color w:val="000000" w:themeColor="text1"/>
          <w:kern w:val="24"/>
          <w:sz w:val="7"/>
          <w:szCs w:val="7"/>
        </w:rPr>
        <w:t>4</w:t>
      </w:r>
      <w:r w:rsidR="00924835" w:rsidRPr="00F73358">
        <w:rPr>
          <w:rFonts w:ascii="Segoe UI" w:hAnsi="Segoe UI" w:cs="Segoe UI"/>
          <w:color w:val="000000" w:themeColor="text1"/>
          <w:kern w:val="24"/>
          <w:sz w:val="7"/>
          <w:szCs w:val="7"/>
        </w:rPr>
        <w:t xml:space="preserve"> εκατ.) </w:t>
      </w:r>
      <w:r w:rsidR="00D63563" w:rsidRPr="00F73358">
        <w:rPr>
          <w:rFonts w:ascii="Segoe UI" w:hAnsi="Segoe UI" w:cs="Segoe UI"/>
          <w:color w:val="000000" w:themeColor="text1"/>
          <w:kern w:val="24"/>
          <w:sz w:val="7"/>
          <w:szCs w:val="7"/>
        </w:rPr>
        <w:t>και λοιπές μη επαναλαμβανόμενες δαπάνες (€2 εκατ.) το Εννεάμηνο 2019</w:t>
      </w:r>
    </w:p>
    <w:p w:rsidR="00E55AED" w:rsidRPr="00F73358" w:rsidRDefault="007F463F" w:rsidP="00E55AED">
      <w:pPr>
        <w:jc w:val="both"/>
        <w:rPr>
          <w:rFonts w:ascii="Segoe UI" w:hAnsi="Segoe UI" w:cs="Segoe UI"/>
          <w:b/>
          <w:sz w:val="36"/>
        </w:rPr>
      </w:pPr>
      <w:r w:rsidRPr="006F363E">
        <w:rPr>
          <w:rFonts w:ascii="Segoe UI" w:hAnsi="Segoe UI" w:cs="Segoe UI"/>
          <w:b/>
          <w:noProof/>
          <w:sz w:val="18"/>
          <w:szCs w:val="20"/>
          <w:lang w:eastAsia="el-GR"/>
        </w:rPr>
        <mc:AlternateContent>
          <mc:Choice Requires="wps">
            <w:drawing>
              <wp:anchor distT="0" distB="0" distL="114300" distR="114300" simplePos="0" relativeHeight="251654656" behindDoc="0" locked="0" layoutInCell="1" allowOverlap="1" wp14:anchorId="1B931742" wp14:editId="74EFF812">
                <wp:simplePos x="0" y="0"/>
                <wp:positionH relativeFrom="column">
                  <wp:posOffset>-8890</wp:posOffset>
                </wp:positionH>
                <wp:positionV relativeFrom="paragraph">
                  <wp:posOffset>44656</wp:posOffset>
                </wp:positionV>
                <wp:extent cx="3416300" cy="329565"/>
                <wp:effectExtent l="0" t="0" r="0" b="0"/>
                <wp:wrapNone/>
                <wp:docPr id="27" name="Rectang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416300" cy="329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F56" w:rsidRPr="00053193" w:rsidRDefault="00D95F56" w:rsidP="0044756B">
                            <w:pPr>
                              <w:kinsoku w:val="0"/>
                              <w:overflowPunct w:val="0"/>
                              <w:spacing w:before="40"/>
                              <w:ind w:left="547" w:hanging="547"/>
                              <w:textAlignment w:val="baseline"/>
                              <w:rPr>
                                <w:rFonts w:ascii="Segoe UI" w:eastAsia="Segoe UI" w:hAnsi="Segoe UI" w:cs="Segoe UI"/>
                                <w:b/>
                                <w:color w:val="008080"/>
                                <w:kern w:val="24"/>
                                <w:sz w:val="16"/>
                              </w:rPr>
                            </w:pPr>
                            <w:r>
                              <w:rPr>
                                <w:rFonts w:ascii="Segoe UI" w:eastAsia="Segoe UI" w:hAnsi="Segoe UI" w:cs="Segoe UI"/>
                                <w:b/>
                                <w:color w:val="008080"/>
                                <w:kern w:val="24"/>
                                <w:sz w:val="20"/>
                              </w:rPr>
                              <w:t>Κατάσταση</w:t>
                            </w:r>
                            <w:r w:rsidRPr="0044756B">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Χρηματοοικονομικής Θέσης</w:t>
                            </w:r>
                            <w:r w:rsidRPr="0044756B">
                              <w:rPr>
                                <w:rFonts w:ascii="Segoe UI" w:eastAsia="Segoe UI" w:hAnsi="Segoe UI" w:cs="Segoe UI"/>
                                <w:b/>
                                <w:color w:val="008080"/>
                                <w:kern w:val="24"/>
                                <w:sz w:val="20"/>
                                <w:vertAlign w:val="superscript"/>
                                <w:lang w:val="en-US"/>
                              </w:rPr>
                              <w:t>1</w:t>
                            </w:r>
                            <w:r>
                              <w:rPr>
                                <w:rFonts w:ascii="Segoe UI" w:eastAsia="Segoe UI" w:hAnsi="Segoe UI" w:cs="Segoe UI"/>
                                <w:b/>
                                <w:color w:val="008080"/>
                                <w:kern w:val="24"/>
                                <w:sz w:val="20"/>
                                <w:vertAlign w:val="superscript"/>
                              </w:rPr>
                              <w:t xml:space="preserve"> </w:t>
                            </w:r>
                            <w:r w:rsidRPr="0044756B">
                              <w:rPr>
                                <w:rFonts w:ascii="Segoe UI" w:eastAsia="Segoe UI" w:hAnsi="Segoe UI" w:cs="Segoe UI"/>
                                <w:b/>
                                <w:color w:val="008080"/>
                                <w:kern w:val="24"/>
                                <w:sz w:val="20"/>
                                <w:lang w:val="en-US"/>
                              </w:rPr>
                              <w:t>|</w:t>
                            </w:r>
                            <w:r>
                              <w:rPr>
                                <w:rFonts w:ascii="Segoe UI" w:eastAsia="Segoe UI" w:hAnsi="Segoe UI" w:cs="Segoe UI"/>
                                <w:b/>
                                <w:color w:val="008080"/>
                                <w:kern w:val="24"/>
                                <w:sz w:val="20"/>
                              </w:rPr>
                              <w:t xml:space="preserve"> Όμιλος</w:t>
                            </w: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FE1137" w:rsidRDefault="00D95F56"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931742" id="Rectangle 4" o:spid="_x0000_s1032" style="position:absolute;left:0;text-align:left;margin-left:-.7pt;margin-top:3.5pt;width:269pt;height:25.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" filled="f" stroked="f">
                <v:path arrowok="t"/>
                <o:lock v:ext="edit" grouping="t"/>
                <v:textbox inset="1.2699mm,1.2699mm,1.2699mm,1.2699mm">
                  <w:txbxContent>
                    <w:p w:rsidR="00D95F56" w:rsidRPr="00053193" w:rsidRDefault="00D95F56" w:rsidP="0044756B">
                      <w:pPr>
                        <w:kinsoku w:val="0"/>
                        <w:overflowPunct w:val="0"/>
                        <w:spacing w:before="40"/>
                        <w:ind w:left="547" w:hanging="547"/>
                        <w:textAlignment w:val="baseline"/>
                        <w:rPr>
                          <w:rFonts w:ascii="Segoe UI" w:eastAsia="Segoe UI" w:hAnsi="Segoe UI" w:cs="Segoe UI"/>
                          <w:b/>
                          <w:color w:val="008080"/>
                          <w:kern w:val="24"/>
                          <w:sz w:val="16"/>
                        </w:rPr>
                      </w:pPr>
                      <w:r>
                        <w:rPr>
                          <w:rFonts w:ascii="Segoe UI" w:eastAsia="Segoe UI" w:hAnsi="Segoe UI" w:cs="Segoe UI"/>
                          <w:b/>
                          <w:color w:val="008080"/>
                          <w:kern w:val="24"/>
                          <w:sz w:val="20"/>
                        </w:rPr>
                        <w:t>Κατάσταση</w:t>
                      </w:r>
                      <w:r w:rsidRPr="0044756B">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Χρηματοοικονομικής Θέσης</w:t>
                      </w:r>
                      <w:r w:rsidRPr="0044756B">
                        <w:rPr>
                          <w:rFonts w:ascii="Segoe UI" w:eastAsia="Segoe UI" w:hAnsi="Segoe UI" w:cs="Segoe UI"/>
                          <w:b/>
                          <w:color w:val="008080"/>
                          <w:kern w:val="24"/>
                          <w:sz w:val="20"/>
                          <w:vertAlign w:val="superscript"/>
                          <w:lang w:val="en-US"/>
                        </w:rPr>
                        <w:t>1</w:t>
                      </w:r>
                      <w:r>
                        <w:rPr>
                          <w:rFonts w:ascii="Segoe UI" w:eastAsia="Segoe UI" w:hAnsi="Segoe UI" w:cs="Segoe UI"/>
                          <w:b/>
                          <w:color w:val="008080"/>
                          <w:kern w:val="24"/>
                          <w:sz w:val="20"/>
                          <w:vertAlign w:val="superscript"/>
                        </w:rPr>
                        <w:t xml:space="preserve"> </w:t>
                      </w:r>
                      <w:r w:rsidRPr="0044756B">
                        <w:rPr>
                          <w:rFonts w:ascii="Segoe UI" w:eastAsia="Segoe UI" w:hAnsi="Segoe UI" w:cs="Segoe UI"/>
                          <w:b/>
                          <w:color w:val="008080"/>
                          <w:kern w:val="24"/>
                          <w:sz w:val="20"/>
                          <w:lang w:val="en-US"/>
                        </w:rPr>
                        <w:t>|</w:t>
                      </w:r>
                      <w:r>
                        <w:rPr>
                          <w:rFonts w:ascii="Segoe UI" w:eastAsia="Segoe UI" w:hAnsi="Segoe UI" w:cs="Segoe UI"/>
                          <w:b/>
                          <w:color w:val="008080"/>
                          <w:kern w:val="24"/>
                          <w:sz w:val="20"/>
                        </w:rPr>
                        <w:t xml:space="preserve"> Όμιλος</w:t>
                      </w: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FE1137" w:rsidRDefault="00D95F56" w:rsidP="00E55AED">
                      <w:pPr>
                        <w:kinsoku w:val="0"/>
                        <w:overflowPunct w:val="0"/>
                        <w:spacing w:before="40"/>
                        <w:ind w:left="547" w:hanging="547"/>
                        <w:textAlignment w:val="baseline"/>
                        <w:rPr>
                          <w:b/>
                          <w:color w:val="008080"/>
                          <w:sz w:val="16"/>
                        </w:rPr>
                      </w:pPr>
                    </w:p>
                  </w:txbxContent>
                </v:textbox>
              </v:rect>
            </w:pict>
          </mc:Fallback>
        </mc:AlternateContent>
      </w:r>
      <w:r w:rsidR="00F73358" w:rsidRPr="00F73358">
        <w:rPr>
          <w:rFonts w:ascii="Segoe UI" w:hAnsi="Segoe UI" w:cs="Segoe UI"/>
          <w:noProof/>
          <w:sz w:val="36"/>
          <w:lang w:eastAsia="el-GR"/>
        </w:rPr>
        <mc:AlternateContent>
          <mc:Choice Requires="wps">
            <w:drawing>
              <wp:anchor distT="0" distB="0" distL="114300" distR="114300" simplePos="0" relativeHeight="251680256" behindDoc="0" locked="0" layoutInCell="1" allowOverlap="1" wp14:anchorId="6F4F3C36" wp14:editId="4DC5D6A2">
                <wp:simplePos x="0" y="0"/>
                <wp:positionH relativeFrom="column">
                  <wp:posOffset>2760980</wp:posOffset>
                </wp:positionH>
                <wp:positionV relativeFrom="paragraph">
                  <wp:posOffset>306276</wp:posOffset>
                </wp:positionV>
                <wp:extent cx="611505" cy="1655445"/>
                <wp:effectExtent l="0" t="0" r="17145" b="20955"/>
                <wp:wrapNone/>
                <wp:docPr id="26"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 cy="1655445"/>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5A7B796B" id="Rounded Rectangle 18" o:spid="_x0000_s1026" style="position:absolute;margin-left:217.4pt;margin-top:24.1pt;width:48.15pt;height:130.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" filled="f" strokecolor="#ff7415">
                <v:path arrowok="t"/>
              </v:roundrect>
            </w:pict>
          </mc:Fallback>
        </mc:AlternateContent>
      </w:r>
    </w:p>
    <w:tbl>
      <w:tblPr>
        <w:tblW w:w="5000" w:type="pct"/>
        <w:tblCellMar>
          <w:left w:w="0" w:type="dxa"/>
          <w:right w:w="0" w:type="dxa"/>
        </w:tblCellMar>
        <w:tblLook w:val="0420" w:firstRow="1" w:lastRow="0" w:firstColumn="0" w:lastColumn="0" w:noHBand="0" w:noVBand="1"/>
      </w:tblPr>
      <w:tblGrid>
        <w:gridCol w:w="4346"/>
        <w:gridCol w:w="977"/>
        <w:gridCol w:w="975"/>
        <w:gridCol w:w="975"/>
        <w:gridCol w:w="975"/>
        <w:gridCol w:w="975"/>
        <w:gridCol w:w="975"/>
      </w:tblGrid>
      <w:tr w:rsidR="00026516" w:rsidRPr="006B4FB1" w:rsidTr="0000442E">
        <w:trPr>
          <w:trHeight w:val="287"/>
        </w:trPr>
        <w:tc>
          <w:tcPr>
            <w:tcW w:w="2131"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026516" w:rsidRPr="006B4FB1" w:rsidRDefault="00026516" w:rsidP="00026516">
            <w:pPr>
              <w:spacing w:before="38"/>
              <w:textAlignment w:val="baseline"/>
              <w:rPr>
                <w:rFonts w:ascii="Segoe UI" w:eastAsia="Times New Roman" w:hAnsi="Segoe UI" w:cs="Segoe UI"/>
                <w:sz w:val="14"/>
                <w:szCs w:val="14"/>
                <w:lang w:eastAsia="el-GR"/>
              </w:rPr>
            </w:pPr>
            <w:r w:rsidRPr="006B4FB1">
              <w:rPr>
                <w:rFonts w:ascii="Segoe UI" w:eastAsia="Segoe UI" w:hAnsi="Segoe UI" w:cs="Segoe UI"/>
                <w:b/>
                <w:bCs/>
                <w:color w:val="000000"/>
                <w:kern w:val="24"/>
                <w:sz w:val="14"/>
                <w:szCs w:val="14"/>
                <w:lang w:eastAsia="el-GR"/>
              </w:rPr>
              <w:t>€ εκατ.</w:t>
            </w:r>
          </w:p>
        </w:tc>
        <w:tc>
          <w:tcPr>
            <w:tcW w:w="479" w:type="pct"/>
            <w:tcBorders>
              <w:top w:val="single" w:sz="8" w:space="0" w:color="000000"/>
              <w:left w:val="nil"/>
              <w:bottom w:val="single" w:sz="8" w:space="0" w:color="000000"/>
              <w:right w:val="nil"/>
            </w:tcBorders>
          </w:tcPr>
          <w:p w:rsidR="00026516" w:rsidRDefault="00026516" w:rsidP="00026516">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Γ</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478" w:type="pct"/>
            <w:tcBorders>
              <w:top w:val="single" w:sz="8" w:space="0" w:color="000000"/>
              <w:left w:val="nil"/>
              <w:bottom w:val="single" w:sz="8" w:space="0" w:color="000000"/>
              <w:right w:val="nil"/>
            </w:tcBorders>
          </w:tcPr>
          <w:p w:rsidR="00026516" w:rsidRDefault="00026516" w:rsidP="00026516">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Β</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478" w:type="pct"/>
            <w:tcBorders>
              <w:top w:val="single" w:sz="8" w:space="0" w:color="000000"/>
              <w:left w:val="nil"/>
              <w:bottom w:val="single" w:sz="8" w:space="0" w:color="000000"/>
              <w:right w:val="nil"/>
            </w:tcBorders>
          </w:tcPr>
          <w:p w:rsidR="00026516" w:rsidRDefault="00026516" w:rsidP="00026516">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Α</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478" w:type="pct"/>
            <w:tcBorders>
              <w:top w:val="single" w:sz="8" w:space="0" w:color="000000"/>
              <w:left w:val="nil"/>
              <w:bottom w:val="single" w:sz="8" w:space="0" w:color="000000"/>
              <w:right w:val="nil"/>
            </w:tcBorders>
            <w:vAlign w:val="center"/>
          </w:tcPr>
          <w:p w:rsidR="00026516" w:rsidRPr="006B4FB1" w:rsidRDefault="00026516" w:rsidP="00026516">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Δ‘ τρίμηνο 2019</w:t>
            </w:r>
          </w:p>
        </w:tc>
        <w:tc>
          <w:tcPr>
            <w:tcW w:w="478" w:type="pct"/>
            <w:tcBorders>
              <w:top w:val="single" w:sz="8" w:space="0" w:color="000000"/>
              <w:left w:val="nil"/>
              <w:bottom w:val="single" w:sz="8" w:space="0" w:color="000000"/>
              <w:right w:val="nil"/>
            </w:tcBorders>
            <w:vAlign w:val="center"/>
          </w:tcPr>
          <w:p w:rsidR="00026516" w:rsidRPr="006B4FB1" w:rsidRDefault="00026516" w:rsidP="00026516">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Γ‘ τρίμηνο 2019</w:t>
            </w:r>
          </w:p>
        </w:tc>
        <w:tc>
          <w:tcPr>
            <w:tcW w:w="478" w:type="pct"/>
            <w:tcBorders>
              <w:top w:val="single" w:sz="8" w:space="0" w:color="000000"/>
              <w:left w:val="nil"/>
              <w:bottom w:val="single" w:sz="8" w:space="0" w:color="000000"/>
              <w:right w:val="nil"/>
            </w:tcBorders>
            <w:vAlign w:val="center"/>
          </w:tcPr>
          <w:p w:rsidR="00026516" w:rsidRPr="006B4FB1" w:rsidRDefault="00026516" w:rsidP="00026516">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Β‘ τρίμηνο 2019</w:t>
            </w:r>
          </w:p>
        </w:tc>
      </w:tr>
      <w:tr w:rsidR="00026516" w:rsidRPr="006B4FB1" w:rsidTr="0000442E">
        <w:trPr>
          <w:trHeight w:val="227"/>
        </w:trPr>
        <w:tc>
          <w:tcPr>
            <w:tcW w:w="2131" w:type="pct"/>
            <w:tcBorders>
              <w:top w:val="single" w:sz="8" w:space="0" w:color="000000"/>
              <w:left w:val="nil"/>
              <w:bottom w:val="nil"/>
              <w:right w:val="nil"/>
            </w:tcBorders>
            <w:shd w:val="clear" w:color="auto" w:fill="F2F2F2"/>
            <w:tcMar>
              <w:top w:w="15" w:type="dxa"/>
              <w:left w:w="42" w:type="dxa"/>
              <w:bottom w:w="0" w:type="dxa"/>
              <w:right w:w="15" w:type="dxa"/>
            </w:tcMar>
            <w:vAlign w:val="center"/>
          </w:tcPr>
          <w:p w:rsidR="00026516" w:rsidRPr="006B4FB1" w:rsidRDefault="00026516" w:rsidP="00026516">
            <w:pPr>
              <w:textAlignment w:val="center"/>
              <w:rPr>
                <w:rFonts w:ascii="Segoe UI" w:eastAsia="Times New Roman" w:hAnsi="Segoe UI" w:cs="Segoe UI"/>
                <w:sz w:val="14"/>
                <w:szCs w:val="14"/>
                <w:lang w:eastAsia="el-GR"/>
              </w:rPr>
            </w:pPr>
            <w:r w:rsidRPr="006B4FB1">
              <w:rPr>
                <w:rFonts w:ascii="Segoe UI" w:eastAsia="Segoe UI" w:hAnsi="Segoe UI" w:cs="Segoe UI"/>
                <w:b/>
                <w:bCs/>
                <w:color w:val="000000"/>
                <w:kern w:val="24"/>
                <w:sz w:val="14"/>
                <w:szCs w:val="14"/>
                <w:lang w:eastAsia="el-GR"/>
              </w:rPr>
              <w:t xml:space="preserve">Σύνολο Ενεργητικού </w:t>
            </w:r>
          </w:p>
        </w:tc>
        <w:tc>
          <w:tcPr>
            <w:tcW w:w="479" w:type="pct"/>
            <w:tcBorders>
              <w:top w:val="single" w:sz="8" w:space="0" w:color="000000"/>
              <w:left w:val="nil"/>
              <w:bottom w:val="nil"/>
              <w:right w:val="nil"/>
            </w:tcBorders>
            <w:shd w:val="clear" w:color="auto" w:fill="F2F2F2"/>
          </w:tcPr>
          <w:p w:rsidR="00026516" w:rsidRPr="00026516" w:rsidRDefault="00026516" w:rsidP="00026516">
            <w:pPr>
              <w:ind w:right="148"/>
              <w:jc w:val="right"/>
              <w:rPr>
                <w:rFonts w:ascii="Segoe UI" w:eastAsia="Times New Roman" w:hAnsi="Segoe UI" w:cs="Segoe UI"/>
                <w:b/>
                <w:bCs/>
                <w:color w:val="000000" w:themeColor="text1"/>
                <w:kern w:val="24"/>
                <w:sz w:val="14"/>
                <w:szCs w:val="16"/>
                <w:lang w:eastAsia="el-GR"/>
              </w:rPr>
            </w:pPr>
            <w:r w:rsidRPr="00026516">
              <w:rPr>
                <w:rFonts w:ascii="Segoe UI" w:eastAsia="Times New Roman" w:hAnsi="Segoe UI" w:cs="Segoe UI"/>
                <w:b/>
                <w:bCs/>
                <w:color w:val="000000" w:themeColor="text1"/>
                <w:kern w:val="24"/>
                <w:sz w:val="14"/>
                <w:szCs w:val="16"/>
                <w:lang w:eastAsia="el-GR"/>
              </w:rPr>
              <w:t>74</w:t>
            </w:r>
            <w:r>
              <w:rPr>
                <w:rFonts w:ascii="Segoe UI" w:eastAsia="Times New Roman" w:hAnsi="Segoe UI" w:cs="Segoe UI"/>
                <w:b/>
                <w:bCs/>
                <w:color w:val="000000" w:themeColor="text1"/>
                <w:kern w:val="24"/>
                <w:sz w:val="14"/>
                <w:szCs w:val="16"/>
                <w:lang w:eastAsia="el-GR"/>
              </w:rPr>
              <w:t>.</w:t>
            </w:r>
            <w:r w:rsidRPr="00026516">
              <w:rPr>
                <w:rFonts w:ascii="Segoe UI" w:eastAsia="Times New Roman" w:hAnsi="Segoe UI" w:cs="Segoe UI"/>
                <w:b/>
                <w:bCs/>
                <w:color w:val="000000" w:themeColor="text1"/>
                <w:kern w:val="24"/>
                <w:sz w:val="14"/>
                <w:szCs w:val="16"/>
                <w:lang w:eastAsia="el-GR"/>
              </w:rPr>
              <w:t xml:space="preserve">536 </w:t>
            </w:r>
          </w:p>
        </w:tc>
        <w:tc>
          <w:tcPr>
            <w:tcW w:w="478" w:type="pct"/>
            <w:tcBorders>
              <w:top w:val="single" w:sz="8" w:space="0" w:color="000000"/>
              <w:left w:val="nil"/>
              <w:bottom w:val="nil"/>
              <w:right w:val="nil"/>
            </w:tcBorders>
            <w:shd w:val="clear" w:color="auto" w:fill="F2F2F2"/>
            <w:vAlign w:val="center"/>
          </w:tcPr>
          <w:p w:rsidR="00026516" w:rsidRPr="005610B3" w:rsidRDefault="00026516" w:rsidP="00026516">
            <w:pPr>
              <w:ind w:right="148"/>
              <w:jc w:val="right"/>
              <w:rPr>
                <w:rFonts w:ascii="Segoe UI" w:eastAsia="Times New Roman" w:hAnsi="Segoe UI" w:cs="Segoe UI"/>
                <w:b/>
                <w:bCs/>
                <w:color w:val="000000" w:themeColor="text1"/>
                <w:kern w:val="24"/>
                <w:sz w:val="14"/>
                <w:szCs w:val="16"/>
                <w:lang w:eastAsia="el-GR"/>
              </w:rPr>
            </w:pPr>
            <w:r w:rsidRPr="005610B3">
              <w:rPr>
                <w:rFonts w:ascii="Segoe UI" w:eastAsia="Times New Roman" w:hAnsi="Segoe UI" w:cs="Segoe UI"/>
                <w:b/>
                <w:bCs/>
                <w:color w:val="000000" w:themeColor="text1"/>
                <w:kern w:val="24"/>
                <w:sz w:val="14"/>
                <w:szCs w:val="16"/>
                <w:lang w:eastAsia="el-GR"/>
              </w:rPr>
              <w:t>74</w:t>
            </w:r>
            <w:r>
              <w:rPr>
                <w:rFonts w:ascii="Segoe UI" w:eastAsia="Times New Roman" w:hAnsi="Segoe UI" w:cs="Segoe UI"/>
                <w:b/>
                <w:bCs/>
                <w:color w:val="000000" w:themeColor="text1"/>
                <w:kern w:val="24"/>
                <w:sz w:val="14"/>
                <w:szCs w:val="16"/>
                <w:lang w:eastAsia="el-GR"/>
              </w:rPr>
              <w:t>.</w:t>
            </w:r>
            <w:r w:rsidRPr="005610B3">
              <w:rPr>
                <w:rFonts w:ascii="Segoe UI" w:eastAsia="Times New Roman" w:hAnsi="Segoe UI" w:cs="Segoe UI"/>
                <w:b/>
                <w:bCs/>
                <w:color w:val="000000" w:themeColor="text1"/>
                <w:kern w:val="24"/>
                <w:sz w:val="14"/>
                <w:szCs w:val="16"/>
                <w:lang w:eastAsia="el-GR"/>
              </w:rPr>
              <w:t>160</w:t>
            </w:r>
          </w:p>
        </w:tc>
        <w:tc>
          <w:tcPr>
            <w:tcW w:w="478" w:type="pct"/>
            <w:tcBorders>
              <w:top w:val="single" w:sz="8" w:space="0" w:color="000000"/>
              <w:left w:val="nil"/>
              <w:bottom w:val="nil"/>
              <w:right w:val="nil"/>
            </w:tcBorders>
            <w:shd w:val="clear" w:color="auto" w:fill="F2F2F2"/>
            <w:vAlign w:val="center"/>
          </w:tcPr>
          <w:p w:rsidR="00026516" w:rsidRPr="005610B3" w:rsidRDefault="00026516" w:rsidP="00026516">
            <w:pPr>
              <w:ind w:right="148"/>
              <w:jc w:val="right"/>
              <w:rPr>
                <w:rFonts w:ascii="Segoe UI" w:eastAsia="Times New Roman" w:hAnsi="Segoe UI" w:cs="Segoe UI"/>
                <w:b/>
                <w:bCs/>
                <w:color w:val="000000" w:themeColor="text1"/>
                <w:kern w:val="24"/>
                <w:sz w:val="14"/>
                <w:szCs w:val="16"/>
                <w:lang w:eastAsia="el-GR"/>
              </w:rPr>
            </w:pPr>
            <w:r w:rsidRPr="005610B3">
              <w:rPr>
                <w:rFonts w:ascii="Segoe UI" w:eastAsia="Times New Roman" w:hAnsi="Segoe UI" w:cs="Segoe UI"/>
                <w:b/>
                <w:bCs/>
                <w:color w:val="000000" w:themeColor="text1"/>
                <w:kern w:val="24"/>
                <w:sz w:val="14"/>
                <w:szCs w:val="16"/>
                <w:lang w:eastAsia="el-GR"/>
              </w:rPr>
              <w:t>69</w:t>
            </w:r>
            <w:r>
              <w:rPr>
                <w:rFonts w:ascii="Segoe UI" w:eastAsia="Times New Roman" w:hAnsi="Segoe UI" w:cs="Segoe UI"/>
                <w:b/>
                <w:bCs/>
                <w:color w:val="000000" w:themeColor="text1"/>
                <w:kern w:val="24"/>
                <w:sz w:val="14"/>
                <w:szCs w:val="16"/>
                <w:lang w:eastAsia="el-GR"/>
              </w:rPr>
              <w:t>.</w:t>
            </w:r>
            <w:r w:rsidRPr="005610B3">
              <w:rPr>
                <w:rFonts w:ascii="Segoe UI" w:eastAsia="Times New Roman" w:hAnsi="Segoe UI" w:cs="Segoe UI"/>
                <w:b/>
                <w:bCs/>
                <w:color w:val="000000" w:themeColor="text1"/>
                <w:kern w:val="24"/>
                <w:sz w:val="14"/>
                <w:szCs w:val="16"/>
                <w:lang w:eastAsia="el-GR"/>
              </w:rPr>
              <w:t>168</w:t>
            </w:r>
          </w:p>
        </w:tc>
        <w:tc>
          <w:tcPr>
            <w:tcW w:w="478" w:type="pct"/>
            <w:tcBorders>
              <w:top w:val="single" w:sz="8" w:space="0" w:color="000000"/>
              <w:left w:val="nil"/>
              <w:bottom w:val="nil"/>
              <w:right w:val="nil"/>
            </w:tcBorders>
            <w:shd w:val="clear" w:color="auto" w:fill="F2F2F2"/>
            <w:vAlign w:val="center"/>
          </w:tcPr>
          <w:p w:rsidR="00026516" w:rsidRPr="005610B3" w:rsidRDefault="00026516" w:rsidP="00026516">
            <w:pPr>
              <w:ind w:right="148"/>
              <w:jc w:val="right"/>
              <w:rPr>
                <w:rFonts w:ascii="Segoe UI" w:eastAsia="Times New Roman" w:hAnsi="Segoe UI" w:cs="Segoe UI"/>
                <w:b/>
                <w:bCs/>
                <w:color w:val="000000" w:themeColor="text1"/>
                <w:kern w:val="24"/>
                <w:sz w:val="14"/>
                <w:szCs w:val="16"/>
                <w:lang w:eastAsia="el-GR"/>
              </w:rPr>
            </w:pPr>
            <w:r w:rsidRPr="005610B3">
              <w:rPr>
                <w:rFonts w:ascii="Segoe UI" w:eastAsia="Times New Roman" w:hAnsi="Segoe UI" w:cs="Segoe UI"/>
                <w:b/>
                <w:bCs/>
                <w:color w:val="000000" w:themeColor="text1"/>
                <w:kern w:val="24"/>
                <w:sz w:val="14"/>
                <w:szCs w:val="16"/>
                <w:lang w:eastAsia="el-GR"/>
              </w:rPr>
              <w:t>6</w:t>
            </w:r>
            <w:r w:rsidRPr="005610B3">
              <w:rPr>
                <w:rFonts w:ascii="Segoe UI" w:eastAsia="Times New Roman" w:hAnsi="Segoe UI" w:cs="Segoe UI"/>
                <w:b/>
                <w:bCs/>
                <w:color w:val="000000" w:themeColor="text1"/>
                <w:kern w:val="24"/>
                <w:sz w:val="14"/>
                <w:szCs w:val="16"/>
                <w:lang w:val="en-US" w:eastAsia="el-GR"/>
              </w:rPr>
              <w:t>4</w:t>
            </w:r>
            <w:r>
              <w:rPr>
                <w:rFonts w:ascii="Segoe UI" w:eastAsia="Times New Roman" w:hAnsi="Segoe UI" w:cs="Segoe UI"/>
                <w:b/>
                <w:bCs/>
                <w:color w:val="000000" w:themeColor="text1"/>
                <w:kern w:val="24"/>
                <w:sz w:val="14"/>
                <w:szCs w:val="16"/>
                <w:lang w:val="en-US" w:eastAsia="el-GR"/>
              </w:rPr>
              <w:t>.</w:t>
            </w:r>
            <w:r w:rsidRPr="005610B3">
              <w:rPr>
                <w:rFonts w:ascii="Segoe UI" w:eastAsia="Times New Roman" w:hAnsi="Segoe UI" w:cs="Segoe UI"/>
                <w:b/>
                <w:bCs/>
                <w:color w:val="000000" w:themeColor="text1"/>
                <w:kern w:val="24"/>
                <w:sz w:val="14"/>
                <w:szCs w:val="16"/>
                <w:lang w:val="en-US" w:eastAsia="el-GR"/>
              </w:rPr>
              <w:t>248</w:t>
            </w:r>
          </w:p>
        </w:tc>
        <w:tc>
          <w:tcPr>
            <w:tcW w:w="478" w:type="pct"/>
            <w:tcBorders>
              <w:top w:val="single" w:sz="8" w:space="0" w:color="000000"/>
              <w:left w:val="nil"/>
              <w:bottom w:val="nil"/>
              <w:right w:val="nil"/>
            </w:tcBorders>
            <w:shd w:val="clear" w:color="auto" w:fill="F2F2F2"/>
            <w:vAlign w:val="center"/>
          </w:tcPr>
          <w:p w:rsidR="00026516" w:rsidRPr="005610B3" w:rsidRDefault="00026516" w:rsidP="00026516">
            <w:pPr>
              <w:ind w:right="148"/>
              <w:jc w:val="right"/>
              <w:rPr>
                <w:rFonts w:ascii="Segoe UI" w:eastAsia="Times New Roman" w:hAnsi="Segoe UI" w:cs="Segoe UI"/>
                <w:b/>
                <w:bCs/>
                <w:color w:val="000000" w:themeColor="text1"/>
                <w:kern w:val="24"/>
                <w:sz w:val="14"/>
                <w:szCs w:val="16"/>
                <w:lang w:eastAsia="el-GR"/>
              </w:rPr>
            </w:pPr>
            <w:r w:rsidRPr="005610B3">
              <w:rPr>
                <w:rFonts w:ascii="Segoe UI" w:eastAsia="Times New Roman" w:hAnsi="Segoe UI" w:cs="Segoe UI"/>
                <w:b/>
                <w:bCs/>
                <w:color w:val="000000" w:themeColor="text1"/>
                <w:kern w:val="24"/>
                <w:sz w:val="14"/>
                <w:szCs w:val="16"/>
                <w:lang w:eastAsia="el-GR"/>
              </w:rPr>
              <w:t>65</w:t>
            </w:r>
            <w:r>
              <w:rPr>
                <w:rFonts w:ascii="Segoe UI" w:eastAsia="Times New Roman" w:hAnsi="Segoe UI" w:cs="Segoe UI"/>
                <w:b/>
                <w:bCs/>
                <w:color w:val="000000" w:themeColor="text1"/>
                <w:kern w:val="24"/>
                <w:sz w:val="14"/>
                <w:szCs w:val="16"/>
                <w:lang w:val="en-US" w:eastAsia="el-GR"/>
              </w:rPr>
              <w:t>.</w:t>
            </w:r>
            <w:r w:rsidRPr="005610B3">
              <w:rPr>
                <w:rFonts w:ascii="Segoe UI" w:eastAsia="Times New Roman" w:hAnsi="Segoe UI" w:cs="Segoe UI"/>
                <w:b/>
                <w:bCs/>
                <w:color w:val="000000" w:themeColor="text1"/>
                <w:kern w:val="24"/>
                <w:sz w:val="14"/>
                <w:szCs w:val="16"/>
                <w:lang w:eastAsia="el-GR"/>
              </w:rPr>
              <w:t>828</w:t>
            </w:r>
          </w:p>
        </w:tc>
        <w:tc>
          <w:tcPr>
            <w:tcW w:w="478" w:type="pct"/>
            <w:tcBorders>
              <w:top w:val="single" w:sz="8" w:space="0" w:color="000000"/>
              <w:left w:val="nil"/>
              <w:bottom w:val="nil"/>
              <w:right w:val="nil"/>
            </w:tcBorders>
            <w:shd w:val="clear" w:color="auto" w:fill="F2F2F2"/>
            <w:vAlign w:val="center"/>
          </w:tcPr>
          <w:p w:rsidR="00026516" w:rsidRPr="005610B3" w:rsidRDefault="00026516" w:rsidP="00026516">
            <w:pPr>
              <w:ind w:right="148"/>
              <w:jc w:val="right"/>
              <w:rPr>
                <w:rFonts w:ascii="Segoe UI" w:eastAsia="Times New Roman" w:hAnsi="Segoe UI" w:cs="Segoe UI"/>
                <w:b/>
                <w:bCs/>
                <w:color w:val="000000" w:themeColor="text1"/>
                <w:kern w:val="24"/>
                <w:sz w:val="14"/>
                <w:szCs w:val="16"/>
                <w:lang w:eastAsia="el-GR"/>
              </w:rPr>
            </w:pPr>
            <w:r w:rsidRPr="005610B3">
              <w:rPr>
                <w:rFonts w:ascii="Segoe UI" w:eastAsia="Times New Roman" w:hAnsi="Segoe UI" w:cs="Segoe UI"/>
                <w:b/>
                <w:bCs/>
                <w:color w:val="000000" w:themeColor="text1"/>
                <w:kern w:val="24"/>
                <w:sz w:val="14"/>
                <w:szCs w:val="16"/>
                <w:lang w:eastAsia="el-GR"/>
              </w:rPr>
              <w:t>65</w:t>
            </w:r>
            <w:r>
              <w:rPr>
                <w:rFonts w:ascii="Segoe UI" w:eastAsia="Times New Roman" w:hAnsi="Segoe UI" w:cs="Segoe UI"/>
                <w:b/>
                <w:bCs/>
                <w:color w:val="000000" w:themeColor="text1"/>
                <w:kern w:val="24"/>
                <w:sz w:val="14"/>
                <w:szCs w:val="16"/>
                <w:lang w:val="en-US" w:eastAsia="el-GR"/>
              </w:rPr>
              <w:t>.</w:t>
            </w:r>
            <w:r w:rsidRPr="005610B3">
              <w:rPr>
                <w:rFonts w:ascii="Segoe UI" w:eastAsia="Times New Roman" w:hAnsi="Segoe UI" w:cs="Segoe UI"/>
                <w:b/>
                <w:bCs/>
                <w:color w:val="000000" w:themeColor="text1"/>
                <w:kern w:val="24"/>
                <w:sz w:val="14"/>
                <w:szCs w:val="16"/>
                <w:lang w:eastAsia="el-GR"/>
              </w:rPr>
              <w:t>131</w:t>
            </w:r>
          </w:p>
        </w:tc>
      </w:tr>
      <w:tr w:rsidR="00026516" w:rsidRPr="006B4FB1" w:rsidTr="0000442E">
        <w:trPr>
          <w:trHeight w:val="227"/>
        </w:trPr>
        <w:tc>
          <w:tcPr>
            <w:tcW w:w="2131" w:type="pct"/>
            <w:tcBorders>
              <w:top w:val="nil"/>
              <w:left w:val="nil"/>
              <w:bottom w:val="nil"/>
              <w:right w:val="nil"/>
            </w:tcBorders>
            <w:shd w:val="clear" w:color="auto" w:fill="auto"/>
            <w:tcMar>
              <w:top w:w="15" w:type="dxa"/>
              <w:left w:w="42" w:type="dxa"/>
              <w:bottom w:w="0" w:type="dxa"/>
              <w:right w:w="15" w:type="dxa"/>
            </w:tcMar>
            <w:vAlign w:val="center"/>
            <w:hideMark/>
          </w:tcPr>
          <w:p w:rsidR="00026516" w:rsidRPr="006B4FB1" w:rsidRDefault="00026516" w:rsidP="00026516">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Δάνεια </w:t>
            </w:r>
            <w:r w:rsidRPr="006B4FB1">
              <w:rPr>
                <w:rFonts w:ascii="Segoe UI" w:eastAsia="Segoe UI" w:hAnsi="Segoe UI" w:cs="Segoe UI"/>
                <w:color w:val="000000"/>
                <w:kern w:val="24"/>
                <w:sz w:val="14"/>
                <w:szCs w:val="14"/>
                <w:lang w:val="en-US" w:eastAsia="el-GR"/>
              </w:rPr>
              <w:t>(</w:t>
            </w:r>
            <w:r w:rsidRPr="006B4FB1">
              <w:rPr>
                <w:rFonts w:ascii="Segoe UI" w:eastAsia="Segoe UI" w:hAnsi="Segoe UI" w:cs="Segoe UI"/>
                <w:color w:val="000000"/>
                <w:kern w:val="24"/>
                <w:sz w:val="14"/>
                <w:szCs w:val="14"/>
                <w:lang w:eastAsia="el-GR"/>
              </w:rPr>
              <w:t>προ προβλέψεων</w:t>
            </w:r>
            <w:r w:rsidRPr="006B4FB1">
              <w:rPr>
                <w:rFonts w:ascii="Segoe UI" w:eastAsia="Segoe UI" w:hAnsi="Segoe UI" w:cs="Segoe UI"/>
                <w:color w:val="000000"/>
                <w:kern w:val="24"/>
                <w:sz w:val="14"/>
                <w:szCs w:val="14"/>
                <w:lang w:val="en-US" w:eastAsia="el-GR"/>
              </w:rPr>
              <w:t>)</w:t>
            </w:r>
          </w:p>
        </w:tc>
        <w:tc>
          <w:tcPr>
            <w:tcW w:w="479" w:type="pct"/>
            <w:tcBorders>
              <w:top w:val="nil"/>
              <w:left w:val="nil"/>
              <w:bottom w:val="nil"/>
              <w:right w:val="nil"/>
            </w:tcBorders>
          </w:tcPr>
          <w:p w:rsidR="00026516" w:rsidRPr="00026516" w:rsidRDefault="00026516" w:rsidP="00026516">
            <w:pPr>
              <w:ind w:right="148"/>
              <w:jc w:val="right"/>
              <w:rPr>
                <w:rFonts w:ascii="Segoe UI" w:eastAsia="Times New Roman" w:hAnsi="Segoe UI" w:cs="Segoe UI"/>
                <w:bCs/>
                <w:color w:val="000000" w:themeColor="text1"/>
                <w:kern w:val="24"/>
                <w:sz w:val="14"/>
                <w:szCs w:val="16"/>
                <w:lang w:eastAsia="el-GR"/>
              </w:rPr>
            </w:pPr>
            <w:r w:rsidRPr="00026516">
              <w:rPr>
                <w:rFonts w:ascii="Segoe UI" w:eastAsia="Times New Roman" w:hAnsi="Segoe UI" w:cs="Segoe UI"/>
                <w:bCs/>
                <w:color w:val="000000" w:themeColor="text1"/>
                <w:kern w:val="24"/>
                <w:sz w:val="14"/>
                <w:szCs w:val="16"/>
                <w:lang w:eastAsia="el-GR"/>
              </w:rPr>
              <w:t>35</w:t>
            </w:r>
            <w:r>
              <w:rPr>
                <w:rFonts w:ascii="Segoe UI" w:eastAsia="Times New Roman" w:hAnsi="Segoe UI" w:cs="Segoe UI"/>
                <w:bCs/>
                <w:color w:val="000000" w:themeColor="text1"/>
                <w:kern w:val="24"/>
                <w:sz w:val="14"/>
                <w:szCs w:val="16"/>
                <w:lang w:eastAsia="el-GR"/>
              </w:rPr>
              <w:t>.</w:t>
            </w:r>
            <w:r w:rsidRPr="00026516">
              <w:rPr>
                <w:rFonts w:ascii="Segoe UI" w:eastAsia="Times New Roman" w:hAnsi="Segoe UI" w:cs="Segoe UI"/>
                <w:bCs/>
                <w:color w:val="000000" w:themeColor="text1"/>
                <w:kern w:val="24"/>
                <w:sz w:val="14"/>
                <w:szCs w:val="16"/>
                <w:lang w:eastAsia="el-GR"/>
              </w:rPr>
              <w:t xml:space="preserve">014 </w:t>
            </w:r>
          </w:p>
        </w:tc>
        <w:tc>
          <w:tcPr>
            <w:tcW w:w="478" w:type="pct"/>
            <w:tcBorders>
              <w:top w:val="nil"/>
              <w:left w:val="nil"/>
              <w:bottom w:val="nil"/>
              <w:right w:val="nil"/>
            </w:tcBorders>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sz w:val="14"/>
                <w:szCs w:val="16"/>
                <w:lang w:val="en-US"/>
              </w:rPr>
            </w:pPr>
            <w:r w:rsidRPr="005610B3">
              <w:rPr>
                <w:rFonts w:ascii="Segoe UI" w:hAnsi="Segoe UI" w:cs="Segoe UI"/>
                <w:sz w:val="14"/>
                <w:szCs w:val="16"/>
                <w:lang w:val="en-US"/>
              </w:rPr>
              <w:t>34</w:t>
            </w:r>
            <w:r>
              <w:rPr>
                <w:rFonts w:ascii="Segoe UI" w:hAnsi="Segoe UI" w:cs="Segoe UI"/>
                <w:sz w:val="14"/>
                <w:szCs w:val="16"/>
                <w:lang w:val="en-US"/>
              </w:rPr>
              <w:t>.</w:t>
            </w:r>
            <w:r w:rsidRPr="005610B3">
              <w:rPr>
                <w:rFonts w:ascii="Segoe UI" w:hAnsi="Segoe UI" w:cs="Segoe UI"/>
                <w:sz w:val="14"/>
                <w:szCs w:val="16"/>
                <w:lang w:val="en-US"/>
              </w:rPr>
              <w:t>755</w:t>
            </w:r>
          </w:p>
        </w:tc>
        <w:tc>
          <w:tcPr>
            <w:tcW w:w="478" w:type="pct"/>
            <w:tcBorders>
              <w:top w:val="nil"/>
              <w:left w:val="nil"/>
              <w:bottom w:val="nil"/>
              <w:right w:val="nil"/>
            </w:tcBorders>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sz w:val="14"/>
                <w:szCs w:val="16"/>
                <w:lang w:val="en-US"/>
              </w:rPr>
            </w:pPr>
            <w:r w:rsidRPr="005610B3">
              <w:rPr>
                <w:rFonts w:ascii="Segoe UI" w:hAnsi="Segoe UI" w:cs="Segoe UI"/>
                <w:sz w:val="14"/>
                <w:szCs w:val="16"/>
                <w:lang w:val="en-US"/>
              </w:rPr>
              <w:t>34</w:t>
            </w:r>
            <w:r>
              <w:rPr>
                <w:rFonts w:ascii="Segoe UI" w:hAnsi="Segoe UI" w:cs="Segoe UI"/>
                <w:sz w:val="14"/>
                <w:szCs w:val="16"/>
                <w:lang w:val="en-US"/>
              </w:rPr>
              <w:t>.</w:t>
            </w:r>
            <w:r w:rsidRPr="005610B3">
              <w:rPr>
                <w:rFonts w:ascii="Segoe UI" w:hAnsi="Segoe UI" w:cs="Segoe UI"/>
                <w:sz w:val="14"/>
                <w:szCs w:val="16"/>
                <w:lang w:val="en-US"/>
              </w:rPr>
              <w:t xml:space="preserve">917 </w:t>
            </w:r>
          </w:p>
        </w:tc>
        <w:tc>
          <w:tcPr>
            <w:tcW w:w="478" w:type="pct"/>
            <w:tcBorders>
              <w:top w:val="nil"/>
              <w:left w:val="nil"/>
              <w:bottom w:val="nil"/>
              <w:right w:val="nil"/>
            </w:tcBorders>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sz w:val="14"/>
                <w:szCs w:val="16"/>
                <w:lang w:val="en-US"/>
              </w:rPr>
            </w:pPr>
            <w:r w:rsidRPr="005610B3">
              <w:rPr>
                <w:rFonts w:ascii="Segoe UI" w:hAnsi="Segoe UI" w:cs="Segoe UI"/>
                <w:sz w:val="14"/>
                <w:szCs w:val="16"/>
                <w:lang w:val="en-US"/>
              </w:rPr>
              <w:t>34</w:t>
            </w:r>
            <w:r>
              <w:rPr>
                <w:rFonts w:ascii="Segoe UI" w:hAnsi="Segoe UI" w:cs="Segoe UI"/>
                <w:sz w:val="14"/>
                <w:szCs w:val="16"/>
                <w:lang w:val="en-US"/>
              </w:rPr>
              <w:t>.</w:t>
            </w:r>
            <w:r w:rsidRPr="005610B3">
              <w:rPr>
                <w:rFonts w:ascii="Segoe UI" w:hAnsi="Segoe UI" w:cs="Segoe UI"/>
                <w:sz w:val="14"/>
                <w:szCs w:val="16"/>
                <w:lang w:val="en-US"/>
              </w:rPr>
              <w:t xml:space="preserve">983 </w:t>
            </w:r>
          </w:p>
        </w:tc>
        <w:tc>
          <w:tcPr>
            <w:tcW w:w="478" w:type="pct"/>
            <w:tcBorders>
              <w:top w:val="nil"/>
              <w:left w:val="nil"/>
              <w:bottom w:val="nil"/>
              <w:right w:val="nil"/>
            </w:tcBorders>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sz w:val="14"/>
                <w:szCs w:val="16"/>
                <w:lang w:val="en-US"/>
              </w:rPr>
            </w:pPr>
            <w:r w:rsidRPr="005610B3">
              <w:rPr>
                <w:rFonts w:ascii="Segoe UI" w:hAnsi="Segoe UI" w:cs="Segoe UI"/>
                <w:sz w:val="14"/>
                <w:szCs w:val="16"/>
                <w:lang w:val="en-US"/>
              </w:rPr>
              <w:t>35</w:t>
            </w:r>
            <w:r>
              <w:rPr>
                <w:rFonts w:ascii="Segoe UI" w:hAnsi="Segoe UI" w:cs="Segoe UI"/>
                <w:sz w:val="14"/>
                <w:szCs w:val="16"/>
                <w:lang w:val="en-US"/>
              </w:rPr>
              <w:t>.</w:t>
            </w:r>
            <w:r w:rsidRPr="005610B3">
              <w:rPr>
                <w:rFonts w:ascii="Segoe UI" w:hAnsi="Segoe UI" w:cs="Segoe UI"/>
                <w:sz w:val="14"/>
                <w:szCs w:val="16"/>
                <w:lang w:val="en-US"/>
              </w:rPr>
              <w:t xml:space="preserve">372 </w:t>
            </w:r>
          </w:p>
        </w:tc>
        <w:tc>
          <w:tcPr>
            <w:tcW w:w="478" w:type="pct"/>
            <w:tcBorders>
              <w:top w:val="nil"/>
              <w:left w:val="nil"/>
              <w:bottom w:val="nil"/>
              <w:right w:val="nil"/>
            </w:tcBorders>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sz w:val="14"/>
                <w:szCs w:val="16"/>
                <w:lang w:val="en-US"/>
              </w:rPr>
            </w:pPr>
            <w:r w:rsidRPr="005610B3">
              <w:rPr>
                <w:rFonts w:ascii="Segoe UI" w:hAnsi="Segoe UI" w:cs="Segoe UI"/>
                <w:sz w:val="14"/>
                <w:szCs w:val="16"/>
                <w:lang w:val="en-US"/>
              </w:rPr>
              <w:t>37</w:t>
            </w:r>
            <w:r>
              <w:rPr>
                <w:rFonts w:ascii="Segoe UI" w:hAnsi="Segoe UI" w:cs="Segoe UI"/>
                <w:sz w:val="14"/>
                <w:szCs w:val="16"/>
                <w:lang w:val="en-US"/>
              </w:rPr>
              <w:t>.</w:t>
            </w:r>
            <w:r w:rsidRPr="005610B3">
              <w:rPr>
                <w:rFonts w:ascii="Segoe UI" w:hAnsi="Segoe UI" w:cs="Segoe UI"/>
                <w:sz w:val="14"/>
                <w:szCs w:val="16"/>
                <w:lang w:val="en-US"/>
              </w:rPr>
              <w:t>228</w:t>
            </w:r>
          </w:p>
        </w:tc>
      </w:tr>
      <w:tr w:rsidR="00026516" w:rsidRPr="006B4FB1" w:rsidTr="0000442E">
        <w:trPr>
          <w:trHeight w:val="227"/>
        </w:trPr>
        <w:tc>
          <w:tcPr>
            <w:tcW w:w="2131" w:type="pct"/>
            <w:tcBorders>
              <w:top w:val="nil"/>
              <w:left w:val="nil"/>
              <w:bottom w:val="nil"/>
              <w:right w:val="nil"/>
            </w:tcBorders>
            <w:shd w:val="clear" w:color="auto" w:fill="auto"/>
            <w:tcMar>
              <w:top w:w="15" w:type="dxa"/>
              <w:left w:w="42" w:type="dxa"/>
              <w:bottom w:w="0" w:type="dxa"/>
              <w:right w:w="15" w:type="dxa"/>
            </w:tcMar>
            <w:vAlign w:val="center"/>
            <w:hideMark/>
          </w:tcPr>
          <w:p w:rsidR="00026516" w:rsidRPr="006B4FB1" w:rsidRDefault="00026516" w:rsidP="00026516">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Σωρευμένες προβλέψεις </w:t>
            </w:r>
          </w:p>
        </w:tc>
        <w:tc>
          <w:tcPr>
            <w:tcW w:w="479" w:type="pct"/>
            <w:tcBorders>
              <w:top w:val="nil"/>
              <w:left w:val="nil"/>
              <w:bottom w:val="nil"/>
              <w:right w:val="nil"/>
            </w:tcBorders>
          </w:tcPr>
          <w:p w:rsidR="00026516" w:rsidRPr="00026516" w:rsidRDefault="00026516" w:rsidP="00026516">
            <w:pPr>
              <w:ind w:right="148"/>
              <w:jc w:val="right"/>
              <w:rPr>
                <w:rFonts w:ascii="Segoe UI" w:eastAsia="Times New Roman" w:hAnsi="Segoe UI" w:cs="Segoe UI"/>
                <w:bCs/>
                <w:color w:val="000000" w:themeColor="text1"/>
                <w:kern w:val="24"/>
                <w:sz w:val="14"/>
                <w:szCs w:val="16"/>
                <w:lang w:eastAsia="el-GR"/>
              </w:rPr>
            </w:pPr>
            <w:r w:rsidRPr="00026516">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w:t>
            </w:r>
            <w:r w:rsidRPr="00026516">
              <w:rPr>
                <w:rFonts w:ascii="Segoe UI" w:eastAsia="Times New Roman" w:hAnsi="Segoe UI" w:cs="Segoe UI"/>
                <w:bCs/>
                <w:color w:val="000000" w:themeColor="text1"/>
                <w:kern w:val="24"/>
                <w:sz w:val="14"/>
                <w:szCs w:val="16"/>
                <w:lang w:eastAsia="el-GR"/>
              </w:rPr>
              <w:t xml:space="preserve">727) </w:t>
            </w:r>
          </w:p>
        </w:tc>
        <w:tc>
          <w:tcPr>
            <w:tcW w:w="478" w:type="pct"/>
            <w:tcBorders>
              <w:top w:val="nil"/>
              <w:left w:val="nil"/>
              <w:bottom w:val="nil"/>
              <w:right w:val="nil"/>
            </w:tcBorders>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sz w:val="14"/>
                <w:szCs w:val="16"/>
                <w:lang w:val="en-US"/>
              </w:rPr>
            </w:pPr>
            <w:r w:rsidRPr="005610B3">
              <w:rPr>
                <w:rFonts w:ascii="Segoe UI" w:hAnsi="Segoe UI" w:cs="Segoe UI"/>
                <w:sz w:val="14"/>
                <w:szCs w:val="16"/>
                <w:lang w:val="en-US"/>
              </w:rPr>
              <w:t>(5</w:t>
            </w:r>
            <w:r>
              <w:rPr>
                <w:rFonts w:ascii="Segoe UI" w:hAnsi="Segoe UI" w:cs="Segoe UI"/>
                <w:sz w:val="14"/>
                <w:szCs w:val="16"/>
                <w:lang w:val="en-US"/>
              </w:rPr>
              <w:t>.</w:t>
            </w:r>
            <w:r w:rsidRPr="005610B3">
              <w:rPr>
                <w:rFonts w:ascii="Segoe UI" w:hAnsi="Segoe UI" w:cs="Segoe UI"/>
                <w:sz w:val="14"/>
                <w:szCs w:val="16"/>
                <w:lang w:val="en-US"/>
              </w:rPr>
              <w:t>864)</w:t>
            </w:r>
          </w:p>
        </w:tc>
        <w:tc>
          <w:tcPr>
            <w:tcW w:w="478" w:type="pct"/>
            <w:tcBorders>
              <w:top w:val="nil"/>
              <w:left w:val="nil"/>
              <w:bottom w:val="nil"/>
              <w:right w:val="nil"/>
            </w:tcBorders>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sz w:val="14"/>
                <w:szCs w:val="16"/>
                <w:lang w:val="en-US"/>
              </w:rPr>
            </w:pPr>
            <w:r w:rsidRPr="005610B3">
              <w:rPr>
                <w:rFonts w:ascii="Segoe UI" w:hAnsi="Segoe UI" w:cs="Segoe UI"/>
                <w:sz w:val="14"/>
                <w:szCs w:val="16"/>
                <w:lang w:val="en-US"/>
              </w:rPr>
              <w:t>(5</w:t>
            </w:r>
            <w:r>
              <w:rPr>
                <w:rFonts w:ascii="Segoe UI" w:hAnsi="Segoe UI" w:cs="Segoe UI"/>
                <w:sz w:val="14"/>
                <w:szCs w:val="16"/>
                <w:lang w:val="en-US"/>
              </w:rPr>
              <w:t>.</w:t>
            </w:r>
            <w:r w:rsidRPr="005610B3">
              <w:rPr>
                <w:rFonts w:ascii="Segoe UI" w:hAnsi="Segoe UI" w:cs="Segoe UI"/>
                <w:sz w:val="14"/>
                <w:szCs w:val="16"/>
                <w:lang w:val="en-US"/>
              </w:rPr>
              <w:t>961)</w:t>
            </w:r>
          </w:p>
        </w:tc>
        <w:tc>
          <w:tcPr>
            <w:tcW w:w="478" w:type="pct"/>
            <w:tcBorders>
              <w:top w:val="nil"/>
              <w:left w:val="nil"/>
              <w:bottom w:val="nil"/>
              <w:right w:val="nil"/>
            </w:tcBorders>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sz w:val="14"/>
                <w:szCs w:val="16"/>
                <w:lang w:val="en-US"/>
              </w:rPr>
            </w:pPr>
            <w:r w:rsidRPr="005610B3">
              <w:rPr>
                <w:rFonts w:ascii="Segoe UI" w:hAnsi="Segoe UI" w:cs="Segoe UI"/>
                <w:sz w:val="14"/>
                <w:szCs w:val="16"/>
                <w:lang w:val="en-US"/>
              </w:rPr>
              <w:t>(5</w:t>
            </w:r>
            <w:r>
              <w:rPr>
                <w:rFonts w:ascii="Segoe UI" w:hAnsi="Segoe UI" w:cs="Segoe UI"/>
                <w:sz w:val="14"/>
                <w:szCs w:val="16"/>
                <w:lang w:val="en-US"/>
              </w:rPr>
              <w:t>.</w:t>
            </w:r>
            <w:r w:rsidRPr="005610B3">
              <w:rPr>
                <w:rFonts w:ascii="Segoe UI" w:hAnsi="Segoe UI" w:cs="Segoe UI"/>
                <w:sz w:val="14"/>
                <w:szCs w:val="16"/>
                <w:lang w:val="en-US"/>
              </w:rPr>
              <w:t>761)</w:t>
            </w:r>
          </w:p>
        </w:tc>
        <w:tc>
          <w:tcPr>
            <w:tcW w:w="478" w:type="pct"/>
            <w:tcBorders>
              <w:top w:val="nil"/>
              <w:left w:val="nil"/>
              <w:bottom w:val="nil"/>
              <w:right w:val="nil"/>
            </w:tcBorders>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sz w:val="14"/>
                <w:szCs w:val="16"/>
                <w:lang w:val="en-US"/>
              </w:rPr>
            </w:pPr>
            <w:r w:rsidRPr="005610B3">
              <w:rPr>
                <w:rFonts w:ascii="Segoe UI" w:hAnsi="Segoe UI" w:cs="Segoe UI"/>
                <w:sz w:val="14"/>
                <w:szCs w:val="16"/>
                <w:lang w:val="en-US"/>
              </w:rPr>
              <w:t>(6</w:t>
            </w:r>
            <w:r>
              <w:rPr>
                <w:rFonts w:ascii="Segoe UI" w:hAnsi="Segoe UI" w:cs="Segoe UI"/>
                <w:sz w:val="14"/>
                <w:szCs w:val="16"/>
                <w:lang w:val="en-US"/>
              </w:rPr>
              <w:t>.</w:t>
            </w:r>
            <w:r w:rsidRPr="005610B3">
              <w:rPr>
                <w:rFonts w:ascii="Segoe UI" w:hAnsi="Segoe UI" w:cs="Segoe UI"/>
                <w:sz w:val="14"/>
                <w:szCs w:val="16"/>
                <w:lang w:val="en-US"/>
              </w:rPr>
              <w:t>354)</w:t>
            </w:r>
          </w:p>
        </w:tc>
        <w:tc>
          <w:tcPr>
            <w:tcW w:w="478" w:type="pct"/>
            <w:tcBorders>
              <w:top w:val="nil"/>
              <w:left w:val="nil"/>
              <w:bottom w:val="nil"/>
              <w:right w:val="nil"/>
            </w:tcBorders>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sz w:val="14"/>
                <w:szCs w:val="16"/>
                <w:lang w:val="en-US"/>
              </w:rPr>
            </w:pPr>
            <w:r w:rsidRPr="005610B3">
              <w:rPr>
                <w:rFonts w:ascii="Segoe UI" w:hAnsi="Segoe UI" w:cs="Segoe UI"/>
                <w:sz w:val="14"/>
                <w:szCs w:val="16"/>
                <w:lang w:val="en-US"/>
              </w:rPr>
              <w:t>(7</w:t>
            </w:r>
            <w:r>
              <w:rPr>
                <w:rFonts w:ascii="Segoe UI" w:hAnsi="Segoe UI" w:cs="Segoe UI"/>
                <w:sz w:val="14"/>
                <w:szCs w:val="16"/>
                <w:lang w:val="en-US"/>
              </w:rPr>
              <w:t>.</w:t>
            </w:r>
            <w:r w:rsidRPr="005610B3">
              <w:rPr>
                <w:rFonts w:ascii="Segoe UI" w:hAnsi="Segoe UI" w:cs="Segoe UI"/>
                <w:sz w:val="14"/>
                <w:szCs w:val="16"/>
                <w:lang w:val="en-US"/>
              </w:rPr>
              <w:t>378)</w:t>
            </w:r>
          </w:p>
        </w:tc>
      </w:tr>
      <w:tr w:rsidR="00026516" w:rsidRPr="006B4FB1" w:rsidTr="0000442E">
        <w:trPr>
          <w:trHeight w:val="227"/>
        </w:trPr>
        <w:tc>
          <w:tcPr>
            <w:tcW w:w="2131" w:type="pct"/>
            <w:tcBorders>
              <w:top w:val="nil"/>
              <w:left w:val="nil"/>
              <w:bottom w:val="nil"/>
              <w:right w:val="nil"/>
            </w:tcBorders>
            <w:shd w:val="clear" w:color="auto" w:fill="auto"/>
            <w:tcMar>
              <w:top w:w="15" w:type="dxa"/>
              <w:left w:w="42" w:type="dxa"/>
              <w:bottom w:w="0" w:type="dxa"/>
              <w:right w:w="15" w:type="dxa"/>
            </w:tcMar>
            <w:vAlign w:val="center"/>
          </w:tcPr>
          <w:p w:rsidR="00026516" w:rsidRPr="006B4FB1" w:rsidRDefault="00026516" w:rsidP="00026516">
            <w:pPr>
              <w:textAlignment w:val="center"/>
              <w:rPr>
                <w:rFonts w:ascii="Segoe UI" w:eastAsia="Segoe UI" w:hAnsi="Segoe UI" w:cs="Segoe UI"/>
                <w:b/>
                <w:color w:val="000000"/>
                <w:kern w:val="24"/>
                <w:sz w:val="14"/>
                <w:szCs w:val="14"/>
                <w:lang w:eastAsia="el-GR"/>
              </w:rPr>
            </w:pPr>
            <w:r w:rsidRPr="006B4FB1">
              <w:rPr>
                <w:rFonts w:ascii="Segoe UI" w:eastAsia="Segoe UI" w:hAnsi="Segoe UI" w:cs="Segoe UI"/>
                <w:b/>
                <w:color w:val="000000"/>
                <w:kern w:val="24"/>
                <w:sz w:val="14"/>
                <w:szCs w:val="14"/>
                <w:lang w:eastAsia="el-GR"/>
              </w:rPr>
              <w:t xml:space="preserve">Δάνεια </w:t>
            </w:r>
            <w:r w:rsidRPr="006B4FB1">
              <w:rPr>
                <w:rFonts w:ascii="Segoe UI" w:eastAsia="Segoe UI" w:hAnsi="Segoe UI" w:cs="Segoe UI"/>
                <w:b/>
                <w:color w:val="000000"/>
                <w:kern w:val="24"/>
                <w:sz w:val="14"/>
                <w:szCs w:val="14"/>
                <w:lang w:val="en-US" w:eastAsia="el-GR"/>
              </w:rPr>
              <w:t>(</w:t>
            </w:r>
            <w:r w:rsidRPr="006B4FB1">
              <w:rPr>
                <w:rFonts w:ascii="Segoe UI" w:eastAsia="Segoe UI" w:hAnsi="Segoe UI" w:cs="Segoe UI"/>
                <w:b/>
                <w:color w:val="000000"/>
                <w:kern w:val="24"/>
                <w:sz w:val="14"/>
                <w:szCs w:val="14"/>
                <w:lang w:eastAsia="el-GR"/>
              </w:rPr>
              <w:t xml:space="preserve">μετά </w:t>
            </w:r>
            <w:r>
              <w:rPr>
                <w:rFonts w:ascii="Segoe UI" w:eastAsia="Segoe UI" w:hAnsi="Segoe UI" w:cs="Segoe UI"/>
                <w:b/>
                <w:color w:val="000000"/>
                <w:kern w:val="24"/>
                <w:sz w:val="14"/>
                <w:szCs w:val="14"/>
                <w:lang w:eastAsia="el-GR"/>
              </w:rPr>
              <w:t xml:space="preserve">από </w:t>
            </w:r>
            <w:r w:rsidRPr="006B4FB1">
              <w:rPr>
                <w:rFonts w:ascii="Segoe UI" w:eastAsia="Segoe UI" w:hAnsi="Segoe UI" w:cs="Segoe UI"/>
                <w:b/>
                <w:color w:val="000000"/>
                <w:kern w:val="24"/>
                <w:sz w:val="14"/>
                <w:szCs w:val="14"/>
                <w:lang w:eastAsia="el-GR"/>
              </w:rPr>
              <w:t>προβλέψε</w:t>
            </w:r>
            <w:r>
              <w:rPr>
                <w:rFonts w:ascii="Segoe UI" w:eastAsia="Segoe UI" w:hAnsi="Segoe UI" w:cs="Segoe UI"/>
                <w:b/>
                <w:color w:val="000000"/>
                <w:kern w:val="24"/>
                <w:sz w:val="14"/>
                <w:szCs w:val="14"/>
                <w:lang w:eastAsia="el-GR"/>
              </w:rPr>
              <w:t>ις</w:t>
            </w:r>
            <w:r w:rsidRPr="006B4FB1">
              <w:rPr>
                <w:rFonts w:ascii="Segoe UI" w:eastAsia="Segoe UI" w:hAnsi="Segoe UI" w:cs="Segoe UI"/>
                <w:b/>
                <w:color w:val="000000"/>
                <w:kern w:val="24"/>
                <w:sz w:val="14"/>
                <w:szCs w:val="14"/>
                <w:lang w:val="en-US" w:eastAsia="el-GR"/>
              </w:rPr>
              <w:t>)</w:t>
            </w:r>
          </w:p>
        </w:tc>
        <w:tc>
          <w:tcPr>
            <w:tcW w:w="479" w:type="pct"/>
            <w:tcBorders>
              <w:top w:val="nil"/>
              <w:left w:val="nil"/>
              <w:bottom w:val="nil"/>
              <w:right w:val="nil"/>
            </w:tcBorders>
          </w:tcPr>
          <w:p w:rsidR="00026516" w:rsidRPr="00026516" w:rsidRDefault="00026516" w:rsidP="00026516">
            <w:pPr>
              <w:ind w:right="148"/>
              <w:jc w:val="right"/>
              <w:rPr>
                <w:rFonts w:ascii="Segoe UI" w:eastAsia="Times New Roman" w:hAnsi="Segoe UI" w:cs="Segoe UI"/>
                <w:b/>
                <w:bCs/>
                <w:color w:val="000000" w:themeColor="text1"/>
                <w:kern w:val="24"/>
                <w:sz w:val="14"/>
                <w:szCs w:val="16"/>
                <w:lang w:eastAsia="el-GR"/>
              </w:rPr>
            </w:pPr>
            <w:r w:rsidRPr="00026516">
              <w:rPr>
                <w:rFonts w:ascii="Segoe UI" w:eastAsia="Times New Roman" w:hAnsi="Segoe UI" w:cs="Segoe UI"/>
                <w:b/>
                <w:bCs/>
                <w:color w:val="000000" w:themeColor="text1"/>
                <w:kern w:val="24"/>
                <w:sz w:val="14"/>
                <w:szCs w:val="16"/>
                <w:lang w:eastAsia="el-GR"/>
              </w:rPr>
              <w:t>29</w:t>
            </w:r>
            <w:r>
              <w:rPr>
                <w:rFonts w:ascii="Segoe UI" w:eastAsia="Times New Roman" w:hAnsi="Segoe UI" w:cs="Segoe UI"/>
                <w:b/>
                <w:bCs/>
                <w:color w:val="000000" w:themeColor="text1"/>
                <w:kern w:val="24"/>
                <w:sz w:val="14"/>
                <w:szCs w:val="16"/>
                <w:lang w:eastAsia="el-GR"/>
              </w:rPr>
              <w:t>.</w:t>
            </w:r>
            <w:r w:rsidRPr="00026516">
              <w:rPr>
                <w:rFonts w:ascii="Segoe UI" w:eastAsia="Times New Roman" w:hAnsi="Segoe UI" w:cs="Segoe UI"/>
                <w:b/>
                <w:bCs/>
                <w:color w:val="000000" w:themeColor="text1"/>
                <w:kern w:val="24"/>
                <w:sz w:val="14"/>
                <w:szCs w:val="16"/>
                <w:lang w:eastAsia="el-GR"/>
              </w:rPr>
              <w:t xml:space="preserve">287 </w:t>
            </w:r>
          </w:p>
        </w:tc>
        <w:tc>
          <w:tcPr>
            <w:tcW w:w="478" w:type="pct"/>
            <w:tcBorders>
              <w:top w:val="nil"/>
              <w:left w:val="nil"/>
              <w:right w:val="nil"/>
            </w:tcBorders>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b/>
                <w:sz w:val="14"/>
                <w:szCs w:val="16"/>
                <w:lang w:val="en-US"/>
              </w:rPr>
            </w:pPr>
            <w:r w:rsidRPr="005610B3">
              <w:rPr>
                <w:rFonts w:ascii="Segoe UI" w:hAnsi="Segoe UI" w:cs="Segoe UI"/>
                <w:b/>
                <w:sz w:val="14"/>
                <w:szCs w:val="16"/>
                <w:lang w:val="en-US"/>
              </w:rPr>
              <w:t>28</w:t>
            </w:r>
            <w:r>
              <w:rPr>
                <w:rFonts w:ascii="Segoe UI" w:hAnsi="Segoe UI" w:cs="Segoe UI"/>
                <w:b/>
                <w:sz w:val="14"/>
                <w:szCs w:val="16"/>
                <w:lang w:val="en-US"/>
              </w:rPr>
              <w:t>.</w:t>
            </w:r>
            <w:r w:rsidRPr="005610B3">
              <w:rPr>
                <w:rFonts w:ascii="Segoe UI" w:hAnsi="Segoe UI" w:cs="Segoe UI"/>
                <w:b/>
                <w:sz w:val="14"/>
                <w:szCs w:val="16"/>
                <w:lang w:val="en-US"/>
              </w:rPr>
              <w:t>891</w:t>
            </w:r>
          </w:p>
        </w:tc>
        <w:tc>
          <w:tcPr>
            <w:tcW w:w="478" w:type="pct"/>
            <w:tcBorders>
              <w:top w:val="nil"/>
              <w:left w:val="nil"/>
              <w:right w:val="nil"/>
            </w:tcBorders>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b/>
                <w:sz w:val="14"/>
                <w:szCs w:val="16"/>
                <w:lang w:val="en-US"/>
              </w:rPr>
            </w:pPr>
            <w:r w:rsidRPr="005610B3">
              <w:rPr>
                <w:rFonts w:ascii="Segoe UI" w:hAnsi="Segoe UI" w:cs="Segoe UI"/>
                <w:b/>
                <w:sz w:val="14"/>
                <w:szCs w:val="16"/>
                <w:lang w:val="en-US"/>
              </w:rPr>
              <w:t>28</w:t>
            </w:r>
            <w:r>
              <w:rPr>
                <w:rFonts w:ascii="Segoe UI" w:hAnsi="Segoe UI" w:cs="Segoe UI"/>
                <w:b/>
                <w:sz w:val="14"/>
                <w:szCs w:val="16"/>
                <w:lang w:val="en-US"/>
              </w:rPr>
              <w:t>.</w:t>
            </w:r>
            <w:r w:rsidRPr="005610B3">
              <w:rPr>
                <w:rFonts w:ascii="Segoe UI" w:hAnsi="Segoe UI" w:cs="Segoe UI"/>
                <w:b/>
                <w:sz w:val="14"/>
                <w:szCs w:val="16"/>
                <w:lang w:val="en-US"/>
              </w:rPr>
              <w:t xml:space="preserve">955 </w:t>
            </w:r>
          </w:p>
        </w:tc>
        <w:tc>
          <w:tcPr>
            <w:tcW w:w="478" w:type="pct"/>
            <w:tcBorders>
              <w:top w:val="nil"/>
              <w:left w:val="nil"/>
              <w:right w:val="nil"/>
            </w:tcBorders>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b/>
                <w:sz w:val="14"/>
                <w:szCs w:val="16"/>
                <w:lang w:val="en-US"/>
              </w:rPr>
            </w:pPr>
            <w:r w:rsidRPr="005610B3">
              <w:rPr>
                <w:rFonts w:ascii="Segoe UI" w:hAnsi="Segoe UI" w:cs="Segoe UI"/>
                <w:b/>
                <w:sz w:val="14"/>
                <w:szCs w:val="16"/>
                <w:lang w:val="en-US"/>
              </w:rPr>
              <w:t>29</w:t>
            </w:r>
            <w:r>
              <w:rPr>
                <w:rFonts w:ascii="Segoe UI" w:hAnsi="Segoe UI" w:cs="Segoe UI"/>
                <w:b/>
                <w:sz w:val="14"/>
                <w:szCs w:val="16"/>
                <w:lang w:val="en-US"/>
              </w:rPr>
              <w:t>.</w:t>
            </w:r>
            <w:r w:rsidRPr="005610B3">
              <w:rPr>
                <w:rFonts w:ascii="Segoe UI" w:hAnsi="Segoe UI" w:cs="Segoe UI"/>
                <w:b/>
                <w:sz w:val="14"/>
                <w:szCs w:val="16"/>
                <w:lang w:val="en-US"/>
              </w:rPr>
              <w:t xml:space="preserve">222 </w:t>
            </w:r>
          </w:p>
        </w:tc>
        <w:tc>
          <w:tcPr>
            <w:tcW w:w="478" w:type="pct"/>
            <w:tcBorders>
              <w:top w:val="nil"/>
              <w:left w:val="nil"/>
              <w:right w:val="nil"/>
            </w:tcBorders>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b/>
                <w:sz w:val="14"/>
                <w:szCs w:val="16"/>
                <w:lang w:val="en-US"/>
              </w:rPr>
            </w:pPr>
            <w:r w:rsidRPr="005610B3">
              <w:rPr>
                <w:rFonts w:ascii="Segoe UI" w:hAnsi="Segoe UI" w:cs="Segoe UI"/>
                <w:b/>
                <w:sz w:val="14"/>
                <w:szCs w:val="16"/>
                <w:lang w:val="en-US"/>
              </w:rPr>
              <w:t>29</w:t>
            </w:r>
            <w:r>
              <w:rPr>
                <w:rFonts w:ascii="Segoe UI" w:hAnsi="Segoe UI" w:cs="Segoe UI"/>
                <w:b/>
                <w:sz w:val="14"/>
                <w:szCs w:val="16"/>
                <w:lang w:val="en-US"/>
              </w:rPr>
              <w:t>.</w:t>
            </w:r>
            <w:r w:rsidRPr="005610B3">
              <w:rPr>
                <w:rFonts w:ascii="Segoe UI" w:hAnsi="Segoe UI" w:cs="Segoe UI"/>
                <w:b/>
                <w:sz w:val="14"/>
                <w:szCs w:val="16"/>
                <w:lang w:val="en-US"/>
              </w:rPr>
              <w:t xml:space="preserve">018 </w:t>
            </w:r>
          </w:p>
        </w:tc>
        <w:tc>
          <w:tcPr>
            <w:tcW w:w="478" w:type="pct"/>
            <w:tcBorders>
              <w:top w:val="nil"/>
              <w:left w:val="nil"/>
              <w:right w:val="nil"/>
            </w:tcBorders>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b/>
                <w:sz w:val="14"/>
                <w:szCs w:val="16"/>
                <w:lang w:val="en-US"/>
              </w:rPr>
            </w:pPr>
            <w:r w:rsidRPr="005610B3">
              <w:rPr>
                <w:rFonts w:ascii="Segoe UI" w:hAnsi="Segoe UI" w:cs="Segoe UI"/>
                <w:b/>
                <w:sz w:val="14"/>
                <w:szCs w:val="16"/>
                <w:lang w:val="en-US"/>
              </w:rPr>
              <w:t>29</w:t>
            </w:r>
            <w:r>
              <w:rPr>
                <w:rFonts w:ascii="Segoe UI" w:hAnsi="Segoe UI" w:cs="Segoe UI"/>
                <w:b/>
                <w:sz w:val="14"/>
                <w:szCs w:val="16"/>
                <w:lang w:val="en-US"/>
              </w:rPr>
              <w:t>.</w:t>
            </w:r>
            <w:r w:rsidRPr="005610B3">
              <w:rPr>
                <w:rFonts w:ascii="Segoe UI" w:hAnsi="Segoe UI" w:cs="Segoe UI"/>
                <w:b/>
                <w:sz w:val="14"/>
                <w:szCs w:val="16"/>
                <w:lang w:val="en-US"/>
              </w:rPr>
              <w:t xml:space="preserve">849 </w:t>
            </w:r>
          </w:p>
        </w:tc>
      </w:tr>
      <w:tr w:rsidR="00026516" w:rsidRPr="006B4FB1" w:rsidTr="0000442E">
        <w:trPr>
          <w:trHeight w:val="227"/>
        </w:trPr>
        <w:tc>
          <w:tcPr>
            <w:tcW w:w="2131" w:type="pct"/>
            <w:tcBorders>
              <w:top w:val="nil"/>
              <w:left w:val="nil"/>
              <w:bottom w:val="nil"/>
              <w:right w:val="nil"/>
            </w:tcBorders>
            <w:shd w:val="clear" w:color="auto" w:fill="auto"/>
            <w:tcMar>
              <w:top w:w="15" w:type="dxa"/>
              <w:left w:w="42" w:type="dxa"/>
              <w:bottom w:w="0" w:type="dxa"/>
              <w:right w:w="15" w:type="dxa"/>
            </w:tcMar>
            <w:vAlign w:val="center"/>
          </w:tcPr>
          <w:p w:rsidR="00026516" w:rsidRPr="00DC2500" w:rsidRDefault="00026516" w:rsidP="00026516">
            <w:pPr>
              <w:textAlignment w:val="center"/>
              <w:rPr>
                <w:rFonts w:ascii="Segoe UI" w:eastAsia="Segoe UI" w:hAnsi="Segoe UI" w:cs="Segoe UI"/>
                <w:b/>
                <w:color w:val="000000"/>
                <w:kern w:val="24"/>
                <w:sz w:val="14"/>
                <w:szCs w:val="14"/>
                <w:lang w:val="en-US" w:eastAsia="el-GR"/>
              </w:rPr>
            </w:pPr>
            <w:r w:rsidRPr="006B4FB1">
              <w:rPr>
                <w:rFonts w:ascii="Segoe UI" w:eastAsia="Segoe UI" w:hAnsi="Segoe UI" w:cs="Segoe UI"/>
                <w:b/>
                <w:color w:val="000000"/>
                <w:kern w:val="24"/>
                <w:sz w:val="14"/>
                <w:szCs w:val="14"/>
                <w:lang w:eastAsia="el-GR"/>
              </w:rPr>
              <w:t>Εξυπηρετούμενα δάνεια</w:t>
            </w:r>
            <w:r w:rsidRPr="00DC2500">
              <w:rPr>
                <w:rFonts w:ascii="Segoe UI" w:eastAsia="Segoe UI" w:hAnsi="Segoe UI" w:cs="Segoe UI"/>
                <w:b/>
                <w:color w:val="000000"/>
                <w:kern w:val="24"/>
                <w:sz w:val="14"/>
                <w:szCs w:val="14"/>
                <w:vertAlign w:val="superscript"/>
                <w:lang w:val="en-US" w:eastAsia="el-GR"/>
              </w:rPr>
              <w:t>2</w:t>
            </w:r>
          </w:p>
        </w:tc>
        <w:tc>
          <w:tcPr>
            <w:tcW w:w="479" w:type="pct"/>
            <w:tcBorders>
              <w:top w:val="nil"/>
              <w:left w:val="nil"/>
              <w:bottom w:val="nil"/>
              <w:right w:val="nil"/>
            </w:tcBorders>
          </w:tcPr>
          <w:p w:rsidR="00026516" w:rsidRPr="00026516" w:rsidRDefault="00026516" w:rsidP="00026516">
            <w:pPr>
              <w:ind w:right="148"/>
              <w:jc w:val="right"/>
              <w:rPr>
                <w:rFonts w:ascii="Segoe UI" w:eastAsia="Times New Roman" w:hAnsi="Segoe UI" w:cs="Segoe UI"/>
                <w:b/>
                <w:bCs/>
                <w:color w:val="000000" w:themeColor="text1"/>
                <w:kern w:val="24"/>
                <w:sz w:val="14"/>
                <w:szCs w:val="16"/>
                <w:lang w:eastAsia="el-GR"/>
              </w:rPr>
            </w:pPr>
            <w:r w:rsidRPr="00026516">
              <w:rPr>
                <w:rFonts w:ascii="Segoe UI" w:eastAsia="Times New Roman" w:hAnsi="Segoe UI" w:cs="Segoe UI"/>
                <w:b/>
                <w:bCs/>
                <w:color w:val="000000" w:themeColor="text1"/>
                <w:kern w:val="24"/>
                <w:sz w:val="14"/>
                <w:szCs w:val="16"/>
                <w:lang w:eastAsia="el-GR"/>
              </w:rPr>
              <w:t>24</w:t>
            </w:r>
            <w:r>
              <w:rPr>
                <w:rFonts w:ascii="Segoe UI" w:eastAsia="Times New Roman" w:hAnsi="Segoe UI" w:cs="Segoe UI"/>
                <w:b/>
                <w:bCs/>
                <w:color w:val="000000" w:themeColor="text1"/>
                <w:kern w:val="24"/>
                <w:sz w:val="14"/>
                <w:szCs w:val="16"/>
                <w:lang w:eastAsia="el-GR"/>
              </w:rPr>
              <w:t>.</w:t>
            </w:r>
            <w:r w:rsidRPr="00026516">
              <w:rPr>
                <w:rFonts w:ascii="Segoe UI" w:eastAsia="Times New Roman" w:hAnsi="Segoe UI" w:cs="Segoe UI"/>
                <w:b/>
                <w:bCs/>
                <w:color w:val="000000" w:themeColor="text1"/>
                <w:kern w:val="24"/>
                <w:sz w:val="14"/>
                <w:szCs w:val="16"/>
                <w:lang w:eastAsia="el-GR"/>
              </w:rPr>
              <w:t xml:space="preserve">764 </w:t>
            </w:r>
          </w:p>
        </w:tc>
        <w:tc>
          <w:tcPr>
            <w:tcW w:w="478" w:type="pct"/>
            <w:tcBorders>
              <w:top w:val="nil"/>
              <w:left w:val="nil"/>
              <w:bottom w:val="nil"/>
              <w:right w:val="nil"/>
            </w:tcBorders>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b/>
                <w:sz w:val="14"/>
                <w:szCs w:val="16"/>
                <w:highlight w:val="yellow"/>
                <w:lang w:val="en-US"/>
              </w:rPr>
            </w:pPr>
            <w:r w:rsidRPr="005610B3">
              <w:rPr>
                <w:rFonts w:ascii="Segoe UI" w:hAnsi="Segoe UI" w:cs="Segoe UI"/>
                <w:b/>
                <w:sz w:val="14"/>
                <w:szCs w:val="16"/>
                <w:lang w:val="en-US"/>
              </w:rPr>
              <w:t>24</w:t>
            </w:r>
            <w:r>
              <w:rPr>
                <w:rFonts w:ascii="Segoe UI" w:hAnsi="Segoe UI" w:cs="Segoe UI"/>
                <w:b/>
                <w:sz w:val="14"/>
                <w:szCs w:val="16"/>
                <w:lang w:val="en-US"/>
              </w:rPr>
              <w:t>.</w:t>
            </w:r>
            <w:r w:rsidRPr="005610B3">
              <w:rPr>
                <w:rFonts w:ascii="Segoe UI" w:hAnsi="Segoe UI" w:cs="Segoe UI"/>
                <w:b/>
                <w:sz w:val="14"/>
                <w:szCs w:val="16"/>
                <w:lang w:val="en-US"/>
              </w:rPr>
              <w:t>3</w:t>
            </w:r>
            <w:r>
              <w:rPr>
                <w:rFonts w:ascii="Segoe UI" w:hAnsi="Segoe UI" w:cs="Segoe UI"/>
                <w:b/>
                <w:sz w:val="14"/>
                <w:szCs w:val="16"/>
                <w:lang w:val="en-US"/>
              </w:rPr>
              <w:t>46</w:t>
            </w:r>
          </w:p>
        </w:tc>
        <w:tc>
          <w:tcPr>
            <w:tcW w:w="478" w:type="pct"/>
            <w:tcBorders>
              <w:top w:val="nil"/>
              <w:left w:val="nil"/>
              <w:bottom w:val="nil"/>
              <w:right w:val="nil"/>
            </w:tcBorders>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b/>
                <w:sz w:val="14"/>
                <w:szCs w:val="16"/>
                <w:lang w:val="en-US"/>
              </w:rPr>
            </w:pPr>
            <w:r w:rsidRPr="005610B3">
              <w:rPr>
                <w:rFonts w:ascii="Segoe UI" w:hAnsi="Segoe UI" w:cs="Segoe UI"/>
                <w:b/>
                <w:sz w:val="14"/>
                <w:szCs w:val="16"/>
                <w:lang w:val="en-US"/>
              </w:rPr>
              <w:t>24</w:t>
            </w:r>
            <w:r>
              <w:rPr>
                <w:rFonts w:ascii="Segoe UI" w:hAnsi="Segoe UI" w:cs="Segoe UI"/>
                <w:b/>
                <w:sz w:val="14"/>
                <w:szCs w:val="16"/>
                <w:lang w:val="en-US"/>
              </w:rPr>
              <w:t>.</w:t>
            </w:r>
            <w:r w:rsidRPr="005610B3">
              <w:rPr>
                <w:rFonts w:ascii="Segoe UI" w:hAnsi="Segoe UI" w:cs="Segoe UI"/>
                <w:b/>
                <w:sz w:val="14"/>
                <w:szCs w:val="16"/>
                <w:lang w:val="en-US"/>
              </w:rPr>
              <w:t>148</w:t>
            </w:r>
          </w:p>
        </w:tc>
        <w:tc>
          <w:tcPr>
            <w:tcW w:w="478" w:type="pct"/>
            <w:tcBorders>
              <w:top w:val="nil"/>
              <w:left w:val="nil"/>
              <w:bottom w:val="nil"/>
              <w:right w:val="nil"/>
            </w:tcBorders>
            <w:shd w:val="clear" w:color="auto" w:fill="auto"/>
            <w:vAlign w:val="center"/>
          </w:tcPr>
          <w:p w:rsidR="00026516" w:rsidRPr="005610B3" w:rsidRDefault="00026516" w:rsidP="00026516">
            <w:pPr>
              <w:pStyle w:val="NormalWeb"/>
              <w:spacing w:before="0" w:beforeAutospacing="0" w:after="0" w:afterAutospacing="0"/>
              <w:ind w:right="148"/>
              <w:jc w:val="right"/>
              <w:textAlignment w:val="center"/>
              <w:rPr>
                <w:rFonts w:ascii="Segoe UI" w:hAnsi="Segoe UI" w:cs="Segoe UI"/>
                <w:b/>
                <w:sz w:val="14"/>
                <w:szCs w:val="16"/>
                <w:lang w:val="en-US"/>
              </w:rPr>
            </w:pPr>
            <w:r w:rsidRPr="005610B3">
              <w:rPr>
                <w:rFonts w:ascii="Segoe UI" w:hAnsi="Segoe UI" w:cs="Segoe UI"/>
                <w:b/>
                <w:sz w:val="14"/>
                <w:szCs w:val="16"/>
                <w:lang w:val="en-US"/>
              </w:rPr>
              <w:t>24</w:t>
            </w:r>
            <w:r>
              <w:rPr>
                <w:rFonts w:ascii="Segoe UI" w:hAnsi="Segoe UI" w:cs="Segoe UI"/>
                <w:b/>
                <w:sz w:val="14"/>
                <w:szCs w:val="16"/>
                <w:lang w:val="en-US"/>
              </w:rPr>
              <w:t>.</w:t>
            </w:r>
            <w:r w:rsidRPr="005610B3">
              <w:rPr>
                <w:rFonts w:ascii="Segoe UI" w:hAnsi="Segoe UI" w:cs="Segoe UI"/>
                <w:b/>
                <w:sz w:val="14"/>
                <w:szCs w:val="16"/>
                <w:lang w:val="en-US"/>
              </w:rPr>
              <w:t>044</w:t>
            </w:r>
          </w:p>
        </w:tc>
        <w:tc>
          <w:tcPr>
            <w:tcW w:w="478" w:type="pct"/>
            <w:tcBorders>
              <w:top w:val="nil"/>
              <w:left w:val="nil"/>
              <w:bottom w:val="nil"/>
              <w:right w:val="nil"/>
            </w:tcBorders>
            <w:shd w:val="clear" w:color="auto" w:fill="auto"/>
            <w:vAlign w:val="center"/>
          </w:tcPr>
          <w:p w:rsidR="00026516" w:rsidRPr="005610B3" w:rsidRDefault="00026516" w:rsidP="00026516">
            <w:pPr>
              <w:ind w:right="148"/>
              <w:jc w:val="right"/>
              <w:rPr>
                <w:rFonts w:ascii="Segoe UI" w:eastAsia="Times New Roman" w:hAnsi="Segoe UI" w:cs="Segoe UI"/>
                <w:b/>
                <w:bCs/>
                <w:color w:val="000000" w:themeColor="text1"/>
                <w:kern w:val="24"/>
                <w:sz w:val="14"/>
                <w:szCs w:val="16"/>
                <w:lang w:val="en-US" w:eastAsia="el-GR"/>
              </w:rPr>
            </w:pPr>
            <w:r w:rsidRPr="005610B3">
              <w:rPr>
                <w:rFonts w:ascii="Segoe UI" w:eastAsia="Times New Roman" w:hAnsi="Segoe UI" w:cs="Segoe UI"/>
                <w:b/>
                <w:bCs/>
                <w:color w:val="000000" w:themeColor="text1"/>
                <w:kern w:val="24"/>
                <w:sz w:val="14"/>
                <w:szCs w:val="16"/>
                <w:lang w:val="en-US" w:eastAsia="el-GR"/>
              </w:rPr>
              <w:t>23</w:t>
            </w:r>
            <w:r>
              <w:rPr>
                <w:rFonts w:ascii="Segoe UI" w:eastAsia="Times New Roman" w:hAnsi="Segoe UI" w:cs="Segoe UI"/>
                <w:b/>
                <w:bCs/>
                <w:color w:val="000000" w:themeColor="text1"/>
                <w:kern w:val="24"/>
                <w:sz w:val="14"/>
                <w:szCs w:val="16"/>
                <w:lang w:val="en-US" w:eastAsia="el-GR"/>
              </w:rPr>
              <w:t>.</w:t>
            </w:r>
            <w:r w:rsidRPr="005610B3">
              <w:rPr>
                <w:rFonts w:ascii="Segoe UI" w:eastAsia="Times New Roman" w:hAnsi="Segoe UI" w:cs="Segoe UI"/>
                <w:b/>
                <w:bCs/>
                <w:color w:val="000000" w:themeColor="text1"/>
                <w:kern w:val="24"/>
                <w:sz w:val="14"/>
                <w:szCs w:val="16"/>
                <w:lang w:val="en-US" w:eastAsia="el-GR"/>
              </w:rPr>
              <w:t>519</w:t>
            </w:r>
          </w:p>
        </w:tc>
        <w:tc>
          <w:tcPr>
            <w:tcW w:w="478" w:type="pct"/>
            <w:tcBorders>
              <w:top w:val="nil"/>
              <w:left w:val="nil"/>
              <w:bottom w:val="nil"/>
              <w:right w:val="nil"/>
            </w:tcBorders>
            <w:shd w:val="clear" w:color="auto" w:fill="auto"/>
            <w:vAlign w:val="center"/>
          </w:tcPr>
          <w:p w:rsidR="00026516" w:rsidRPr="005610B3" w:rsidRDefault="00026516" w:rsidP="00026516">
            <w:pPr>
              <w:ind w:right="148"/>
              <w:jc w:val="right"/>
              <w:rPr>
                <w:rFonts w:ascii="Segoe UI" w:eastAsia="Times New Roman" w:hAnsi="Segoe UI" w:cs="Segoe UI"/>
                <w:b/>
                <w:bCs/>
                <w:color w:val="000000" w:themeColor="text1"/>
                <w:kern w:val="24"/>
                <w:sz w:val="14"/>
                <w:szCs w:val="16"/>
                <w:lang w:val="en-US" w:eastAsia="el-GR"/>
              </w:rPr>
            </w:pPr>
            <w:r w:rsidRPr="005610B3">
              <w:rPr>
                <w:rFonts w:ascii="Segoe UI" w:eastAsia="Times New Roman" w:hAnsi="Segoe UI" w:cs="Segoe UI"/>
                <w:b/>
                <w:bCs/>
                <w:color w:val="000000" w:themeColor="text1"/>
                <w:kern w:val="24"/>
                <w:sz w:val="14"/>
                <w:szCs w:val="16"/>
                <w:lang w:val="en-US" w:eastAsia="el-GR"/>
              </w:rPr>
              <w:t>23</w:t>
            </w:r>
            <w:r>
              <w:rPr>
                <w:rFonts w:ascii="Segoe UI" w:eastAsia="Times New Roman" w:hAnsi="Segoe UI" w:cs="Segoe UI"/>
                <w:b/>
                <w:bCs/>
                <w:color w:val="000000" w:themeColor="text1"/>
                <w:kern w:val="24"/>
                <w:sz w:val="14"/>
                <w:szCs w:val="16"/>
                <w:lang w:val="en-US" w:eastAsia="el-GR"/>
              </w:rPr>
              <w:t>.</w:t>
            </w:r>
            <w:r w:rsidRPr="005610B3">
              <w:rPr>
                <w:rFonts w:ascii="Segoe UI" w:eastAsia="Times New Roman" w:hAnsi="Segoe UI" w:cs="Segoe UI"/>
                <w:b/>
                <w:bCs/>
                <w:color w:val="000000" w:themeColor="text1"/>
                <w:kern w:val="24"/>
                <w:sz w:val="14"/>
                <w:szCs w:val="16"/>
                <w:lang w:val="en-US" w:eastAsia="el-GR"/>
              </w:rPr>
              <w:t>856</w:t>
            </w:r>
          </w:p>
        </w:tc>
      </w:tr>
      <w:tr w:rsidR="00026516" w:rsidRPr="006B4FB1" w:rsidTr="0000442E">
        <w:trPr>
          <w:trHeight w:val="227"/>
        </w:trPr>
        <w:tc>
          <w:tcPr>
            <w:tcW w:w="2131" w:type="pct"/>
            <w:tcBorders>
              <w:top w:val="nil"/>
              <w:left w:val="nil"/>
              <w:bottom w:val="nil"/>
              <w:right w:val="nil"/>
            </w:tcBorders>
            <w:shd w:val="clear" w:color="auto" w:fill="auto"/>
            <w:tcMar>
              <w:top w:w="15" w:type="dxa"/>
              <w:left w:w="42" w:type="dxa"/>
              <w:bottom w:w="0" w:type="dxa"/>
              <w:right w:w="15" w:type="dxa"/>
            </w:tcMar>
            <w:vAlign w:val="center"/>
          </w:tcPr>
          <w:p w:rsidR="00026516" w:rsidRPr="006B4FB1" w:rsidRDefault="00026516" w:rsidP="00026516">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Χαρτοφυλάκιο επενδύσεων</w:t>
            </w:r>
            <w:r w:rsidR="00F73358" w:rsidRPr="00F73358">
              <w:rPr>
                <w:rFonts w:ascii="Segoe UI" w:eastAsia="Segoe UI" w:hAnsi="Segoe UI" w:cs="Segoe UI"/>
                <w:color w:val="000000"/>
                <w:kern w:val="24"/>
                <w:sz w:val="14"/>
                <w:szCs w:val="14"/>
                <w:vertAlign w:val="superscript"/>
                <w:lang w:val="en-US" w:eastAsia="el-GR"/>
              </w:rPr>
              <w:t>3</w:t>
            </w:r>
            <w:r w:rsidRPr="006B4FB1">
              <w:rPr>
                <w:rFonts w:ascii="Segoe UI" w:eastAsia="Segoe UI" w:hAnsi="Segoe UI" w:cs="Segoe UI"/>
                <w:color w:val="000000"/>
                <w:kern w:val="24"/>
                <w:sz w:val="14"/>
                <w:szCs w:val="14"/>
                <w:lang w:eastAsia="el-GR"/>
              </w:rPr>
              <w:t xml:space="preserve"> </w:t>
            </w:r>
          </w:p>
        </w:tc>
        <w:tc>
          <w:tcPr>
            <w:tcW w:w="479" w:type="pct"/>
            <w:tcBorders>
              <w:top w:val="nil"/>
              <w:left w:val="nil"/>
              <w:bottom w:val="nil"/>
              <w:right w:val="nil"/>
            </w:tcBorders>
          </w:tcPr>
          <w:p w:rsidR="00026516" w:rsidRPr="00026516" w:rsidRDefault="00026516" w:rsidP="00026516">
            <w:pPr>
              <w:ind w:right="148"/>
              <w:jc w:val="right"/>
              <w:rPr>
                <w:rFonts w:ascii="Segoe UI" w:eastAsia="Times New Roman" w:hAnsi="Segoe UI" w:cs="Segoe UI"/>
                <w:bCs/>
                <w:color w:val="000000" w:themeColor="text1"/>
                <w:kern w:val="24"/>
                <w:sz w:val="14"/>
                <w:szCs w:val="16"/>
                <w:lang w:eastAsia="el-GR"/>
              </w:rPr>
            </w:pPr>
            <w:r w:rsidRPr="00026516">
              <w:rPr>
                <w:rFonts w:ascii="Segoe UI" w:eastAsia="Times New Roman" w:hAnsi="Segoe UI" w:cs="Segoe UI"/>
                <w:bCs/>
                <w:color w:val="000000" w:themeColor="text1"/>
                <w:kern w:val="24"/>
                <w:sz w:val="14"/>
                <w:szCs w:val="16"/>
                <w:lang w:eastAsia="el-GR"/>
              </w:rPr>
              <w:t>14</w:t>
            </w:r>
            <w:r>
              <w:rPr>
                <w:rFonts w:ascii="Segoe UI" w:eastAsia="Times New Roman" w:hAnsi="Segoe UI" w:cs="Segoe UI"/>
                <w:bCs/>
                <w:color w:val="000000" w:themeColor="text1"/>
                <w:kern w:val="24"/>
                <w:sz w:val="14"/>
                <w:szCs w:val="16"/>
                <w:lang w:eastAsia="el-GR"/>
              </w:rPr>
              <w:t>.</w:t>
            </w:r>
            <w:r w:rsidRPr="00026516">
              <w:rPr>
                <w:rFonts w:ascii="Segoe UI" w:eastAsia="Times New Roman" w:hAnsi="Segoe UI" w:cs="Segoe UI"/>
                <w:bCs/>
                <w:color w:val="000000" w:themeColor="text1"/>
                <w:kern w:val="24"/>
                <w:sz w:val="14"/>
                <w:szCs w:val="16"/>
                <w:lang w:eastAsia="el-GR"/>
              </w:rPr>
              <w:t xml:space="preserve">907 </w:t>
            </w:r>
          </w:p>
        </w:tc>
        <w:tc>
          <w:tcPr>
            <w:tcW w:w="478" w:type="pct"/>
            <w:tcBorders>
              <w:top w:val="nil"/>
              <w:left w:val="nil"/>
              <w:bottom w:val="nil"/>
              <w:right w:val="nil"/>
            </w:tcBorders>
            <w:vAlign w:val="center"/>
          </w:tcPr>
          <w:p w:rsidR="00026516" w:rsidRPr="005610B3" w:rsidRDefault="00026516" w:rsidP="00026516">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15</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 xml:space="preserve">276 </w:t>
            </w:r>
          </w:p>
        </w:tc>
        <w:tc>
          <w:tcPr>
            <w:tcW w:w="478" w:type="pct"/>
            <w:tcBorders>
              <w:top w:val="nil"/>
              <w:left w:val="nil"/>
              <w:bottom w:val="nil"/>
              <w:right w:val="nil"/>
            </w:tcBorders>
            <w:vAlign w:val="center"/>
          </w:tcPr>
          <w:p w:rsidR="00026516" w:rsidRPr="005610B3" w:rsidRDefault="00026516" w:rsidP="00026516">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11</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 xml:space="preserve">586 </w:t>
            </w:r>
          </w:p>
        </w:tc>
        <w:tc>
          <w:tcPr>
            <w:tcW w:w="478" w:type="pct"/>
            <w:tcBorders>
              <w:top w:val="nil"/>
              <w:left w:val="nil"/>
              <w:bottom w:val="nil"/>
              <w:right w:val="nil"/>
            </w:tcBorders>
            <w:vAlign w:val="center"/>
          </w:tcPr>
          <w:p w:rsidR="00026516" w:rsidRPr="005610B3" w:rsidRDefault="00026516" w:rsidP="00026516">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9</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 xml:space="preserve">408 </w:t>
            </w:r>
          </w:p>
        </w:tc>
        <w:tc>
          <w:tcPr>
            <w:tcW w:w="478" w:type="pct"/>
            <w:tcBorders>
              <w:top w:val="nil"/>
              <w:left w:val="nil"/>
              <w:bottom w:val="nil"/>
              <w:right w:val="nil"/>
            </w:tcBorders>
            <w:vAlign w:val="center"/>
          </w:tcPr>
          <w:p w:rsidR="00026516" w:rsidRPr="005610B3" w:rsidRDefault="00026516" w:rsidP="00026516">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9</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 xml:space="preserve">051 </w:t>
            </w:r>
          </w:p>
        </w:tc>
        <w:tc>
          <w:tcPr>
            <w:tcW w:w="478" w:type="pct"/>
            <w:tcBorders>
              <w:top w:val="nil"/>
              <w:left w:val="nil"/>
              <w:bottom w:val="nil"/>
              <w:right w:val="nil"/>
            </w:tcBorders>
            <w:vAlign w:val="center"/>
          </w:tcPr>
          <w:p w:rsidR="00026516" w:rsidRPr="005610B3" w:rsidRDefault="00026516" w:rsidP="00026516">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10</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 xml:space="preserve">209 </w:t>
            </w:r>
          </w:p>
        </w:tc>
      </w:tr>
      <w:tr w:rsidR="00026516" w:rsidRPr="006B4FB1" w:rsidTr="0000442E">
        <w:trPr>
          <w:trHeight w:val="227"/>
        </w:trPr>
        <w:tc>
          <w:tcPr>
            <w:tcW w:w="2131" w:type="pct"/>
            <w:tcBorders>
              <w:top w:val="nil"/>
              <w:left w:val="nil"/>
              <w:bottom w:val="nil"/>
              <w:right w:val="nil"/>
            </w:tcBorders>
            <w:shd w:val="clear" w:color="auto" w:fill="auto"/>
            <w:tcMar>
              <w:top w:w="15" w:type="dxa"/>
              <w:left w:w="42" w:type="dxa"/>
              <w:bottom w:w="0" w:type="dxa"/>
              <w:right w:w="15" w:type="dxa"/>
            </w:tcMar>
            <w:vAlign w:val="center"/>
            <w:hideMark/>
          </w:tcPr>
          <w:p w:rsidR="00026516" w:rsidRPr="009372B8" w:rsidRDefault="00026516" w:rsidP="00026516">
            <w:pPr>
              <w:textAlignment w:val="center"/>
              <w:rPr>
                <w:rFonts w:ascii="Segoe UI" w:eastAsia="Times New Roman" w:hAnsi="Segoe UI" w:cs="Segoe UI"/>
                <w:b/>
                <w:sz w:val="14"/>
                <w:szCs w:val="14"/>
                <w:lang w:eastAsia="el-GR"/>
              </w:rPr>
            </w:pPr>
            <w:r w:rsidRPr="009372B8">
              <w:rPr>
                <w:rFonts w:ascii="Segoe UI" w:eastAsia="Segoe UI" w:hAnsi="Segoe UI" w:cs="Segoe UI"/>
                <w:b/>
                <w:color w:val="000000"/>
                <w:kern w:val="24"/>
                <w:sz w:val="14"/>
                <w:szCs w:val="14"/>
                <w:lang w:val="en-US" w:eastAsia="el-GR"/>
              </w:rPr>
              <w:t>Καταθέσεις</w:t>
            </w:r>
          </w:p>
        </w:tc>
        <w:tc>
          <w:tcPr>
            <w:tcW w:w="479" w:type="pct"/>
            <w:tcBorders>
              <w:top w:val="nil"/>
              <w:left w:val="nil"/>
              <w:bottom w:val="nil"/>
              <w:right w:val="nil"/>
            </w:tcBorders>
          </w:tcPr>
          <w:p w:rsidR="00026516" w:rsidRPr="009372B8" w:rsidRDefault="00026516" w:rsidP="00026516">
            <w:pPr>
              <w:ind w:right="148"/>
              <w:jc w:val="right"/>
              <w:rPr>
                <w:rFonts w:ascii="Segoe UI" w:eastAsia="Times New Roman" w:hAnsi="Segoe UI" w:cs="Segoe UI"/>
                <w:b/>
                <w:bCs/>
                <w:color w:val="000000" w:themeColor="text1"/>
                <w:kern w:val="24"/>
                <w:sz w:val="14"/>
                <w:szCs w:val="16"/>
                <w:lang w:eastAsia="el-GR"/>
              </w:rPr>
            </w:pPr>
            <w:r w:rsidRPr="009372B8">
              <w:rPr>
                <w:rFonts w:ascii="Segoe UI" w:eastAsia="Times New Roman" w:hAnsi="Segoe UI" w:cs="Segoe UI"/>
                <w:b/>
                <w:bCs/>
                <w:color w:val="000000" w:themeColor="text1"/>
                <w:kern w:val="24"/>
                <w:sz w:val="14"/>
                <w:szCs w:val="16"/>
                <w:lang w:eastAsia="el-GR"/>
              </w:rPr>
              <w:t xml:space="preserve">45.218 </w:t>
            </w:r>
          </w:p>
        </w:tc>
        <w:tc>
          <w:tcPr>
            <w:tcW w:w="478" w:type="pct"/>
            <w:tcBorders>
              <w:top w:val="nil"/>
              <w:left w:val="nil"/>
              <w:bottom w:val="nil"/>
              <w:right w:val="nil"/>
            </w:tcBorders>
            <w:vAlign w:val="center"/>
          </w:tcPr>
          <w:p w:rsidR="00026516" w:rsidRPr="009372B8" w:rsidRDefault="00026516" w:rsidP="00026516">
            <w:pPr>
              <w:ind w:right="148"/>
              <w:jc w:val="right"/>
              <w:rPr>
                <w:rFonts w:ascii="Segoe UI" w:eastAsia="Times New Roman" w:hAnsi="Segoe UI" w:cs="Segoe UI"/>
                <w:b/>
                <w:bCs/>
                <w:color w:val="000000" w:themeColor="text1"/>
                <w:kern w:val="24"/>
                <w:sz w:val="14"/>
                <w:szCs w:val="16"/>
                <w:lang w:eastAsia="el-GR"/>
              </w:rPr>
            </w:pPr>
            <w:r w:rsidRPr="009372B8">
              <w:rPr>
                <w:rFonts w:ascii="Segoe UI" w:eastAsia="Times New Roman" w:hAnsi="Segoe UI" w:cs="Segoe UI"/>
                <w:b/>
                <w:bCs/>
                <w:color w:val="000000" w:themeColor="text1"/>
                <w:kern w:val="24"/>
                <w:sz w:val="14"/>
                <w:szCs w:val="16"/>
                <w:lang w:eastAsia="el-GR"/>
              </w:rPr>
              <w:t xml:space="preserve">44.763 </w:t>
            </w:r>
          </w:p>
        </w:tc>
        <w:tc>
          <w:tcPr>
            <w:tcW w:w="478" w:type="pct"/>
            <w:tcBorders>
              <w:top w:val="nil"/>
              <w:left w:val="nil"/>
              <w:bottom w:val="nil"/>
              <w:right w:val="nil"/>
            </w:tcBorders>
            <w:vAlign w:val="center"/>
          </w:tcPr>
          <w:p w:rsidR="00026516" w:rsidRPr="009372B8" w:rsidRDefault="00026516" w:rsidP="00026516">
            <w:pPr>
              <w:ind w:right="148"/>
              <w:jc w:val="right"/>
              <w:rPr>
                <w:rFonts w:ascii="Segoe UI" w:eastAsia="Times New Roman" w:hAnsi="Segoe UI" w:cs="Segoe UI"/>
                <w:b/>
                <w:bCs/>
                <w:color w:val="000000" w:themeColor="text1"/>
                <w:kern w:val="24"/>
                <w:sz w:val="14"/>
                <w:szCs w:val="16"/>
                <w:lang w:eastAsia="el-GR"/>
              </w:rPr>
            </w:pPr>
            <w:r w:rsidRPr="009372B8">
              <w:rPr>
                <w:rFonts w:ascii="Segoe UI" w:eastAsia="Times New Roman" w:hAnsi="Segoe UI" w:cs="Segoe UI"/>
                <w:b/>
                <w:bCs/>
                <w:color w:val="000000" w:themeColor="text1"/>
                <w:kern w:val="24"/>
                <w:sz w:val="14"/>
                <w:szCs w:val="16"/>
                <w:lang w:eastAsia="el-GR"/>
              </w:rPr>
              <w:t xml:space="preserve">45.463 </w:t>
            </w:r>
          </w:p>
        </w:tc>
        <w:tc>
          <w:tcPr>
            <w:tcW w:w="478" w:type="pct"/>
            <w:tcBorders>
              <w:top w:val="nil"/>
              <w:left w:val="nil"/>
              <w:bottom w:val="nil"/>
              <w:right w:val="nil"/>
            </w:tcBorders>
            <w:vAlign w:val="center"/>
          </w:tcPr>
          <w:p w:rsidR="00026516" w:rsidRPr="009372B8" w:rsidRDefault="00026516" w:rsidP="00026516">
            <w:pPr>
              <w:ind w:right="148"/>
              <w:jc w:val="right"/>
              <w:rPr>
                <w:rFonts w:ascii="Segoe UI" w:eastAsia="Times New Roman" w:hAnsi="Segoe UI" w:cs="Segoe UI"/>
                <w:b/>
                <w:bCs/>
                <w:color w:val="000000" w:themeColor="text1"/>
                <w:kern w:val="24"/>
                <w:sz w:val="14"/>
                <w:szCs w:val="16"/>
                <w:lang w:eastAsia="el-GR"/>
              </w:rPr>
            </w:pPr>
            <w:r w:rsidRPr="009372B8">
              <w:rPr>
                <w:rFonts w:ascii="Segoe UI" w:eastAsia="Times New Roman" w:hAnsi="Segoe UI" w:cs="Segoe UI"/>
                <w:b/>
                <w:bCs/>
                <w:color w:val="000000" w:themeColor="text1"/>
                <w:kern w:val="24"/>
                <w:sz w:val="14"/>
                <w:szCs w:val="16"/>
                <w:lang w:eastAsia="el-GR"/>
              </w:rPr>
              <w:t xml:space="preserve">43.748 </w:t>
            </w:r>
          </w:p>
        </w:tc>
        <w:tc>
          <w:tcPr>
            <w:tcW w:w="478" w:type="pct"/>
            <w:tcBorders>
              <w:top w:val="nil"/>
              <w:left w:val="nil"/>
              <w:bottom w:val="nil"/>
              <w:right w:val="nil"/>
            </w:tcBorders>
            <w:vAlign w:val="center"/>
          </w:tcPr>
          <w:p w:rsidR="00026516" w:rsidRPr="009372B8" w:rsidRDefault="00026516" w:rsidP="00026516">
            <w:pPr>
              <w:ind w:right="148"/>
              <w:jc w:val="right"/>
              <w:rPr>
                <w:rFonts w:ascii="Segoe UI" w:eastAsia="Times New Roman" w:hAnsi="Segoe UI" w:cs="Segoe UI"/>
                <w:b/>
                <w:bCs/>
                <w:color w:val="000000" w:themeColor="text1"/>
                <w:kern w:val="24"/>
                <w:sz w:val="14"/>
                <w:szCs w:val="16"/>
                <w:lang w:eastAsia="el-GR"/>
              </w:rPr>
            </w:pPr>
            <w:r w:rsidRPr="009372B8">
              <w:rPr>
                <w:rFonts w:ascii="Segoe UI" w:eastAsia="Times New Roman" w:hAnsi="Segoe UI" w:cs="Segoe UI"/>
                <w:b/>
                <w:bCs/>
                <w:color w:val="000000" w:themeColor="text1"/>
                <w:kern w:val="24"/>
                <w:sz w:val="14"/>
                <w:szCs w:val="16"/>
                <w:lang w:eastAsia="el-GR"/>
              </w:rPr>
              <w:t xml:space="preserve">42.917 </w:t>
            </w:r>
          </w:p>
        </w:tc>
        <w:tc>
          <w:tcPr>
            <w:tcW w:w="478" w:type="pct"/>
            <w:tcBorders>
              <w:top w:val="nil"/>
              <w:left w:val="nil"/>
              <w:bottom w:val="nil"/>
              <w:right w:val="nil"/>
            </w:tcBorders>
            <w:vAlign w:val="center"/>
          </w:tcPr>
          <w:p w:rsidR="00026516" w:rsidRPr="009372B8" w:rsidRDefault="00026516" w:rsidP="00026516">
            <w:pPr>
              <w:ind w:right="148"/>
              <w:jc w:val="right"/>
              <w:rPr>
                <w:rFonts w:ascii="Segoe UI" w:eastAsia="Times New Roman" w:hAnsi="Segoe UI" w:cs="Segoe UI"/>
                <w:b/>
                <w:bCs/>
                <w:color w:val="000000" w:themeColor="text1"/>
                <w:kern w:val="24"/>
                <w:sz w:val="14"/>
                <w:szCs w:val="16"/>
                <w:lang w:eastAsia="el-GR"/>
              </w:rPr>
            </w:pPr>
            <w:r w:rsidRPr="009372B8">
              <w:rPr>
                <w:rFonts w:ascii="Segoe UI" w:eastAsia="Times New Roman" w:hAnsi="Segoe UI" w:cs="Segoe UI"/>
                <w:b/>
                <w:bCs/>
                <w:color w:val="000000" w:themeColor="text1"/>
                <w:kern w:val="24"/>
                <w:sz w:val="14"/>
                <w:szCs w:val="16"/>
                <w:lang w:eastAsia="el-GR"/>
              </w:rPr>
              <w:t xml:space="preserve">43.046 </w:t>
            </w:r>
          </w:p>
        </w:tc>
      </w:tr>
      <w:tr w:rsidR="00026516" w:rsidRPr="006B4FB1" w:rsidTr="0000442E">
        <w:trPr>
          <w:trHeight w:val="227"/>
        </w:trPr>
        <w:tc>
          <w:tcPr>
            <w:tcW w:w="2131" w:type="pct"/>
            <w:tcBorders>
              <w:top w:val="nil"/>
              <w:left w:val="nil"/>
              <w:right w:val="nil"/>
            </w:tcBorders>
            <w:shd w:val="clear" w:color="auto" w:fill="auto"/>
            <w:tcMar>
              <w:top w:w="15" w:type="dxa"/>
              <w:left w:w="42" w:type="dxa"/>
              <w:bottom w:w="0" w:type="dxa"/>
              <w:right w:w="15" w:type="dxa"/>
            </w:tcMar>
            <w:vAlign w:val="center"/>
            <w:hideMark/>
          </w:tcPr>
          <w:p w:rsidR="00026516" w:rsidRPr="006B4FB1" w:rsidRDefault="00026516" w:rsidP="00026516">
            <w:pPr>
              <w:textAlignment w:val="center"/>
              <w:rPr>
                <w:rFonts w:ascii="Segoe UI" w:eastAsia="Times New Roman" w:hAnsi="Segoe UI" w:cs="Segoe UI"/>
                <w:b/>
                <w:sz w:val="14"/>
                <w:szCs w:val="14"/>
                <w:lang w:eastAsia="el-GR"/>
              </w:rPr>
            </w:pPr>
            <w:r w:rsidRPr="006B4FB1">
              <w:rPr>
                <w:rFonts w:ascii="Segoe UI" w:eastAsia="Segoe UI" w:hAnsi="Segoe UI" w:cs="Segoe UI"/>
                <w:b/>
                <w:color w:val="000000"/>
                <w:kern w:val="24"/>
                <w:sz w:val="14"/>
                <w:szCs w:val="14"/>
                <w:lang w:eastAsia="el-GR"/>
              </w:rPr>
              <w:t xml:space="preserve">Ίδια κεφάλαια </w:t>
            </w:r>
          </w:p>
        </w:tc>
        <w:tc>
          <w:tcPr>
            <w:tcW w:w="479" w:type="pct"/>
            <w:tcBorders>
              <w:top w:val="nil"/>
              <w:left w:val="nil"/>
              <w:right w:val="nil"/>
            </w:tcBorders>
          </w:tcPr>
          <w:p w:rsidR="00026516" w:rsidRPr="00134B1E" w:rsidRDefault="00026516" w:rsidP="00026516">
            <w:pPr>
              <w:ind w:right="148"/>
              <w:jc w:val="right"/>
              <w:rPr>
                <w:rFonts w:ascii="Segoe UI" w:eastAsia="Times New Roman" w:hAnsi="Segoe UI" w:cs="Segoe UI"/>
                <w:b/>
                <w:bCs/>
                <w:color w:val="000000" w:themeColor="text1"/>
                <w:kern w:val="24"/>
                <w:sz w:val="14"/>
                <w:szCs w:val="16"/>
                <w:lang w:eastAsia="el-GR"/>
              </w:rPr>
            </w:pPr>
            <w:r w:rsidRPr="00134B1E">
              <w:rPr>
                <w:rFonts w:ascii="Segoe UI" w:eastAsia="Times New Roman" w:hAnsi="Segoe UI" w:cs="Segoe UI"/>
                <w:b/>
                <w:bCs/>
                <w:color w:val="000000" w:themeColor="text1"/>
                <w:kern w:val="24"/>
                <w:sz w:val="14"/>
                <w:szCs w:val="16"/>
                <w:lang w:eastAsia="el-GR"/>
              </w:rPr>
              <w:t xml:space="preserve">5.426 </w:t>
            </w:r>
          </w:p>
        </w:tc>
        <w:tc>
          <w:tcPr>
            <w:tcW w:w="478" w:type="pct"/>
            <w:tcBorders>
              <w:top w:val="nil"/>
              <w:left w:val="nil"/>
              <w:right w:val="nil"/>
            </w:tcBorders>
            <w:vAlign w:val="center"/>
          </w:tcPr>
          <w:p w:rsidR="00026516" w:rsidRPr="00134B1E" w:rsidRDefault="00026516" w:rsidP="00026516">
            <w:pPr>
              <w:ind w:right="148"/>
              <w:jc w:val="right"/>
              <w:rPr>
                <w:rFonts w:ascii="Segoe UI" w:eastAsia="Times New Roman" w:hAnsi="Segoe UI" w:cs="Segoe UI"/>
                <w:b/>
                <w:bCs/>
                <w:color w:val="000000" w:themeColor="text1"/>
                <w:kern w:val="24"/>
                <w:sz w:val="14"/>
                <w:szCs w:val="16"/>
                <w:lang w:eastAsia="el-GR"/>
              </w:rPr>
            </w:pPr>
            <w:r w:rsidRPr="00134B1E">
              <w:rPr>
                <w:rFonts w:ascii="Segoe UI" w:eastAsia="Times New Roman" w:hAnsi="Segoe UI" w:cs="Segoe UI"/>
                <w:b/>
                <w:bCs/>
                <w:color w:val="000000" w:themeColor="text1"/>
                <w:kern w:val="24"/>
                <w:sz w:val="14"/>
                <w:szCs w:val="16"/>
                <w:lang w:eastAsia="el-GR"/>
              </w:rPr>
              <w:t xml:space="preserve">5.314 </w:t>
            </w:r>
          </w:p>
        </w:tc>
        <w:tc>
          <w:tcPr>
            <w:tcW w:w="478" w:type="pct"/>
            <w:tcBorders>
              <w:top w:val="nil"/>
              <w:left w:val="nil"/>
              <w:right w:val="nil"/>
            </w:tcBorders>
            <w:vAlign w:val="center"/>
          </w:tcPr>
          <w:p w:rsidR="00026516" w:rsidRPr="005610B3" w:rsidRDefault="00026516" w:rsidP="00026516">
            <w:pPr>
              <w:ind w:right="148"/>
              <w:jc w:val="right"/>
              <w:rPr>
                <w:rFonts w:ascii="Segoe UI" w:eastAsia="Times New Roman" w:hAnsi="Segoe UI" w:cs="Segoe UI"/>
                <w:b/>
                <w:bCs/>
                <w:color w:val="000000" w:themeColor="text1"/>
                <w:kern w:val="24"/>
                <w:sz w:val="14"/>
                <w:szCs w:val="16"/>
                <w:lang w:eastAsia="el-GR"/>
              </w:rPr>
            </w:pPr>
            <w:r w:rsidRPr="005610B3">
              <w:rPr>
                <w:rFonts w:ascii="Segoe UI" w:eastAsia="Times New Roman" w:hAnsi="Segoe UI" w:cs="Segoe UI"/>
                <w:b/>
                <w:bCs/>
                <w:color w:val="000000" w:themeColor="text1"/>
                <w:kern w:val="24"/>
                <w:sz w:val="14"/>
                <w:szCs w:val="16"/>
                <w:lang w:eastAsia="el-GR"/>
              </w:rPr>
              <w:t>5</w:t>
            </w:r>
            <w:r>
              <w:rPr>
                <w:rFonts w:ascii="Segoe UI" w:eastAsia="Times New Roman" w:hAnsi="Segoe UI" w:cs="Segoe UI"/>
                <w:b/>
                <w:bCs/>
                <w:color w:val="000000" w:themeColor="text1"/>
                <w:kern w:val="24"/>
                <w:sz w:val="14"/>
                <w:szCs w:val="16"/>
                <w:lang w:eastAsia="el-GR"/>
              </w:rPr>
              <w:t>.</w:t>
            </w:r>
            <w:r w:rsidRPr="005610B3">
              <w:rPr>
                <w:rFonts w:ascii="Segoe UI" w:eastAsia="Times New Roman" w:hAnsi="Segoe UI" w:cs="Segoe UI"/>
                <w:b/>
                <w:bCs/>
                <w:color w:val="000000" w:themeColor="text1"/>
                <w:kern w:val="24"/>
                <w:sz w:val="14"/>
                <w:szCs w:val="16"/>
                <w:lang w:eastAsia="el-GR"/>
              </w:rPr>
              <w:t xml:space="preserve">140 </w:t>
            </w:r>
          </w:p>
        </w:tc>
        <w:tc>
          <w:tcPr>
            <w:tcW w:w="478" w:type="pct"/>
            <w:tcBorders>
              <w:top w:val="nil"/>
              <w:left w:val="nil"/>
              <w:right w:val="nil"/>
            </w:tcBorders>
            <w:vAlign w:val="center"/>
          </w:tcPr>
          <w:p w:rsidR="00026516" w:rsidRPr="005610B3" w:rsidRDefault="00026516" w:rsidP="00026516">
            <w:pPr>
              <w:ind w:right="148"/>
              <w:jc w:val="right"/>
              <w:rPr>
                <w:rFonts w:ascii="Segoe UI" w:eastAsia="Times New Roman" w:hAnsi="Segoe UI" w:cs="Segoe UI"/>
                <w:b/>
                <w:bCs/>
                <w:color w:val="000000" w:themeColor="text1"/>
                <w:kern w:val="24"/>
                <w:sz w:val="14"/>
                <w:szCs w:val="16"/>
                <w:lang w:eastAsia="el-GR"/>
              </w:rPr>
            </w:pPr>
            <w:r w:rsidRPr="005610B3">
              <w:rPr>
                <w:rFonts w:ascii="Segoe UI" w:eastAsia="Times New Roman" w:hAnsi="Segoe UI" w:cs="Segoe UI"/>
                <w:b/>
                <w:bCs/>
                <w:color w:val="000000" w:themeColor="text1"/>
                <w:kern w:val="24"/>
                <w:sz w:val="14"/>
                <w:szCs w:val="16"/>
                <w:lang w:eastAsia="el-GR"/>
              </w:rPr>
              <w:t>5</w:t>
            </w:r>
            <w:r>
              <w:rPr>
                <w:rFonts w:ascii="Segoe UI" w:eastAsia="Times New Roman" w:hAnsi="Segoe UI" w:cs="Segoe UI"/>
                <w:b/>
                <w:bCs/>
                <w:color w:val="000000" w:themeColor="text1"/>
                <w:kern w:val="24"/>
                <w:sz w:val="14"/>
                <w:szCs w:val="16"/>
                <w:lang w:eastAsia="el-GR"/>
              </w:rPr>
              <w:t>.</w:t>
            </w:r>
            <w:r w:rsidRPr="005610B3">
              <w:rPr>
                <w:rFonts w:ascii="Segoe UI" w:eastAsia="Times New Roman" w:hAnsi="Segoe UI" w:cs="Segoe UI"/>
                <w:b/>
                <w:bCs/>
                <w:color w:val="000000" w:themeColor="text1"/>
                <w:kern w:val="24"/>
                <w:sz w:val="14"/>
                <w:szCs w:val="16"/>
                <w:lang w:eastAsia="el-GR"/>
              </w:rPr>
              <w:t xml:space="preserve">259 </w:t>
            </w:r>
          </w:p>
        </w:tc>
        <w:tc>
          <w:tcPr>
            <w:tcW w:w="478" w:type="pct"/>
            <w:tcBorders>
              <w:top w:val="nil"/>
              <w:left w:val="nil"/>
              <w:right w:val="nil"/>
            </w:tcBorders>
            <w:vAlign w:val="center"/>
          </w:tcPr>
          <w:p w:rsidR="00026516" w:rsidRPr="005610B3" w:rsidRDefault="00026516" w:rsidP="00026516">
            <w:pPr>
              <w:ind w:right="148"/>
              <w:jc w:val="right"/>
              <w:rPr>
                <w:rFonts w:ascii="Segoe UI" w:eastAsia="Times New Roman" w:hAnsi="Segoe UI" w:cs="Segoe UI"/>
                <w:b/>
                <w:bCs/>
                <w:color w:val="000000" w:themeColor="text1"/>
                <w:kern w:val="24"/>
                <w:sz w:val="14"/>
                <w:szCs w:val="16"/>
                <w:lang w:eastAsia="el-GR"/>
              </w:rPr>
            </w:pPr>
            <w:r w:rsidRPr="005610B3">
              <w:rPr>
                <w:rFonts w:ascii="Segoe UI" w:eastAsia="Times New Roman" w:hAnsi="Segoe UI" w:cs="Segoe UI"/>
                <w:b/>
                <w:bCs/>
                <w:color w:val="000000" w:themeColor="text1"/>
                <w:kern w:val="24"/>
                <w:sz w:val="14"/>
                <w:szCs w:val="16"/>
                <w:lang w:eastAsia="el-GR"/>
              </w:rPr>
              <w:t>5</w:t>
            </w:r>
            <w:r>
              <w:rPr>
                <w:rFonts w:ascii="Segoe UI" w:eastAsia="Times New Roman" w:hAnsi="Segoe UI" w:cs="Segoe UI"/>
                <w:b/>
                <w:bCs/>
                <w:color w:val="000000" w:themeColor="text1"/>
                <w:kern w:val="24"/>
                <w:sz w:val="14"/>
                <w:szCs w:val="16"/>
                <w:lang w:eastAsia="el-GR"/>
              </w:rPr>
              <w:t>.</w:t>
            </w:r>
            <w:r w:rsidRPr="005610B3">
              <w:rPr>
                <w:rFonts w:ascii="Segoe UI" w:eastAsia="Times New Roman" w:hAnsi="Segoe UI" w:cs="Segoe UI"/>
                <w:b/>
                <w:bCs/>
                <w:color w:val="000000" w:themeColor="text1"/>
                <w:kern w:val="24"/>
                <w:sz w:val="14"/>
                <w:szCs w:val="16"/>
                <w:lang w:eastAsia="el-GR"/>
              </w:rPr>
              <w:t xml:space="preserve">880 </w:t>
            </w:r>
          </w:p>
        </w:tc>
        <w:tc>
          <w:tcPr>
            <w:tcW w:w="478" w:type="pct"/>
            <w:tcBorders>
              <w:top w:val="nil"/>
              <w:left w:val="nil"/>
              <w:right w:val="nil"/>
            </w:tcBorders>
            <w:vAlign w:val="center"/>
          </w:tcPr>
          <w:p w:rsidR="00026516" w:rsidRPr="005610B3" w:rsidRDefault="00026516" w:rsidP="00026516">
            <w:pPr>
              <w:ind w:right="148"/>
              <w:jc w:val="right"/>
              <w:rPr>
                <w:rFonts w:ascii="Segoe UI" w:eastAsia="Times New Roman" w:hAnsi="Segoe UI" w:cs="Segoe UI"/>
                <w:b/>
                <w:bCs/>
                <w:color w:val="000000" w:themeColor="text1"/>
                <w:kern w:val="24"/>
                <w:sz w:val="14"/>
                <w:szCs w:val="16"/>
                <w:lang w:eastAsia="el-GR"/>
              </w:rPr>
            </w:pPr>
            <w:r w:rsidRPr="005610B3">
              <w:rPr>
                <w:rFonts w:ascii="Segoe UI" w:eastAsia="Times New Roman" w:hAnsi="Segoe UI" w:cs="Segoe UI"/>
                <w:b/>
                <w:bCs/>
                <w:color w:val="000000" w:themeColor="text1"/>
                <w:kern w:val="24"/>
                <w:sz w:val="14"/>
                <w:szCs w:val="16"/>
                <w:lang w:eastAsia="el-GR"/>
              </w:rPr>
              <w:t>5</w:t>
            </w:r>
            <w:r>
              <w:rPr>
                <w:rFonts w:ascii="Segoe UI" w:eastAsia="Times New Roman" w:hAnsi="Segoe UI" w:cs="Segoe UI"/>
                <w:b/>
                <w:bCs/>
                <w:color w:val="000000" w:themeColor="text1"/>
                <w:kern w:val="24"/>
                <w:sz w:val="14"/>
                <w:szCs w:val="16"/>
                <w:lang w:eastAsia="el-GR"/>
              </w:rPr>
              <w:t>.</w:t>
            </w:r>
            <w:r w:rsidRPr="005610B3">
              <w:rPr>
                <w:rFonts w:ascii="Segoe UI" w:eastAsia="Times New Roman" w:hAnsi="Segoe UI" w:cs="Segoe UI"/>
                <w:b/>
                <w:bCs/>
                <w:color w:val="000000" w:themeColor="text1"/>
                <w:kern w:val="24"/>
                <w:sz w:val="14"/>
                <w:szCs w:val="16"/>
                <w:lang w:eastAsia="el-GR"/>
              </w:rPr>
              <w:t xml:space="preserve">550 </w:t>
            </w:r>
          </w:p>
        </w:tc>
      </w:tr>
      <w:tr w:rsidR="00026516" w:rsidRPr="006B4FB1" w:rsidTr="0000442E">
        <w:trPr>
          <w:trHeight w:val="227"/>
        </w:trPr>
        <w:tc>
          <w:tcPr>
            <w:tcW w:w="2131" w:type="pct"/>
            <w:tcBorders>
              <w:top w:val="nil"/>
              <w:left w:val="nil"/>
              <w:bottom w:val="single" w:sz="12" w:space="0" w:color="auto"/>
              <w:right w:val="nil"/>
            </w:tcBorders>
            <w:shd w:val="clear" w:color="auto" w:fill="auto"/>
            <w:tcMar>
              <w:top w:w="15" w:type="dxa"/>
              <w:left w:w="42" w:type="dxa"/>
              <w:bottom w:w="0" w:type="dxa"/>
              <w:right w:w="15" w:type="dxa"/>
            </w:tcMar>
            <w:vAlign w:val="center"/>
          </w:tcPr>
          <w:p w:rsidR="00026516" w:rsidRPr="006B4FB1" w:rsidRDefault="00026516" w:rsidP="00026516">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Ενσώματα Ίδια κεφάλαια</w:t>
            </w:r>
          </w:p>
        </w:tc>
        <w:tc>
          <w:tcPr>
            <w:tcW w:w="479" w:type="pct"/>
            <w:tcBorders>
              <w:top w:val="nil"/>
              <w:left w:val="nil"/>
              <w:bottom w:val="single" w:sz="12" w:space="0" w:color="000000"/>
              <w:right w:val="nil"/>
            </w:tcBorders>
          </w:tcPr>
          <w:p w:rsidR="00026516" w:rsidRPr="00026516" w:rsidRDefault="00026516" w:rsidP="00026516">
            <w:pPr>
              <w:ind w:right="148"/>
              <w:jc w:val="right"/>
              <w:rPr>
                <w:rFonts w:ascii="Segoe UI" w:eastAsia="Times New Roman" w:hAnsi="Segoe UI" w:cs="Segoe UI"/>
                <w:bCs/>
                <w:color w:val="000000" w:themeColor="text1"/>
                <w:kern w:val="24"/>
                <w:sz w:val="14"/>
                <w:szCs w:val="16"/>
                <w:lang w:eastAsia="el-GR"/>
              </w:rPr>
            </w:pPr>
            <w:r w:rsidRPr="00026516">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w:t>
            </w:r>
            <w:r w:rsidRPr="00026516">
              <w:rPr>
                <w:rFonts w:ascii="Segoe UI" w:eastAsia="Times New Roman" w:hAnsi="Segoe UI" w:cs="Segoe UI"/>
                <w:bCs/>
                <w:color w:val="000000" w:themeColor="text1"/>
                <w:kern w:val="24"/>
                <w:sz w:val="14"/>
                <w:szCs w:val="16"/>
                <w:lang w:eastAsia="el-GR"/>
              </w:rPr>
              <w:t xml:space="preserve">175 </w:t>
            </w:r>
          </w:p>
        </w:tc>
        <w:tc>
          <w:tcPr>
            <w:tcW w:w="478" w:type="pct"/>
            <w:tcBorders>
              <w:top w:val="nil"/>
              <w:left w:val="nil"/>
              <w:bottom w:val="single" w:sz="12" w:space="0" w:color="auto"/>
              <w:right w:val="nil"/>
            </w:tcBorders>
            <w:vAlign w:val="bottom"/>
          </w:tcPr>
          <w:p w:rsidR="00026516" w:rsidRPr="005610B3" w:rsidRDefault="00026516" w:rsidP="00026516">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078</w:t>
            </w:r>
          </w:p>
        </w:tc>
        <w:tc>
          <w:tcPr>
            <w:tcW w:w="478" w:type="pct"/>
            <w:tcBorders>
              <w:top w:val="nil"/>
              <w:left w:val="nil"/>
              <w:bottom w:val="single" w:sz="12" w:space="0" w:color="auto"/>
              <w:right w:val="nil"/>
            </w:tcBorders>
            <w:vAlign w:val="bottom"/>
          </w:tcPr>
          <w:p w:rsidR="00026516" w:rsidRPr="005610B3" w:rsidRDefault="00026516" w:rsidP="00026516">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4</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 xml:space="preserve">926 </w:t>
            </w:r>
          </w:p>
        </w:tc>
        <w:tc>
          <w:tcPr>
            <w:tcW w:w="478" w:type="pct"/>
            <w:tcBorders>
              <w:top w:val="nil"/>
              <w:left w:val="nil"/>
              <w:bottom w:val="single" w:sz="12" w:space="0" w:color="auto"/>
              <w:right w:val="nil"/>
            </w:tcBorders>
            <w:vAlign w:val="bottom"/>
          </w:tcPr>
          <w:p w:rsidR="00026516" w:rsidRPr="005610B3" w:rsidRDefault="00026516" w:rsidP="00026516">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 xml:space="preserve">057 </w:t>
            </w:r>
          </w:p>
        </w:tc>
        <w:tc>
          <w:tcPr>
            <w:tcW w:w="478" w:type="pct"/>
            <w:tcBorders>
              <w:top w:val="nil"/>
              <w:left w:val="nil"/>
              <w:bottom w:val="single" w:sz="12" w:space="0" w:color="auto"/>
              <w:right w:val="nil"/>
            </w:tcBorders>
            <w:vAlign w:val="bottom"/>
          </w:tcPr>
          <w:p w:rsidR="00026516" w:rsidRPr="005610B3" w:rsidRDefault="00026516" w:rsidP="00026516">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 xml:space="preserve">704 </w:t>
            </w:r>
          </w:p>
        </w:tc>
        <w:tc>
          <w:tcPr>
            <w:tcW w:w="478" w:type="pct"/>
            <w:tcBorders>
              <w:top w:val="nil"/>
              <w:left w:val="nil"/>
              <w:bottom w:val="single" w:sz="12" w:space="0" w:color="auto"/>
              <w:right w:val="nil"/>
            </w:tcBorders>
            <w:vAlign w:val="bottom"/>
          </w:tcPr>
          <w:p w:rsidR="00026516" w:rsidRPr="005610B3" w:rsidRDefault="00026516" w:rsidP="00026516">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 xml:space="preserve">390 </w:t>
            </w:r>
          </w:p>
        </w:tc>
      </w:tr>
    </w:tbl>
    <w:p w:rsidR="00771556" w:rsidRDefault="00771556" w:rsidP="00A4654D">
      <w:pPr>
        <w:jc w:val="both"/>
        <w:textAlignment w:val="baseline"/>
        <w:rPr>
          <w:rFonts w:ascii="Segoe UI" w:hAnsi="Segoe UI" w:cs="Segoe UI"/>
          <w:color w:val="000000" w:themeColor="text1"/>
          <w:kern w:val="24"/>
          <w:sz w:val="7"/>
          <w:szCs w:val="7"/>
        </w:rPr>
      </w:pPr>
      <w:r w:rsidRPr="00F73358">
        <w:rPr>
          <w:rFonts w:ascii="Segoe UI" w:hAnsi="Segoe UI" w:cs="Segoe UI"/>
          <w:color w:val="000000" w:themeColor="text1"/>
          <w:kern w:val="24"/>
          <w:sz w:val="7"/>
          <w:szCs w:val="7"/>
          <w:vertAlign w:val="superscript"/>
        </w:rPr>
        <w:t>1</w:t>
      </w:r>
      <w:r w:rsidR="003B1578" w:rsidRPr="00F73358">
        <w:rPr>
          <w:rFonts w:ascii="Segoe UI" w:hAnsi="Segoe UI" w:cs="Segoe UI"/>
          <w:color w:val="000000" w:themeColor="text1"/>
          <w:kern w:val="24"/>
          <w:sz w:val="7"/>
          <w:szCs w:val="7"/>
          <w:vertAlign w:val="superscript"/>
        </w:rPr>
        <w:t xml:space="preserve"> </w:t>
      </w:r>
      <w:r w:rsidRPr="00F73358">
        <w:rPr>
          <w:rFonts w:ascii="Segoe UI" w:hAnsi="Segoe UI" w:cs="Segoe UI"/>
          <w:color w:val="000000" w:themeColor="text1"/>
          <w:kern w:val="24"/>
          <w:sz w:val="7"/>
          <w:szCs w:val="7"/>
        </w:rPr>
        <w:t>Η Κατάσταση Χρηματοοικονομικής Θέσης του Ομίλου έχει αναπροσαρμοστεί για τις αποεπενδύσεις της ΕΤΕ σε Κύπρο, Ρουμανία, καθώς και Εθνική Ασφαλιστική, οι οποίες έχουν ταξινομηθεί ως μη κυκλοφορούντα περιουσιακά στοιχεία προοριζόμενα προς πώληση και υποχρεώσεις σχετιζόμενες με μη κυκλοφορούντα περιουσιακά στοιχεία προοριζόμενα προς πώληση</w:t>
      </w:r>
      <w:r w:rsidR="00DC2500" w:rsidRPr="00F73358">
        <w:rPr>
          <w:rFonts w:ascii="Segoe UI" w:hAnsi="Segoe UI" w:cs="Segoe UI"/>
          <w:color w:val="000000" w:themeColor="text1"/>
          <w:kern w:val="24"/>
          <w:sz w:val="7"/>
          <w:szCs w:val="7"/>
        </w:rPr>
        <w:t xml:space="preserve"> / </w:t>
      </w:r>
      <w:r w:rsidR="00DC2500" w:rsidRPr="00F73358">
        <w:rPr>
          <w:rFonts w:ascii="Segoe UI" w:hAnsi="Segoe UI" w:cs="Segoe UI"/>
          <w:color w:val="000000" w:themeColor="text1"/>
          <w:kern w:val="24"/>
          <w:sz w:val="7"/>
          <w:szCs w:val="7"/>
          <w:vertAlign w:val="superscript"/>
        </w:rPr>
        <w:t>2</w:t>
      </w:r>
      <w:r w:rsidR="00DC2500" w:rsidRPr="00F73358">
        <w:rPr>
          <w:rFonts w:ascii="Segoe UI" w:hAnsi="Segoe UI" w:cs="Segoe UI"/>
          <w:color w:val="000000" w:themeColor="text1"/>
          <w:kern w:val="24"/>
          <w:sz w:val="7"/>
          <w:szCs w:val="7"/>
        </w:rPr>
        <w:t xml:space="preserve"> Εξυπηρετούμενα δάνεια = Δάνεια (προ προβλέψεων) </w:t>
      </w:r>
      <w:r w:rsidR="00F73358" w:rsidRPr="00F73358">
        <w:rPr>
          <w:rFonts w:ascii="Segoe UI" w:hAnsi="Segoe UI" w:cs="Segoe UI"/>
          <w:color w:val="000000" w:themeColor="text1"/>
          <w:kern w:val="24"/>
          <w:sz w:val="7"/>
          <w:szCs w:val="7"/>
        </w:rPr>
        <w:t>–</w:t>
      </w:r>
      <w:r w:rsidR="00DC2500" w:rsidRPr="00F73358">
        <w:rPr>
          <w:rFonts w:ascii="Segoe UI" w:hAnsi="Segoe UI" w:cs="Segoe UI"/>
          <w:color w:val="000000" w:themeColor="text1"/>
          <w:kern w:val="24"/>
          <w:sz w:val="7"/>
          <w:szCs w:val="7"/>
        </w:rPr>
        <w:t xml:space="preserve"> </w:t>
      </w:r>
      <w:r w:rsidR="00DC2500" w:rsidRPr="00F73358">
        <w:rPr>
          <w:rFonts w:ascii="Segoe UI" w:hAnsi="Segoe UI" w:cs="Segoe UI"/>
          <w:color w:val="000000" w:themeColor="text1"/>
          <w:kern w:val="24"/>
          <w:sz w:val="7"/>
          <w:szCs w:val="7"/>
          <w:lang w:val="en-US"/>
        </w:rPr>
        <w:t>MEA</w:t>
      </w:r>
      <w:r w:rsidR="00F73358" w:rsidRPr="00F73358">
        <w:rPr>
          <w:rFonts w:ascii="Segoe UI" w:hAnsi="Segoe UI" w:cs="Segoe UI"/>
          <w:color w:val="000000" w:themeColor="text1"/>
          <w:kern w:val="24"/>
          <w:sz w:val="7"/>
          <w:szCs w:val="7"/>
        </w:rPr>
        <w:t xml:space="preserve"> / 3 Περιλαμβάνει το χαρτοφυλάκιο επενδύσεων και τα χρηματοοικονομικά περιουσιακή στοιχεία στην εύλογη αξία μέσω αποτελεσμάτων</w:t>
      </w:r>
    </w:p>
    <w:p w:rsidR="00F73358" w:rsidRPr="00F73358" w:rsidRDefault="007F463F" w:rsidP="00A4654D">
      <w:pPr>
        <w:jc w:val="both"/>
        <w:textAlignment w:val="baseline"/>
        <w:rPr>
          <w:rFonts w:ascii="Segoe UI" w:hAnsi="Segoe UI" w:cs="Segoe UI"/>
          <w:color w:val="000000" w:themeColor="text1"/>
          <w:kern w:val="24"/>
          <w:sz w:val="36"/>
          <w:szCs w:val="32"/>
        </w:rPr>
      </w:pPr>
      <w:r w:rsidRPr="006F363E">
        <w:rPr>
          <w:rFonts w:ascii="Segoe UI" w:hAnsi="Segoe UI" w:cs="Segoe UI"/>
          <w:noProof/>
          <w:sz w:val="18"/>
          <w:highlight w:val="yellow"/>
          <w:lang w:eastAsia="el-GR"/>
        </w:rPr>
        <mc:AlternateContent>
          <mc:Choice Requires="wps">
            <w:drawing>
              <wp:anchor distT="0" distB="0" distL="114300" distR="114300" simplePos="0" relativeHeight="251655680" behindDoc="0" locked="0" layoutInCell="1" allowOverlap="1" wp14:anchorId="77374423" wp14:editId="1E3DE356">
                <wp:simplePos x="0" y="0"/>
                <wp:positionH relativeFrom="margin">
                  <wp:posOffset>-10366</wp:posOffset>
                </wp:positionH>
                <wp:positionV relativeFrom="paragraph">
                  <wp:posOffset>48895</wp:posOffset>
                </wp:positionV>
                <wp:extent cx="2092325" cy="296545"/>
                <wp:effectExtent l="0" t="0" r="3175" b="8255"/>
                <wp:wrapNone/>
                <wp:docPr id="9" name="Rectangle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092325" cy="2965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r w:rsidRPr="00421869">
                              <w:rPr>
                                <w:rFonts w:ascii="Segoe UI" w:eastAsia="Segoe UI" w:hAnsi="Segoe UI" w:cs="Segoe UI"/>
                                <w:b/>
                                <w:color w:val="008080"/>
                                <w:kern w:val="24"/>
                                <w:sz w:val="20"/>
                              </w:rPr>
                              <w:t>Κύριοι Δείκτες | Όμιλος</w:t>
                            </w: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FE1137" w:rsidRDefault="00D95F56"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7374423" id="Rectangle 5" o:spid="_x0000_s1033" style="position:absolute;left:0;text-align:left;margin-left:-.8pt;margin-top:3.85pt;width:164.75pt;height:23.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" filled="f" stroked="f">
                <v:path arrowok="t"/>
                <o:lock v:ext="edit" grouping="t"/>
                <v:textbox inset="1.2699mm,1.2699mm,1.2699mm,1.2699mm">
                  <w:txbxContent>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r w:rsidRPr="00421869">
                        <w:rPr>
                          <w:rFonts w:ascii="Segoe UI" w:eastAsia="Segoe UI" w:hAnsi="Segoe UI" w:cs="Segoe UI"/>
                          <w:b/>
                          <w:color w:val="008080"/>
                          <w:kern w:val="24"/>
                          <w:sz w:val="20"/>
                        </w:rPr>
                        <w:t>Κύριοι Δείκτες | Όμιλος</w:t>
                      </w: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FE1137" w:rsidRDefault="00D95F56" w:rsidP="00E55AED">
                      <w:pPr>
                        <w:kinsoku w:val="0"/>
                        <w:overflowPunct w:val="0"/>
                        <w:spacing w:before="40"/>
                        <w:ind w:left="547" w:hanging="547"/>
                        <w:textAlignment w:val="baseline"/>
                        <w:rPr>
                          <w:b/>
                          <w:color w:val="008080"/>
                          <w:sz w:val="16"/>
                        </w:rPr>
                      </w:pPr>
                    </w:p>
                  </w:txbxContent>
                </v:textbox>
                <w10:wrap anchorx="margin"/>
              </v:rect>
            </w:pict>
          </mc:Fallback>
        </mc:AlternateContent>
      </w:r>
      <w:r w:rsidR="00F73358" w:rsidRPr="002F2F59">
        <w:rPr>
          <w:rFonts w:ascii="Segoe UI" w:hAnsi="Segoe UI" w:cs="Segoe UI"/>
          <w:noProof/>
          <w:sz w:val="28"/>
          <w:lang w:eastAsia="el-GR"/>
        </w:rPr>
        <mc:AlternateContent>
          <mc:Choice Requires="wps">
            <w:drawing>
              <wp:anchor distT="0" distB="0" distL="114300" distR="114300" simplePos="0" relativeHeight="251660800" behindDoc="0" locked="0" layoutInCell="1" allowOverlap="1" wp14:anchorId="5FCB5095" wp14:editId="15DF4E88">
                <wp:simplePos x="0" y="0"/>
                <wp:positionH relativeFrom="column">
                  <wp:posOffset>2779395</wp:posOffset>
                </wp:positionH>
                <wp:positionV relativeFrom="paragraph">
                  <wp:posOffset>313055</wp:posOffset>
                </wp:positionV>
                <wp:extent cx="611505" cy="2735580"/>
                <wp:effectExtent l="0" t="0" r="17145" b="26670"/>
                <wp:wrapNone/>
                <wp:docPr id="29"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 cy="273558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7F2291DA" id="Rounded Rectangle 18" o:spid="_x0000_s1026" style="position:absolute;margin-left:218.85pt;margin-top:24.65pt;width:48.15pt;height:21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" filled="f" strokecolor="#ff7415">
                <v:path arrowok="t"/>
              </v:roundrect>
            </w:pict>
          </mc:Fallback>
        </mc:AlternateContent>
      </w:r>
    </w:p>
    <w:tbl>
      <w:tblPr>
        <w:tblW w:w="5000" w:type="pct"/>
        <w:tblCellMar>
          <w:left w:w="0" w:type="dxa"/>
          <w:right w:w="0" w:type="dxa"/>
        </w:tblCellMar>
        <w:tblLook w:val="0420" w:firstRow="1" w:lastRow="0" w:firstColumn="0" w:lastColumn="0" w:noHBand="0" w:noVBand="1"/>
      </w:tblPr>
      <w:tblGrid>
        <w:gridCol w:w="4348"/>
        <w:gridCol w:w="975"/>
        <w:gridCol w:w="975"/>
        <w:gridCol w:w="975"/>
        <w:gridCol w:w="975"/>
        <w:gridCol w:w="975"/>
        <w:gridCol w:w="975"/>
      </w:tblGrid>
      <w:tr w:rsidR="001A39BC" w:rsidRPr="006B4FB1" w:rsidTr="0000442E">
        <w:trPr>
          <w:trHeight w:val="289"/>
        </w:trPr>
        <w:tc>
          <w:tcPr>
            <w:tcW w:w="2132" w:type="pct"/>
            <w:tcBorders>
              <w:top w:val="single" w:sz="8" w:space="0" w:color="000000"/>
              <w:left w:val="nil"/>
              <w:bottom w:val="single" w:sz="8" w:space="0" w:color="000000"/>
              <w:right w:val="nil"/>
            </w:tcBorders>
            <w:shd w:val="clear" w:color="auto" w:fill="auto"/>
            <w:tcMar>
              <w:top w:w="15" w:type="dxa"/>
              <w:left w:w="41" w:type="dxa"/>
              <w:bottom w:w="0" w:type="dxa"/>
              <w:right w:w="15" w:type="dxa"/>
            </w:tcMar>
            <w:vAlign w:val="center"/>
            <w:hideMark/>
          </w:tcPr>
          <w:p w:rsidR="001A39BC" w:rsidRPr="006B4FB1" w:rsidRDefault="001A39BC" w:rsidP="001A39BC">
            <w:pPr>
              <w:rPr>
                <w:rFonts w:ascii="Segoe UI" w:eastAsia="Times New Roman" w:hAnsi="Segoe UI" w:cs="Segoe UI"/>
                <w:sz w:val="14"/>
                <w:szCs w:val="14"/>
                <w:lang w:eastAsia="el-GR"/>
              </w:rPr>
            </w:pPr>
          </w:p>
        </w:tc>
        <w:tc>
          <w:tcPr>
            <w:tcW w:w="478" w:type="pct"/>
            <w:tcBorders>
              <w:top w:val="single" w:sz="8" w:space="0" w:color="000000"/>
              <w:left w:val="nil"/>
              <w:bottom w:val="single" w:sz="8" w:space="0" w:color="000000"/>
              <w:right w:val="nil"/>
            </w:tcBorders>
          </w:tcPr>
          <w:p w:rsidR="001A39BC" w:rsidRDefault="001A39BC" w:rsidP="001A39BC">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Γ</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478" w:type="pct"/>
            <w:tcBorders>
              <w:top w:val="single" w:sz="8" w:space="0" w:color="000000"/>
              <w:left w:val="nil"/>
              <w:bottom w:val="single" w:sz="8" w:space="0" w:color="000000"/>
              <w:right w:val="nil"/>
            </w:tcBorders>
          </w:tcPr>
          <w:p w:rsidR="001A39BC" w:rsidRDefault="001A39BC" w:rsidP="001A39BC">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Β</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478" w:type="pct"/>
            <w:tcBorders>
              <w:top w:val="single" w:sz="8" w:space="0" w:color="000000"/>
              <w:left w:val="nil"/>
              <w:bottom w:val="single" w:sz="8" w:space="0" w:color="000000"/>
              <w:right w:val="nil"/>
            </w:tcBorders>
          </w:tcPr>
          <w:p w:rsidR="001A39BC" w:rsidRPr="006B4FB1" w:rsidRDefault="001A39BC" w:rsidP="001A39BC">
            <w:pPr>
              <w:ind w:right="148"/>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478" w:type="pct"/>
            <w:tcBorders>
              <w:top w:val="single" w:sz="8" w:space="0" w:color="000000"/>
              <w:left w:val="nil"/>
              <w:bottom w:val="single" w:sz="8" w:space="0" w:color="000000"/>
              <w:right w:val="nil"/>
            </w:tcBorders>
            <w:vAlign w:val="center"/>
          </w:tcPr>
          <w:p w:rsidR="001A39BC" w:rsidRPr="006B4FB1" w:rsidRDefault="001A39BC" w:rsidP="001A39B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Δ‘ τρίμηνο 2019</w:t>
            </w:r>
          </w:p>
        </w:tc>
        <w:tc>
          <w:tcPr>
            <w:tcW w:w="478" w:type="pct"/>
            <w:tcBorders>
              <w:top w:val="single" w:sz="8" w:space="0" w:color="000000"/>
              <w:left w:val="nil"/>
              <w:bottom w:val="single" w:sz="8" w:space="0" w:color="000000"/>
              <w:right w:val="nil"/>
            </w:tcBorders>
            <w:vAlign w:val="center"/>
          </w:tcPr>
          <w:p w:rsidR="001A39BC" w:rsidRPr="006B4FB1" w:rsidRDefault="001A39BC" w:rsidP="001A39B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Γ‘ τρίμηνο 2019</w:t>
            </w:r>
          </w:p>
        </w:tc>
        <w:tc>
          <w:tcPr>
            <w:tcW w:w="478" w:type="pct"/>
            <w:tcBorders>
              <w:top w:val="single" w:sz="8" w:space="0" w:color="000000"/>
              <w:left w:val="nil"/>
              <w:bottom w:val="single" w:sz="8" w:space="0" w:color="000000"/>
              <w:right w:val="nil"/>
            </w:tcBorders>
            <w:vAlign w:val="center"/>
          </w:tcPr>
          <w:p w:rsidR="001A39BC" w:rsidRPr="006B4FB1" w:rsidRDefault="001A39BC" w:rsidP="001A39B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Β‘ τρίμηνο 2019</w:t>
            </w:r>
          </w:p>
        </w:tc>
      </w:tr>
      <w:tr w:rsidR="001A39BC" w:rsidRPr="006B4FB1" w:rsidTr="0000442E">
        <w:trPr>
          <w:trHeight w:val="227"/>
        </w:trPr>
        <w:tc>
          <w:tcPr>
            <w:tcW w:w="2132" w:type="pct"/>
            <w:tcBorders>
              <w:top w:val="single" w:sz="8" w:space="0" w:color="000000"/>
              <w:left w:val="nil"/>
              <w:bottom w:val="nil"/>
              <w:right w:val="nil"/>
            </w:tcBorders>
            <w:shd w:val="clear" w:color="auto" w:fill="F2F2F2" w:themeFill="background1" w:themeFillShade="F2"/>
            <w:tcMar>
              <w:top w:w="15" w:type="dxa"/>
              <w:left w:w="41" w:type="dxa"/>
              <w:bottom w:w="0" w:type="dxa"/>
              <w:right w:w="15" w:type="dxa"/>
            </w:tcMar>
            <w:vAlign w:val="center"/>
          </w:tcPr>
          <w:p w:rsidR="001A39BC" w:rsidRPr="006B4FB1" w:rsidRDefault="001A39BC" w:rsidP="001A39BC">
            <w:pPr>
              <w:rPr>
                <w:rFonts w:ascii="Segoe UI" w:eastAsia="Times New Roman" w:hAnsi="Segoe UI" w:cs="Segoe UI"/>
                <w:sz w:val="14"/>
                <w:szCs w:val="14"/>
                <w:lang w:eastAsia="el-GR"/>
              </w:rPr>
            </w:pPr>
            <w:r w:rsidRPr="006B4FB1">
              <w:rPr>
                <w:rFonts w:ascii="Segoe UI" w:eastAsia="Times New Roman" w:hAnsi="Segoe UI" w:cs="Segoe UI"/>
                <w:b/>
                <w:bCs/>
                <w:color w:val="000000" w:themeColor="text1"/>
                <w:kern w:val="24"/>
                <w:sz w:val="14"/>
                <w:szCs w:val="14"/>
                <w:lang w:eastAsia="el-GR"/>
              </w:rPr>
              <w:t>Ρευστότητα</w:t>
            </w:r>
          </w:p>
        </w:tc>
        <w:tc>
          <w:tcPr>
            <w:tcW w:w="478" w:type="pct"/>
            <w:tcBorders>
              <w:top w:val="single" w:sz="8" w:space="0" w:color="000000"/>
              <w:left w:val="nil"/>
              <w:bottom w:val="nil"/>
              <w:right w:val="nil"/>
            </w:tcBorders>
            <w:shd w:val="clear" w:color="auto" w:fill="F2F2F2" w:themeFill="background1" w:themeFillShade="F2"/>
            <w:vAlign w:val="center"/>
          </w:tcPr>
          <w:p w:rsidR="001A39BC" w:rsidRPr="004152D9" w:rsidRDefault="001A39BC" w:rsidP="001A39BC">
            <w:pPr>
              <w:ind w:right="148"/>
              <w:jc w:val="right"/>
              <w:rPr>
                <w:rFonts w:ascii="Segoe UI" w:eastAsia="Times New Roman" w:hAnsi="Segoe UI" w:cs="Segoe UI"/>
                <w:b/>
                <w:bCs/>
                <w:color w:val="000000" w:themeColor="text1"/>
                <w:kern w:val="24"/>
                <w:sz w:val="14"/>
                <w:szCs w:val="16"/>
                <w:lang w:eastAsia="el-GR"/>
              </w:rPr>
            </w:pPr>
          </w:p>
        </w:tc>
        <w:tc>
          <w:tcPr>
            <w:tcW w:w="478" w:type="pct"/>
            <w:tcBorders>
              <w:top w:val="single" w:sz="8" w:space="0" w:color="000000"/>
              <w:left w:val="nil"/>
              <w:bottom w:val="nil"/>
              <w:right w:val="nil"/>
            </w:tcBorders>
            <w:shd w:val="clear" w:color="auto" w:fill="F2F2F2" w:themeFill="background1" w:themeFillShade="F2"/>
            <w:vAlign w:val="center"/>
          </w:tcPr>
          <w:p w:rsidR="001A39BC" w:rsidRPr="004152D9" w:rsidRDefault="001A39BC" w:rsidP="001A39BC">
            <w:pPr>
              <w:ind w:right="148"/>
              <w:jc w:val="right"/>
              <w:rPr>
                <w:rFonts w:ascii="Segoe UI" w:eastAsia="Times New Roman" w:hAnsi="Segoe UI" w:cs="Segoe UI"/>
                <w:b/>
                <w:bCs/>
                <w:color w:val="000000" w:themeColor="text1"/>
                <w:kern w:val="24"/>
                <w:sz w:val="14"/>
                <w:szCs w:val="16"/>
                <w:lang w:eastAsia="el-GR"/>
              </w:rPr>
            </w:pPr>
          </w:p>
        </w:tc>
        <w:tc>
          <w:tcPr>
            <w:tcW w:w="478" w:type="pct"/>
            <w:tcBorders>
              <w:top w:val="single" w:sz="8" w:space="0" w:color="000000"/>
              <w:left w:val="nil"/>
              <w:bottom w:val="nil"/>
              <w:right w:val="nil"/>
            </w:tcBorders>
            <w:shd w:val="clear" w:color="auto" w:fill="F2F2F2" w:themeFill="background1" w:themeFillShade="F2"/>
          </w:tcPr>
          <w:p w:rsidR="001A39BC" w:rsidRPr="006B4FB1" w:rsidRDefault="001A39BC" w:rsidP="001A39BC">
            <w:pPr>
              <w:ind w:right="126"/>
              <w:jc w:val="right"/>
              <w:rPr>
                <w:rFonts w:ascii="Segoe UI" w:eastAsia="Times New Roman" w:hAnsi="Segoe UI" w:cs="Segoe UI"/>
                <w:kern w:val="24"/>
                <w:sz w:val="14"/>
                <w:szCs w:val="14"/>
                <w:highlight w:val="yellow"/>
                <w:lang w:eastAsia="el-GR"/>
              </w:rPr>
            </w:pPr>
          </w:p>
        </w:tc>
        <w:tc>
          <w:tcPr>
            <w:tcW w:w="478" w:type="pct"/>
            <w:tcBorders>
              <w:top w:val="single" w:sz="8" w:space="0" w:color="000000"/>
              <w:left w:val="nil"/>
              <w:bottom w:val="nil"/>
              <w:right w:val="nil"/>
            </w:tcBorders>
            <w:shd w:val="clear" w:color="auto" w:fill="F2F2F2" w:themeFill="background1" w:themeFillShade="F2"/>
            <w:vAlign w:val="center"/>
          </w:tcPr>
          <w:p w:rsidR="001A39BC" w:rsidRPr="006B4FB1" w:rsidRDefault="001A39BC" w:rsidP="001A39BC">
            <w:pPr>
              <w:ind w:right="126"/>
              <w:jc w:val="right"/>
              <w:rPr>
                <w:rFonts w:ascii="Segoe UI" w:eastAsia="Times New Roman" w:hAnsi="Segoe UI" w:cs="Segoe UI"/>
                <w:kern w:val="24"/>
                <w:sz w:val="14"/>
                <w:szCs w:val="14"/>
                <w:highlight w:val="yellow"/>
                <w:lang w:eastAsia="el-GR"/>
              </w:rPr>
            </w:pPr>
          </w:p>
        </w:tc>
        <w:tc>
          <w:tcPr>
            <w:tcW w:w="478" w:type="pct"/>
            <w:tcBorders>
              <w:top w:val="single" w:sz="8" w:space="0" w:color="000000"/>
              <w:left w:val="nil"/>
              <w:bottom w:val="nil"/>
              <w:right w:val="nil"/>
            </w:tcBorders>
            <w:shd w:val="clear" w:color="auto" w:fill="F2F2F2" w:themeFill="background1" w:themeFillShade="F2"/>
            <w:vAlign w:val="center"/>
          </w:tcPr>
          <w:p w:rsidR="001A39BC" w:rsidRPr="006B4FB1" w:rsidRDefault="001A39BC" w:rsidP="001A39BC">
            <w:pPr>
              <w:ind w:right="241"/>
              <w:jc w:val="right"/>
              <w:rPr>
                <w:rFonts w:ascii="Segoe UI" w:eastAsia="Times New Roman" w:hAnsi="Segoe UI" w:cs="Segoe UI"/>
                <w:kern w:val="24"/>
                <w:sz w:val="14"/>
                <w:szCs w:val="14"/>
                <w:highlight w:val="yellow"/>
                <w:lang w:eastAsia="el-GR"/>
              </w:rPr>
            </w:pPr>
          </w:p>
        </w:tc>
        <w:tc>
          <w:tcPr>
            <w:tcW w:w="478" w:type="pct"/>
            <w:tcBorders>
              <w:top w:val="single" w:sz="8" w:space="0" w:color="000000"/>
              <w:left w:val="nil"/>
              <w:bottom w:val="nil"/>
              <w:right w:val="nil"/>
            </w:tcBorders>
            <w:shd w:val="clear" w:color="auto" w:fill="F2F2F2" w:themeFill="background1" w:themeFillShade="F2"/>
            <w:vAlign w:val="center"/>
          </w:tcPr>
          <w:p w:rsidR="001A39BC" w:rsidRPr="006B4FB1" w:rsidRDefault="001A39BC" w:rsidP="001A39BC">
            <w:pPr>
              <w:ind w:right="241"/>
              <w:jc w:val="right"/>
              <w:rPr>
                <w:rFonts w:ascii="Segoe UI" w:eastAsia="Times New Roman" w:hAnsi="Segoe UI" w:cs="Segoe UI"/>
                <w:kern w:val="24"/>
                <w:sz w:val="14"/>
                <w:szCs w:val="14"/>
                <w:highlight w:val="yellow"/>
                <w:lang w:eastAsia="el-GR"/>
              </w:rPr>
            </w:pPr>
          </w:p>
        </w:tc>
      </w:tr>
      <w:tr w:rsidR="001A39BC" w:rsidRPr="006B4FB1" w:rsidTr="005610B3">
        <w:trPr>
          <w:trHeight w:val="227"/>
        </w:trPr>
        <w:tc>
          <w:tcPr>
            <w:tcW w:w="2132" w:type="pct"/>
            <w:tcBorders>
              <w:top w:val="nil"/>
              <w:left w:val="nil"/>
              <w:bottom w:val="nil"/>
              <w:right w:val="nil"/>
            </w:tcBorders>
            <w:shd w:val="clear" w:color="auto" w:fill="auto"/>
            <w:tcMar>
              <w:top w:w="15" w:type="dxa"/>
              <w:left w:w="41" w:type="dxa"/>
              <w:bottom w:w="0" w:type="dxa"/>
              <w:right w:w="15" w:type="dxa"/>
            </w:tcMar>
            <w:vAlign w:val="center"/>
            <w:hideMark/>
          </w:tcPr>
          <w:p w:rsidR="001A39BC" w:rsidRPr="006B4FB1" w:rsidRDefault="001A39BC" w:rsidP="001A39BC">
            <w:pPr>
              <w:rPr>
                <w:rFonts w:ascii="Segoe UI" w:eastAsia="Times New Roman" w:hAnsi="Segoe UI" w:cs="Segoe UI"/>
                <w:sz w:val="14"/>
                <w:szCs w:val="14"/>
                <w:lang w:eastAsia="el-GR"/>
              </w:rPr>
            </w:pPr>
            <w:r w:rsidRPr="006B4FB1">
              <w:rPr>
                <w:rFonts w:ascii="Segoe UI" w:eastAsia="Times New Roman" w:hAnsi="Segoe UI" w:cs="Segoe UI"/>
                <w:color w:val="000000" w:themeColor="text1"/>
                <w:kern w:val="24"/>
                <w:sz w:val="14"/>
                <w:szCs w:val="14"/>
                <w:lang w:eastAsia="el-GR"/>
              </w:rPr>
              <w:t xml:space="preserve">Δάνεια (μετά </w:t>
            </w:r>
            <w:r>
              <w:rPr>
                <w:rFonts w:ascii="Segoe UI" w:eastAsia="Times New Roman" w:hAnsi="Segoe UI" w:cs="Segoe UI"/>
                <w:color w:val="000000" w:themeColor="text1"/>
                <w:kern w:val="24"/>
                <w:sz w:val="14"/>
                <w:szCs w:val="14"/>
                <w:lang w:eastAsia="el-GR"/>
              </w:rPr>
              <w:t xml:space="preserve">από </w:t>
            </w:r>
            <w:r w:rsidRPr="006B4FB1">
              <w:rPr>
                <w:rFonts w:ascii="Segoe UI" w:eastAsia="Times New Roman" w:hAnsi="Segoe UI" w:cs="Segoe UI"/>
                <w:color w:val="000000" w:themeColor="text1"/>
                <w:kern w:val="24"/>
                <w:sz w:val="14"/>
                <w:szCs w:val="14"/>
                <w:lang w:eastAsia="el-GR"/>
              </w:rPr>
              <w:t>προβλέψε</w:t>
            </w:r>
            <w:r>
              <w:rPr>
                <w:rFonts w:ascii="Segoe UI" w:eastAsia="Times New Roman" w:hAnsi="Segoe UI" w:cs="Segoe UI"/>
                <w:color w:val="000000" w:themeColor="text1"/>
                <w:kern w:val="24"/>
                <w:sz w:val="14"/>
                <w:szCs w:val="14"/>
                <w:lang w:eastAsia="el-GR"/>
              </w:rPr>
              <w:t>ις</w:t>
            </w:r>
            <w:r w:rsidRPr="006B4FB1">
              <w:rPr>
                <w:rFonts w:ascii="Segoe UI" w:eastAsia="Times New Roman" w:hAnsi="Segoe UI" w:cs="Segoe UI"/>
                <w:color w:val="000000" w:themeColor="text1"/>
                <w:kern w:val="24"/>
                <w:sz w:val="14"/>
                <w:szCs w:val="14"/>
                <w:lang w:eastAsia="el-GR"/>
              </w:rPr>
              <w:t xml:space="preserve">) προς καταθέσεις </w:t>
            </w:r>
          </w:p>
        </w:tc>
        <w:tc>
          <w:tcPr>
            <w:tcW w:w="478" w:type="pct"/>
            <w:tcBorders>
              <w:top w:val="nil"/>
              <w:left w:val="nil"/>
              <w:bottom w:val="nil"/>
              <w:right w:val="nil"/>
            </w:tcBorders>
            <w:vAlign w:val="center"/>
          </w:tcPr>
          <w:p w:rsidR="001A39BC" w:rsidRPr="001A39BC" w:rsidRDefault="001A39BC" w:rsidP="001A39BC">
            <w:pPr>
              <w:ind w:right="148"/>
              <w:jc w:val="right"/>
              <w:rPr>
                <w:rFonts w:ascii="Segoe UI" w:eastAsia="Times New Roman" w:hAnsi="Segoe UI" w:cs="Segoe UI"/>
                <w:bCs/>
                <w:color w:val="000000" w:themeColor="text1"/>
                <w:kern w:val="24"/>
                <w:sz w:val="14"/>
                <w:szCs w:val="16"/>
                <w:highlight w:val="yellow"/>
                <w:lang w:eastAsia="el-GR"/>
              </w:rPr>
            </w:pPr>
            <w:r w:rsidRPr="001A39BC">
              <w:rPr>
                <w:rFonts w:ascii="Segoe UI" w:eastAsia="Times New Roman" w:hAnsi="Segoe UI" w:cs="Segoe UI"/>
                <w:bCs/>
                <w:color w:val="000000" w:themeColor="text1"/>
                <w:kern w:val="24"/>
                <w:sz w:val="14"/>
                <w:szCs w:val="16"/>
                <w:lang w:eastAsia="el-GR"/>
              </w:rPr>
              <w:t>65%</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65%</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64%</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67%</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68%</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69%</w:t>
            </w:r>
          </w:p>
        </w:tc>
      </w:tr>
      <w:tr w:rsidR="001A39BC" w:rsidRPr="006B4FB1" w:rsidTr="005610B3">
        <w:trPr>
          <w:trHeight w:val="227"/>
        </w:trPr>
        <w:tc>
          <w:tcPr>
            <w:tcW w:w="2132" w:type="pct"/>
            <w:tcBorders>
              <w:top w:val="nil"/>
              <w:left w:val="nil"/>
              <w:bottom w:val="nil"/>
              <w:right w:val="nil"/>
            </w:tcBorders>
            <w:shd w:val="clear" w:color="auto" w:fill="auto"/>
            <w:tcMar>
              <w:top w:w="15" w:type="dxa"/>
              <w:left w:w="41" w:type="dxa"/>
              <w:bottom w:w="0" w:type="dxa"/>
              <w:right w:w="15" w:type="dxa"/>
            </w:tcMar>
            <w:vAlign w:val="center"/>
          </w:tcPr>
          <w:p w:rsidR="001A39BC" w:rsidRPr="006B4FB1" w:rsidRDefault="001A39BC" w:rsidP="001A39BC">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Δείκτης Κάλυψης Ρευστότητας (</w:t>
            </w:r>
            <w:r w:rsidRPr="006B4FB1">
              <w:rPr>
                <w:rFonts w:ascii="Segoe UI" w:eastAsia="Segoe UI" w:hAnsi="Segoe UI" w:cs="Segoe UI"/>
                <w:color w:val="000000"/>
                <w:kern w:val="24"/>
                <w:sz w:val="14"/>
                <w:szCs w:val="14"/>
                <w:lang w:val="en-US" w:eastAsia="el-GR"/>
              </w:rPr>
              <w:t>LCR</w:t>
            </w:r>
            <w:r w:rsidRPr="006B4FB1">
              <w:rPr>
                <w:rFonts w:ascii="Segoe UI" w:eastAsia="Segoe UI" w:hAnsi="Segoe UI" w:cs="Segoe UI"/>
                <w:color w:val="000000"/>
                <w:kern w:val="24"/>
                <w:sz w:val="14"/>
                <w:szCs w:val="14"/>
                <w:lang w:eastAsia="el-GR"/>
              </w:rPr>
              <w:t>)</w:t>
            </w:r>
          </w:p>
        </w:tc>
        <w:tc>
          <w:tcPr>
            <w:tcW w:w="478" w:type="pct"/>
            <w:tcBorders>
              <w:top w:val="nil"/>
              <w:left w:val="nil"/>
              <w:bottom w:val="nil"/>
              <w:right w:val="nil"/>
            </w:tcBorders>
            <w:vAlign w:val="center"/>
          </w:tcPr>
          <w:p w:rsidR="001A39BC" w:rsidRPr="001A39BC" w:rsidRDefault="001A39BC" w:rsidP="001A39BC">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val="en-US" w:eastAsia="el-GR"/>
              </w:rPr>
              <w:t>196</w:t>
            </w:r>
            <w:r w:rsidRPr="001A39BC">
              <w:rPr>
                <w:rFonts w:ascii="Segoe UI" w:eastAsia="Times New Roman" w:hAnsi="Segoe UI" w:cs="Segoe UI"/>
                <w:bCs/>
                <w:color w:val="000000" w:themeColor="text1"/>
                <w:kern w:val="24"/>
                <w:sz w:val="14"/>
                <w:szCs w:val="16"/>
                <w:lang w:eastAsia="el-GR"/>
              </w:rPr>
              <w:t>%</w:t>
            </w:r>
          </w:p>
        </w:tc>
        <w:tc>
          <w:tcPr>
            <w:tcW w:w="478" w:type="pct"/>
            <w:tcBorders>
              <w:top w:val="nil"/>
              <w:left w:val="nil"/>
              <w:bottom w:val="nil"/>
              <w:right w:val="nil"/>
            </w:tcBorders>
            <w:vAlign w:val="center"/>
          </w:tcPr>
          <w:p w:rsidR="001A39BC" w:rsidRPr="00CC318B" w:rsidRDefault="001A39BC" w:rsidP="001A39BC">
            <w:pPr>
              <w:ind w:right="148"/>
              <w:jc w:val="right"/>
              <w:rPr>
                <w:rFonts w:ascii="Segoe UI" w:eastAsia="Times New Roman" w:hAnsi="Segoe UI" w:cs="Segoe UI"/>
                <w:bCs/>
                <w:color w:val="000000" w:themeColor="text1"/>
                <w:kern w:val="24"/>
                <w:sz w:val="14"/>
                <w:szCs w:val="16"/>
                <w:lang w:val="en-US" w:eastAsia="el-GR"/>
              </w:rPr>
            </w:pPr>
            <w:r>
              <w:rPr>
                <w:rFonts w:ascii="Segoe UI" w:eastAsia="Times New Roman" w:hAnsi="Segoe UI" w:cs="Segoe UI"/>
                <w:bCs/>
                <w:color w:val="000000" w:themeColor="text1"/>
                <w:kern w:val="24"/>
                <w:sz w:val="14"/>
                <w:szCs w:val="16"/>
                <w:lang w:val="en-US" w:eastAsia="el-GR"/>
              </w:rPr>
              <w:t>216%</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171%</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207%</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198%</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171%</w:t>
            </w:r>
          </w:p>
        </w:tc>
      </w:tr>
      <w:tr w:rsidR="001A39BC" w:rsidRPr="006B4FB1" w:rsidTr="005610B3">
        <w:trPr>
          <w:trHeight w:val="227"/>
        </w:trPr>
        <w:tc>
          <w:tcPr>
            <w:tcW w:w="2132"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1A39BC" w:rsidRPr="006B4FB1" w:rsidRDefault="001A39BC" w:rsidP="001A39BC">
            <w:pPr>
              <w:rPr>
                <w:rFonts w:ascii="Segoe UI" w:eastAsia="Times New Roman" w:hAnsi="Segoe UI" w:cs="Segoe UI"/>
                <w:sz w:val="14"/>
                <w:szCs w:val="14"/>
                <w:lang w:eastAsia="el-GR"/>
              </w:rPr>
            </w:pPr>
            <w:r w:rsidRPr="006B4FB1">
              <w:rPr>
                <w:rFonts w:ascii="Segoe UI" w:eastAsia="Times New Roman" w:hAnsi="Segoe UI" w:cs="Segoe UI"/>
                <w:b/>
                <w:bCs/>
                <w:color w:val="000000" w:themeColor="text1"/>
                <w:kern w:val="24"/>
                <w:sz w:val="14"/>
                <w:szCs w:val="14"/>
                <w:lang w:eastAsia="el-GR"/>
              </w:rPr>
              <w:t>Κε</w:t>
            </w:r>
            <w:r w:rsidRPr="006B4FB1">
              <w:rPr>
                <w:rFonts w:ascii="Segoe UI" w:eastAsia="Times New Roman" w:hAnsi="Segoe UI" w:cs="Segoe UI"/>
                <w:b/>
                <w:bCs/>
                <w:color w:val="000000" w:themeColor="text1"/>
                <w:kern w:val="24"/>
                <w:sz w:val="14"/>
                <w:szCs w:val="14"/>
                <w:shd w:val="clear" w:color="auto" w:fill="F2F2F2" w:themeFill="background1" w:themeFillShade="F2"/>
                <w:lang w:eastAsia="el-GR"/>
              </w:rPr>
              <w:t>ρδοφορία</w:t>
            </w:r>
          </w:p>
        </w:tc>
        <w:tc>
          <w:tcPr>
            <w:tcW w:w="478" w:type="pct"/>
            <w:tcBorders>
              <w:top w:val="nil"/>
              <w:left w:val="nil"/>
              <w:bottom w:val="nil"/>
              <w:right w:val="nil"/>
            </w:tcBorders>
            <w:shd w:val="clear" w:color="auto" w:fill="F2F2F2" w:themeFill="background1" w:themeFillShade="F2"/>
            <w:vAlign w:val="center"/>
          </w:tcPr>
          <w:p w:rsidR="001A39BC" w:rsidRPr="001A39BC" w:rsidRDefault="001A39BC" w:rsidP="001A39BC">
            <w:pPr>
              <w:jc w:val="right"/>
              <w:rPr>
                <w:rFonts w:ascii="Segoe UI" w:hAnsi="Segoe UI" w:cs="Segoe UI"/>
                <w:sz w:val="14"/>
                <w:szCs w:val="16"/>
                <w:highlight w:val="yellow"/>
              </w:rPr>
            </w:pPr>
          </w:p>
        </w:tc>
        <w:tc>
          <w:tcPr>
            <w:tcW w:w="478" w:type="pct"/>
            <w:tcBorders>
              <w:top w:val="nil"/>
              <w:left w:val="nil"/>
              <w:bottom w:val="nil"/>
              <w:right w:val="nil"/>
            </w:tcBorders>
            <w:shd w:val="clear" w:color="auto" w:fill="F2F2F2" w:themeFill="background1" w:themeFillShade="F2"/>
            <w:vAlign w:val="center"/>
          </w:tcPr>
          <w:p w:rsidR="001A39BC" w:rsidRPr="005610B3" w:rsidRDefault="001A39BC" w:rsidP="001A39BC">
            <w:pPr>
              <w:jc w:val="right"/>
              <w:rPr>
                <w:rFonts w:ascii="Segoe UI" w:hAnsi="Segoe UI" w:cs="Segoe UI"/>
                <w:sz w:val="14"/>
                <w:szCs w:val="16"/>
              </w:rPr>
            </w:pPr>
          </w:p>
        </w:tc>
        <w:tc>
          <w:tcPr>
            <w:tcW w:w="478" w:type="pct"/>
            <w:tcBorders>
              <w:top w:val="nil"/>
              <w:left w:val="nil"/>
              <w:bottom w:val="nil"/>
              <w:right w:val="nil"/>
            </w:tcBorders>
            <w:shd w:val="clear" w:color="auto" w:fill="F2F2F2" w:themeFill="background1" w:themeFillShade="F2"/>
            <w:vAlign w:val="center"/>
          </w:tcPr>
          <w:p w:rsidR="001A39BC" w:rsidRPr="005610B3" w:rsidRDefault="001A39BC" w:rsidP="001A39BC">
            <w:pPr>
              <w:jc w:val="right"/>
              <w:rPr>
                <w:rFonts w:ascii="Segoe UI" w:hAnsi="Segoe UI" w:cs="Segoe UI"/>
                <w:sz w:val="14"/>
                <w:szCs w:val="16"/>
              </w:rPr>
            </w:pPr>
          </w:p>
        </w:tc>
        <w:tc>
          <w:tcPr>
            <w:tcW w:w="478" w:type="pct"/>
            <w:tcBorders>
              <w:top w:val="nil"/>
              <w:left w:val="nil"/>
              <w:bottom w:val="nil"/>
              <w:right w:val="nil"/>
            </w:tcBorders>
            <w:shd w:val="clear" w:color="auto" w:fill="F2F2F2" w:themeFill="background1" w:themeFillShade="F2"/>
            <w:vAlign w:val="center"/>
          </w:tcPr>
          <w:p w:rsidR="001A39BC" w:rsidRPr="005610B3" w:rsidRDefault="001A39BC" w:rsidP="001A39BC">
            <w:pPr>
              <w:jc w:val="right"/>
              <w:rPr>
                <w:rFonts w:ascii="Segoe UI" w:hAnsi="Segoe UI" w:cs="Segoe UI"/>
                <w:sz w:val="14"/>
                <w:szCs w:val="16"/>
              </w:rPr>
            </w:pPr>
          </w:p>
        </w:tc>
        <w:tc>
          <w:tcPr>
            <w:tcW w:w="478" w:type="pct"/>
            <w:tcBorders>
              <w:top w:val="nil"/>
              <w:left w:val="nil"/>
              <w:bottom w:val="nil"/>
              <w:right w:val="nil"/>
            </w:tcBorders>
            <w:shd w:val="clear" w:color="auto" w:fill="F2F2F2" w:themeFill="background1" w:themeFillShade="F2"/>
            <w:vAlign w:val="center"/>
          </w:tcPr>
          <w:p w:rsidR="001A39BC" w:rsidRPr="005610B3" w:rsidRDefault="001A39BC" w:rsidP="001A39BC">
            <w:pPr>
              <w:jc w:val="right"/>
              <w:rPr>
                <w:rFonts w:ascii="Segoe UI" w:hAnsi="Segoe UI" w:cs="Segoe UI"/>
                <w:sz w:val="14"/>
                <w:szCs w:val="16"/>
              </w:rPr>
            </w:pPr>
          </w:p>
        </w:tc>
        <w:tc>
          <w:tcPr>
            <w:tcW w:w="478" w:type="pct"/>
            <w:tcBorders>
              <w:top w:val="nil"/>
              <w:left w:val="nil"/>
              <w:bottom w:val="nil"/>
              <w:right w:val="nil"/>
            </w:tcBorders>
            <w:shd w:val="clear" w:color="auto" w:fill="F2F2F2" w:themeFill="background1" w:themeFillShade="F2"/>
            <w:vAlign w:val="center"/>
          </w:tcPr>
          <w:p w:rsidR="001A39BC" w:rsidRPr="005610B3" w:rsidRDefault="001A39BC" w:rsidP="001A39BC">
            <w:pPr>
              <w:jc w:val="right"/>
              <w:rPr>
                <w:rFonts w:ascii="Segoe UI" w:hAnsi="Segoe UI" w:cs="Segoe UI"/>
                <w:sz w:val="14"/>
                <w:szCs w:val="16"/>
              </w:rPr>
            </w:pPr>
          </w:p>
        </w:tc>
      </w:tr>
      <w:tr w:rsidR="001A39BC" w:rsidRPr="006B4FB1" w:rsidTr="0000442E">
        <w:trPr>
          <w:trHeight w:val="227"/>
        </w:trPr>
        <w:tc>
          <w:tcPr>
            <w:tcW w:w="2132" w:type="pct"/>
            <w:tcBorders>
              <w:top w:val="nil"/>
              <w:left w:val="nil"/>
              <w:bottom w:val="nil"/>
              <w:right w:val="nil"/>
            </w:tcBorders>
            <w:shd w:val="clear" w:color="auto" w:fill="auto"/>
            <w:tcMar>
              <w:top w:w="15" w:type="dxa"/>
              <w:left w:w="41" w:type="dxa"/>
              <w:bottom w:w="0" w:type="dxa"/>
              <w:right w:w="15" w:type="dxa"/>
            </w:tcMar>
            <w:vAlign w:val="center"/>
            <w:hideMark/>
          </w:tcPr>
          <w:p w:rsidR="001A39BC" w:rsidRPr="006B4FB1" w:rsidRDefault="001A39BC" w:rsidP="001A39BC">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Καθαρό επιτοκιακό περιθώριο</w:t>
            </w:r>
            <w:r w:rsidRPr="00A06532">
              <w:rPr>
                <w:rFonts w:ascii="Segoe UI" w:eastAsia="Segoe UI" w:hAnsi="Segoe UI" w:cs="Segoe UI"/>
                <w:color w:val="000000"/>
                <w:kern w:val="24"/>
                <w:sz w:val="14"/>
                <w:szCs w:val="14"/>
                <w:vertAlign w:val="superscript"/>
                <w:lang w:eastAsia="el-GR"/>
              </w:rPr>
              <w:t>1</w:t>
            </w:r>
            <w:r w:rsidRPr="006B4FB1">
              <w:rPr>
                <w:rFonts w:ascii="Segoe UI" w:eastAsia="Segoe UI" w:hAnsi="Segoe UI" w:cs="Segoe UI"/>
                <w:color w:val="000000"/>
                <w:kern w:val="24"/>
                <w:sz w:val="14"/>
                <w:szCs w:val="14"/>
                <w:lang w:eastAsia="el-GR"/>
              </w:rPr>
              <w:t xml:space="preserve"> (μ.β.)</w:t>
            </w:r>
          </w:p>
        </w:tc>
        <w:tc>
          <w:tcPr>
            <w:tcW w:w="478" w:type="pct"/>
            <w:tcBorders>
              <w:top w:val="nil"/>
              <w:left w:val="nil"/>
              <w:bottom w:val="nil"/>
              <w:right w:val="nil"/>
            </w:tcBorders>
            <w:vAlign w:val="center"/>
          </w:tcPr>
          <w:p w:rsidR="001A39BC" w:rsidRPr="001A39BC" w:rsidRDefault="001A39BC" w:rsidP="001A39BC">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 xml:space="preserve">222 </w:t>
            </w:r>
          </w:p>
        </w:tc>
        <w:tc>
          <w:tcPr>
            <w:tcW w:w="478" w:type="pct"/>
            <w:tcBorders>
              <w:top w:val="nil"/>
              <w:left w:val="nil"/>
              <w:bottom w:val="nil"/>
              <w:right w:val="nil"/>
            </w:tcBorders>
            <w:vAlign w:val="center"/>
          </w:tcPr>
          <w:p w:rsidR="001A39BC" w:rsidRPr="00E9061A" w:rsidRDefault="001A39BC" w:rsidP="001A39BC">
            <w:pPr>
              <w:ind w:right="148"/>
              <w:jc w:val="right"/>
              <w:rPr>
                <w:rFonts w:ascii="Segoe UI" w:eastAsia="Times New Roman" w:hAnsi="Segoe UI" w:cs="Segoe UI"/>
                <w:bCs/>
                <w:color w:val="000000" w:themeColor="text1"/>
                <w:kern w:val="24"/>
                <w:sz w:val="14"/>
                <w:szCs w:val="16"/>
                <w:lang w:eastAsia="el-GR"/>
              </w:rPr>
            </w:pPr>
            <w:r w:rsidRPr="00E9061A">
              <w:rPr>
                <w:rFonts w:ascii="Segoe UI" w:eastAsia="Times New Roman" w:hAnsi="Segoe UI" w:cs="Segoe UI"/>
                <w:bCs/>
                <w:color w:val="000000" w:themeColor="text1"/>
                <w:kern w:val="24"/>
                <w:sz w:val="14"/>
                <w:szCs w:val="16"/>
                <w:lang w:eastAsia="el-GR"/>
              </w:rPr>
              <w:t xml:space="preserve">216 </w:t>
            </w:r>
          </w:p>
        </w:tc>
        <w:tc>
          <w:tcPr>
            <w:tcW w:w="478" w:type="pct"/>
            <w:tcBorders>
              <w:top w:val="nil"/>
              <w:left w:val="nil"/>
              <w:bottom w:val="nil"/>
              <w:right w:val="nil"/>
            </w:tcBorders>
            <w:vAlign w:val="center"/>
          </w:tcPr>
          <w:p w:rsidR="001A39BC" w:rsidRPr="00E9061A" w:rsidRDefault="001A39BC" w:rsidP="001A39BC">
            <w:pPr>
              <w:ind w:right="148"/>
              <w:jc w:val="right"/>
              <w:rPr>
                <w:rFonts w:ascii="Segoe UI" w:eastAsia="Times New Roman" w:hAnsi="Segoe UI" w:cs="Segoe UI"/>
                <w:bCs/>
                <w:color w:val="000000" w:themeColor="text1"/>
                <w:kern w:val="24"/>
                <w:sz w:val="14"/>
                <w:szCs w:val="16"/>
                <w:lang w:eastAsia="el-GR"/>
              </w:rPr>
            </w:pPr>
            <w:r w:rsidRPr="00E9061A">
              <w:rPr>
                <w:rFonts w:ascii="Segoe UI" w:eastAsia="Times New Roman" w:hAnsi="Segoe UI" w:cs="Segoe UI"/>
                <w:bCs/>
                <w:color w:val="000000" w:themeColor="text1"/>
                <w:kern w:val="24"/>
                <w:sz w:val="14"/>
                <w:szCs w:val="16"/>
                <w:lang w:eastAsia="el-GR"/>
              </w:rPr>
              <w:t xml:space="preserve">236 </w:t>
            </w:r>
          </w:p>
        </w:tc>
        <w:tc>
          <w:tcPr>
            <w:tcW w:w="478" w:type="pct"/>
            <w:tcBorders>
              <w:top w:val="nil"/>
              <w:left w:val="nil"/>
              <w:bottom w:val="nil"/>
              <w:right w:val="nil"/>
            </w:tcBorders>
            <w:shd w:val="clear" w:color="auto" w:fill="auto"/>
            <w:vAlign w:val="center"/>
          </w:tcPr>
          <w:p w:rsidR="001A39BC" w:rsidRPr="00E9061A" w:rsidRDefault="001A39BC" w:rsidP="001A39BC">
            <w:pPr>
              <w:ind w:right="148"/>
              <w:jc w:val="right"/>
              <w:rPr>
                <w:rFonts w:ascii="Segoe UI" w:eastAsia="Times New Roman" w:hAnsi="Segoe UI" w:cs="Segoe UI"/>
                <w:bCs/>
                <w:color w:val="000000" w:themeColor="text1"/>
                <w:kern w:val="24"/>
                <w:sz w:val="14"/>
                <w:szCs w:val="16"/>
                <w:lang w:eastAsia="el-GR"/>
              </w:rPr>
            </w:pPr>
            <w:r w:rsidRPr="00E9061A">
              <w:rPr>
                <w:rFonts w:ascii="Segoe UI" w:eastAsia="Times New Roman" w:hAnsi="Segoe UI" w:cs="Segoe UI"/>
                <w:bCs/>
                <w:color w:val="000000" w:themeColor="text1"/>
                <w:kern w:val="24"/>
                <w:sz w:val="14"/>
                <w:szCs w:val="16"/>
                <w:lang w:eastAsia="el-GR"/>
              </w:rPr>
              <w:t xml:space="preserve">261 </w:t>
            </w:r>
          </w:p>
        </w:tc>
        <w:tc>
          <w:tcPr>
            <w:tcW w:w="478" w:type="pct"/>
            <w:tcBorders>
              <w:top w:val="nil"/>
              <w:left w:val="nil"/>
              <w:bottom w:val="nil"/>
              <w:right w:val="nil"/>
            </w:tcBorders>
            <w:shd w:val="clear" w:color="auto" w:fill="auto"/>
            <w:vAlign w:val="center"/>
          </w:tcPr>
          <w:p w:rsidR="001A39BC" w:rsidRPr="00E9061A" w:rsidRDefault="001A39BC" w:rsidP="001A39BC">
            <w:pPr>
              <w:ind w:right="148"/>
              <w:jc w:val="right"/>
              <w:rPr>
                <w:rFonts w:ascii="Segoe UI" w:eastAsia="Times New Roman" w:hAnsi="Segoe UI" w:cs="Segoe UI"/>
                <w:bCs/>
                <w:color w:val="000000" w:themeColor="text1"/>
                <w:kern w:val="24"/>
                <w:sz w:val="14"/>
                <w:szCs w:val="16"/>
                <w:lang w:eastAsia="el-GR"/>
              </w:rPr>
            </w:pPr>
            <w:r w:rsidRPr="00E9061A">
              <w:rPr>
                <w:rFonts w:ascii="Segoe UI" w:eastAsia="Times New Roman" w:hAnsi="Segoe UI" w:cs="Segoe UI"/>
                <w:bCs/>
                <w:color w:val="000000" w:themeColor="text1"/>
                <w:kern w:val="24"/>
                <w:sz w:val="14"/>
                <w:szCs w:val="16"/>
                <w:lang w:eastAsia="el-GR"/>
              </w:rPr>
              <w:t xml:space="preserve">268 </w:t>
            </w:r>
          </w:p>
        </w:tc>
        <w:tc>
          <w:tcPr>
            <w:tcW w:w="478" w:type="pct"/>
            <w:tcBorders>
              <w:top w:val="nil"/>
              <w:left w:val="nil"/>
              <w:bottom w:val="nil"/>
              <w:right w:val="nil"/>
            </w:tcBorders>
            <w:shd w:val="clear" w:color="auto" w:fill="auto"/>
            <w:vAlign w:val="center"/>
          </w:tcPr>
          <w:p w:rsidR="001A39BC" w:rsidRPr="00E9061A" w:rsidRDefault="001A39BC" w:rsidP="001A39BC">
            <w:pPr>
              <w:ind w:right="148"/>
              <w:jc w:val="right"/>
              <w:rPr>
                <w:rFonts w:ascii="Segoe UI" w:eastAsia="Times New Roman" w:hAnsi="Segoe UI" w:cs="Segoe UI"/>
                <w:bCs/>
                <w:color w:val="000000" w:themeColor="text1"/>
                <w:kern w:val="24"/>
                <w:sz w:val="14"/>
                <w:szCs w:val="16"/>
                <w:lang w:eastAsia="el-GR"/>
              </w:rPr>
            </w:pPr>
            <w:r w:rsidRPr="00E9061A">
              <w:rPr>
                <w:rFonts w:ascii="Segoe UI" w:eastAsia="Times New Roman" w:hAnsi="Segoe UI" w:cs="Segoe UI"/>
                <w:bCs/>
                <w:color w:val="000000" w:themeColor="text1"/>
                <w:kern w:val="24"/>
                <w:sz w:val="14"/>
                <w:szCs w:val="16"/>
                <w:lang w:eastAsia="el-GR"/>
              </w:rPr>
              <w:t xml:space="preserve">278 </w:t>
            </w:r>
          </w:p>
        </w:tc>
      </w:tr>
      <w:tr w:rsidR="001A39BC" w:rsidRPr="006B4FB1" w:rsidTr="0000442E">
        <w:trPr>
          <w:trHeight w:val="227"/>
        </w:trPr>
        <w:tc>
          <w:tcPr>
            <w:tcW w:w="2132" w:type="pct"/>
            <w:tcBorders>
              <w:top w:val="nil"/>
              <w:left w:val="nil"/>
              <w:bottom w:val="nil"/>
              <w:right w:val="nil"/>
            </w:tcBorders>
            <w:shd w:val="clear" w:color="auto" w:fill="auto"/>
            <w:tcMar>
              <w:top w:w="15" w:type="dxa"/>
              <w:left w:w="41" w:type="dxa"/>
              <w:bottom w:w="0" w:type="dxa"/>
              <w:right w:w="15" w:type="dxa"/>
            </w:tcMar>
            <w:vAlign w:val="center"/>
          </w:tcPr>
          <w:p w:rsidR="001A39BC" w:rsidRPr="006B4FB1" w:rsidRDefault="001A39BC" w:rsidP="001A39BC">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 xml:space="preserve">Δείκτης κόστους προς οργανικά έσοδα </w:t>
            </w:r>
          </w:p>
        </w:tc>
        <w:tc>
          <w:tcPr>
            <w:tcW w:w="478" w:type="pct"/>
            <w:tcBorders>
              <w:top w:val="nil"/>
              <w:left w:val="nil"/>
              <w:bottom w:val="nil"/>
              <w:right w:val="nil"/>
            </w:tcBorders>
            <w:vAlign w:val="center"/>
          </w:tcPr>
          <w:p w:rsidR="001A39BC" w:rsidRPr="001A39BC" w:rsidRDefault="001A39BC" w:rsidP="001A39BC">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54%</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60%</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60%</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62%</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59%</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55%</w:t>
            </w:r>
          </w:p>
        </w:tc>
      </w:tr>
      <w:tr w:rsidR="001A39BC" w:rsidRPr="006B4FB1" w:rsidTr="0000442E">
        <w:trPr>
          <w:trHeight w:val="227"/>
        </w:trPr>
        <w:tc>
          <w:tcPr>
            <w:tcW w:w="2132" w:type="pct"/>
            <w:tcBorders>
              <w:top w:val="nil"/>
              <w:left w:val="nil"/>
              <w:bottom w:val="nil"/>
              <w:right w:val="nil"/>
            </w:tcBorders>
            <w:shd w:val="clear" w:color="auto" w:fill="auto"/>
            <w:tcMar>
              <w:top w:w="15" w:type="dxa"/>
              <w:left w:w="41" w:type="dxa"/>
              <w:bottom w:w="0" w:type="dxa"/>
              <w:right w:w="15" w:type="dxa"/>
            </w:tcMar>
            <w:vAlign w:val="center"/>
          </w:tcPr>
          <w:p w:rsidR="001A39BC" w:rsidRPr="006B4FB1" w:rsidRDefault="001A39BC" w:rsidP="001A39BC">
            <w:pP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Περιθώριο </w:t>
            </w:r>
            <w:r>
              <w:rPr>
                <w:rFonts w:ascii="Segoe UI" w:eastAsia="Segoe UI" w:hAnsi="Segoe UI" w:cs="Segoe UI"/>
                <w:color w:val="000000"/>
                <w:kern w:val="24"/>
                <w:sz w:val="14"/>
                <w:szCs w:val="14"/>
                <w:lang w:eastAsia="el-GR"/>
              </w:rPr>
              <w:t xml:space="preserve">οργανικών </w:t>
            </w:r>
            <w:r w:rsidRPr="006B4FB1">
              <w:rPr>
                <w:rFonts w:ascii="Segoe UI" w:eastAsia="Segoe UI" w:hAnsi="Segoe UI" w:cs="Segoe UI"/>
                <w:color w:val="000000"/>
                <w:kern w:val="24"/>
                <w:sz w:val="14"/>
                <w:szCs w:val="14"/>
                <w:lang w:eastAsia="el-GR"/>
              </w:rPr>
              <w:t>κερδών προ προβλέψεων (μ.β.)</w:t>
            </w:r>
          </w:p>
        </w:tc>
        <w:tc>
          <w:tcPr>
            <w:tcW w:w="478" w:type="pct"/>
            <w:tcBorders>
              <w:top w:val="nil"/>
              <w:left w:val="nil"/>
              <w:bottom w:val="nil"/>
              <w:right w:val="nil"/>
            </w:tcBorders>
            <w:vAlign w:val="center"/>
          </w:tcPr>
          <w:p w:rsidR="001A39BC" w:rsidRPr="001A39BC" w:rsidRDefault="001A39BC" w:rsidP="001A39BC">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236</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181</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188</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189</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205</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222</w:t>
            </w:r>
          </w:p>
        </w:tc>
      </w:tr>
      <w:tr w:rsidR="001A39BC" w:rsidRPr="006B4FB1" w:rsidTr="0000442E">
        <w:trPr>
          <w:trHeight w:val="227"/>
        </w:trPr>
        <w:tc>
          <w:tcPr>
            <w:tcW w:w="2132" w:type="pct"/>
            <w:tcBorders>
              <w:top w:val="nil"/>
              <w:left w:val="nil"/>
              <w:bottom w:val="nil"/>
              <w:right w:val="nil"/>
            </w:tcBorders>
            <w:shd w:val="clear" w:color="auto" w:fill="auto"/>
            <w:tcMar>
              <w:top w:w="15" w:type="dxa"/>
              <w:left w:w="41" w:type="dxa"/>
              <w:bottom w:w="0" w:type="dxa"/>
              <w:right w:w="15" w:type="dxa"/>
            </w:tcMar>
            <w:vAlign w:val="center"/>
            <w:hideMark/>
          </w:tcPr>
          <w:p w:rsidR="001A39BC" w:rsidRPr="006B4FB1" w:rsidRDefault="001A39BC" w:rsidP="001A39BC">
            <w:pPr>
              <w:pStyle w:val="NormalWeb"/>
              <w:spacing w:before="0" w:beforeAutospacing="0" w:after="0" w:afterAutospacing="0"/>
              <w:rPr>
                <w:rFonts w:ascii="Segoe UI" w:hAnsi="Segoe UI" w:cs="Segoe UI"/>
                <w:sz w:val="14"/>
                <w:szCs w:val="14"/>
              </w:rPr>
            </w:pPr>
            <w:r w:rsidRPr="006B4FB1">
              <w:rPr>
                <w:rFonts w:ascii="Segoe UI" w:eastAsia="Segoe UI" w:hAnsi="Segoe UI" w:cs="Segoe UI"/>
                <w:color w:val="000000"/>
                <w:kern w:val="24"/>
                <w:sz w:val="14"/>
                <w:szCs w:val="14"/>
                <w:lang w:val="en-US" w:eastAsia="el-GR"/>
              </w:rPr>
              <w:t>K</w:t>
            </w:r>
            <w:r w:rsidRPr="006B4FB1">
              <w:rPr>
                <w:rFonts w:ascii="Segoe UI" w:eastAsia="Segoe UI" w:hAnsi="Segoe UI" w:cs="Segoe UI"/>
                <w:color w:val="000000"/>
                <w:kern w:val="24"/>
                <w:sz w:val="14"/>
                <w:szCs w:val="14"/>
                <w:lang w:eastAsia="el-GR"/>
              </w:rPr>
              <w:t>όστος πιστωτικού κινδύνου (μ.β.)</w:t>
            </w:r>
          </w:p>
        </w:tc>
        <w:tc>
          <w:tcPr>
            <w:tcW w:w="478" w:type="pct"/>
            <w:tcBorders>
              <w:top w:val="nil"/>
              <w:left w:val="nil"/>
              <w:bottom w:val="nil"/>
              <w:right w:val="nil"/>
            </w:tcBorders>
            <w:vAlign w:val="center"/>
          </w:tcPr>
          <w:p w:rsidR="001A39BC" w:rsidRPr="001A39BC" w:rsidRDefault="001A39BC" w:rsidP="001A39BC">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103</w:t>
            </w:r>
            <w:r w:rsidRPr="001A39BC">
              <w:rPr>
                <w:rFonts w:ascii="Segoe UI" w:eastAsia="Times New Roman" w:hAnsi="Segoe UI" w:cs="Segoe UI"/>
                <w:bCs/>
                <w:color w:val="000000" w:themeColor="text1"/>
                <w:kern w:val="24"/>
                <w:sz w:val="14"/>
                <w:szCs w:val="16"/>
                <w:vertAlign w:val="superscript"/>
                <w:lang w:eastAsia="el-GR"/>
              </w:rPr>
              <w:t>2</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92</w:t>
            </w:r>
            <w:r w:rsidRPr="00F27D42">
              <w:rPr>
                <w:rFonts w:ascii="Segoe UI" w:eastAsia="Times New Roman" w:hAnsi="Segoe UI" w:cs="Segoe UI"/>
                <w:bCs/>
                <w:color w:val="000000" w:themeColor="text1"/>
                <w:kern w:val="24"/>
                <w:sz w:val="14"/>
                <w:szCs w:val="16"/>
                <w:vertAlign w:val="superscript"/>
                <w:lang w:eastAsia="el-GR"/>
              </w:rPr>
              <w:t>2</w:t>
            </w:r>
            <w:r w:rsidRPr="005610B3">
              <w:rPr>
                <w:rFonts w:ascii="Segoe UI" w:eastAsia="Times New Roman" w:hAnsi="Segoe UI" w:cs="Segoe UI"/>
                <w:bCs/>
                <w:color w:val="000000" w:themeColor="text1"/>
                <w:kern w:val="24"/>
                <w:sz w:val="14"/>
                <w:szCs w:val="16"/>
                <w:lang w:eastAsia="el-GR"/>
              </w:rPr>
              <w:t xml:space="preserve"> </w:t>
            </w:r>
          </w:p>
        </w:tc>
        <w:tc>
          <w:tcPr>
            <w:tcW w:w="478" w:type="pct"/>
            <w:tcBorders>
              <w:top w:val="nil"/>
              <w:left w:val="nil"/>
              <w:bottom w:val="nil"/>
              <w:right w:val="nil"/>
            </w:tcBorders>
            <w:vAlign w:val="center"/>
          </w:tcPr>
          <w:p w:rsidR="001A39BC" w:rsidRPr="005610B3" w:rsidRDefault="00D67B55" w:rsidP="00D67B55">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96</w:t>
            </w:r>
            <w:r w:rsidR="001A39BC">
              <w:rPr>
                <w:rFonts w:ascii="Segoe UI" w:eastAsia="Times New Roman" w:hAnsi="Segoe UI" w:cs="Segoe UI"/>
                <w:bCs/>
                <w:color w:val="000000" w:themeColor="text1"/>
                <w:kern w:val="24"/>
                <w:sz w:val="14"/>
                <w:szCs w:val="16"/>
                <w:vertAlign w:val="superscript"/>
                <w:lang w:eastAsia="el-GR"/>
              </w:rPr>
              <w:t>2</w:t>
            </w:r>
            <w:r w:rsidR="001A39BC" w:rsidRPr="005610B3">
              <w:rPr>
                <w:rFonts w:ascii="Segoe UI" w:eastAsia="Times New Roman" w:hAnsi="Segoe UI" w:cs="Segoe UI"/>
                <w:bCs/>
                <w:color w:val="000000" w:themeColor="text1"/>
                <w:kern w:val="24"/>
                <w:sz w:val="14"/>
                <w:szCs w:val="16"/>
                <w:lang w:eastAsia="el-GR"/>
              </w:rPr>
              <w:t xml:space="preserve"> </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 xml:space="preserve">147 </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 xml:space="preserve">81 </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 xml:space="preserve">131 </w:t>
            </w:r>
          </w:p>
        </w:tc>
      </w:tr>
      <w:tr w:rsidR="001A39BC" w:rsidRPr="006B4FB1" w:rsidTr="0000442E">
        <w:trPr>
          <w:trHeight w:val="227"/>
        </w:trPr>
        <w:tc>
          <w:tcPr>
            <w:tcW w:w="2132" w:type="pct"/>
            <w:tcBorders>
              <w:top w:val="nil"/>
              <w:left w:val="nil"/>
              <w:bottom w:val="nil"/>
              <w:right w:val="nil"/>
            </w:tcBorders>
            <w:shd w:val="clear" w:color="auto" w:fill="auto"/>
            <w:tcMar>
              <w:top w:w="15" w:type="dxa"/>
              <w:left w:w="41" w:type="dxa"/>
              <w:bottom w:w="0" w:type="dxa"/>
              <w:right w:w="15" w:type="dxa"/>
            </w:tcMar>
            <w:vAlign w:val="center"/>
          </w:tcPr>
          <w:p w:rsidR="001A39BC" w:rsidRPr="00D73236" w:rsidRDefault="001A39BC" w:rsidP="001A39BC">
            <w:pPr>
              <w:pStyle w:val="NormalWeb"/>
              <w:spacing w:before="0" w:beforeAutospacing="0" w:after="0" w:afterAutospacing="0"/>
              <w:rPr>
                <w:rFonts w:ascii="Segoe UI" w:eastAsia="Segoe UI" w:hAnsi="Segoe UI" w:cs="Segoe UI"/>
                <w:color w:val="000000"/>
                <w:kern w:val="24"/>
                <w:sz w:val="14"/>
                <w:szCs w:val="14"/>
                <w:lang w:eastAsia="el-GR"/>
              </w:rPr>
            </w:pPr>
            <w:r>
              <w:rPr>
                <w:rFonts w:ascii="Segoe UI" w:eastAsia="Segoe UI" w:hAnsi="Segoe UI" w:cs="Segoe UI"/>
                <w:color w:val="000000"/>
                <w:kern w:val="24"/>
                <w:sz w:val="14"/>
                <w:szCs w:val="14"/>
                <w:lang w:eastAsia="el-GR"/>
              </w:rPr>
              <w:t>Περιθώριο οργανικού κέρδους (μ.β.)</w:t>
            </w:r>
          </w:p>
        </w:tc>
        <w:tc>
          <w:tcPr>
            <w:tcW w:w="478" w:type="pct"/>
            <w:tcBorders>
              <w:top w:val="nil"/>
              <w:left w:val="nil"/>
              <w:bottom w:val="nil"/>
              <w:right w:val="nil"/>
            </w:tcBorders>
            <w:vAlign w:val="center"/>
          </w:tcPr>
          <w:p w:rsidR="001A39BC" w:rsidRPr="001A39BC" w:rsidRDefault="001A39BC" w:rsidP="001A39BC">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133</w:t>
            </w:r>
            <w:r w:rsidRPr="001A39BC">
              <w:rPr>
                <w:rFonts w:ascii="Segoe UI" w:eastAsia="Times New Roman" w:hAnsi="Segoe UI" w:cs="Segoe UI"/>
                <w:bCs/>
                <w:color w:val="000000" w:themeColor="text1"/>
                <w:kern w:val="24"/>
                <w:sz w:val="14"/>
                <w:szCs w:val="16"/>
                <w:vertAlign w:val="superscript"/>
                <w:lang w:eastAsia="el-GR"/>
              </w:rPr>
              <w:t>3</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89</w:t>
            </w:r>
            <w:r w:rsidRPr="00F27D42">
              <w:rPr>
                <w:rFonts w:ascii="Segoe UI" w:eastAsia="Times New Roman" w:hAnsi="Segoe UI" w:cs="Segoe UI"/>
                <w:bCs/>
                <w:color w:val="000000" w:themeColor="text1"/>
                <w:kern w:val="24"/>
                <w:sz w:val="14"/>
                <w:szCs w:val="16"/>
                <w:vertAlign w:val="superscript"/>
                <w:lang w:eastAsia="el-GR"/>
              </w:rPr>
              <w:t>3</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92</w:t>
            </w:r>
            <w:r>
              <w:rPr>
                <w:rFonts w:ascii="Segoe UI" w:eastAsia="Times New Roman" w:hAnsi="Segoe UI" w:cs="Segoe UI"/>
                <w:bCs/>
                <w:color w:val="000000" w:themeColor="text1"/>
                <w:kern w:val="24"/>
                <w:sz w:val="14"/>
                <w:szCs w:val="16"/>
                <w:vertAlign w:val="superscript"/>
                <w:lang w:eastAsia="el-GR"/>
              </w:rPr>
              <w:t>3</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42</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124</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90</w:t>
            </w:r>
          </w:p>
        </w:tc>
      </w:tr>
      <w:tr w:rsidR="001A39BC" w:rsidRPr="006B4FB1" w:rsidTr="005610B3">
        <w:trPr>
          <w:trHeight w:val="227"/>
        </w:trPr>
        <w:tc>
          <w:tcPr>
            <w:tcW w:w="2132"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1A39BC" w:rsidRPr="001168B2" w:rsidRDefault="001A39BC" w:rsidP="001A39BC">
            <w:pPr>
              <w:rPr>
                <w:rFonts w:ascii="Segoe UI" w:eastAsia="Times New Roman" w:hAnsi="Segoe UI" w:cs="Segoe UI"/>
                <w:b/>
                <w:bCs/>
                <w:color w:val="000000" w:themeColor="text1"/>
                <w:kern w:val="24"/>
                <w:sz w:val="14"/>
                <w:szCs w:val="14"/>
                <w:lang w:eastAsia="el-GR"/>
              </w:rPr>
            </w:pPr>
            <w:r w:rsidRPr="001168B2">
              <w:rPr>
                <w:rFonts w:ascii="Segoe UI" w:eastAsia="Times New Roman" w:hAnsi="Segoe UI" w:cs="Segoe UI"/>
                <w:b/>
                <w:bCs/>
                <w:color w:val="000000" w:themeColor="text1"/>
                <w:kern w:val="24"/>
                <w:sz w:val="14"/>
                <w:szCs w:val="14"/>
                <w:lang w:eastAsia="el-GR"/>
              </w:rPr>
              <w:t>Ποιότητα δανειακού χαρτοφυλακίου</w:t>
            </w:r>
          </w:p>
        </w:tc>
        <w:tc>
          <w:tcPr>
            <w:tcW w:w="478" w:type="pct"/>
            <w:tcBorders>
              <w:top w:val="nil"/>
              <w:left w:val="nil"/>
              <w:bottom w:val="nil"/>
              <w:right w:val="nil"/>
            </w:tcBorders>
            <w:shd w:val="clear" w:color="auto" w:fill="F2F2F2" w:themeFill="background1" w:themeFillShade="F2"/>
            <w:vAlign w:val="center"/>
          </w:tcPr>
          <w:p w:rsidR="001A39BC" w:rsidRPr="001A39BC" w:rsidRDefault="001A39BC" w:rsidP="001A39BC">
            <w:pPr>
              <w:ind w:right="148"/>
              <w:jc w:val="right"/>
              <w:rPr>
                <w:rFonts w:ascii="Segoe UI" w:eastAsia="Times New Roman" w:hAnsi="Segoe UI" w:cs="Segoe UI"/>
                <w:bCs/>
                <w:color w:val="000000" w:themeColor="text1"/>
                <w:kern w:val="24"/>
                <w:sz w:val="14"/>
                <w:szCs w:val="16"/>
                <w:highlight w:val="yellow"/>
                <w:lang w:eastAsia="el-GR"/>
              </w:rPr>
            </w:pPr>
          </w:p>
        </w:tc>
        <w:tc>
          <w:tcPr>
            <w:tcW w:w="478" w:type="pct"/>
            <w:tcBorders>
              <w:top w:val="nil"/>
              <w:left w:val="nil"/>
              <w:bottom w:val="nil"/>
              <w:right w:val="nil"/>
            </w:tcBorders>
            <w:shd w:val="clear" w:color="auto" w:fill="F2F2F2" w:themeFill="background1" w:themeFillShade="F2"/>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highlight w:val="yellow"/>
                <w:lang w:eastAsia="el-GR"/>
              </w:rPr>
            </w:pPr>
          </w:p>
        </w:tc>
        <w:tc>
          <w:tcPr>
            <w:tcW w:w="478" w:type="pct"/>
            <w:tcBorders>
              <w:top w:val="nil"/>
              <w:left w:val="nil"/>
              <w:bottom w:val="nil"/>
              <w:right w:val="nil"/>
            </w:tcBorders>
            <w:shd w:val="clear" w:color="auto" w:fill="F2F2F2" w:themeFill="background1" w:themeFillShade="F2"/>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p>
        </w:tc>
        <w:tc>
          <w:tcPr>
            <w:tcW w:w="478" w:type="pct"/>
            <w:tcBorders>
              <w:top w:val="nil"/>
              <w:left w:val="nil"/>
              <w:bottom w:val="nil"/>
              <w:right w:val="nil"/>
            </w:tcBorders>
            <w:shd w:val="clear" w:color="auto" w:fill="F2F2F2" w:themeFill="background1" w:themeFillShade="F2"/>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p>
        </w:tc>
        <w:tc>
          <w:tcPr>
            <w:tcW w:w="478" w:type="pct"/>
            <w:tcBorders>
              <w:top w:val="nil"/>
              <w:left w:val="nil"/>
              <w:bottom w:val="nil"/>
              <w:right w:val="nil"/>
            </w:tcBorders>
            <w:shd w:val="clear" w:color="auto" w:fill="F2F2F2" w:themeFill="background1" w:themeFillShade="F2"/>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p>
        </w:tc>
        <w:tc>
          <w:tcPr>
            <w:tcW w:w="478" w:type="pct"/>
            <w:tcBorders>
              <w:top w:val="nil"/>
              <w:left w:val="nil"/>
              <w:bottom w:val="nil"/>
              <w:right w:val="nil"/>
            </w:tcBorders>
            <w:shd w:val="clear" w:color="auto" w:fill="F2F2F2" w:themeFill="background1" w:themeFillShade="F2"/>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p>
        </w:tc>
      </w:tr>
      <w:tr w:rsidR="001A39BC" w:rsidRPr="006B4FB1" w:rsidTr="0000442E">
        <w:trPr>
          <w:trHeight w:val="227"/>
        </w:trPr>
        <w:tc>
          <w:tcPr>
            <w:tcW w:w="2132" w:type="pct"/>
            <w:tcBorders>
              <w:top w:val="nil"/>
              <w:left w:val="nil"/>
              <w:bottom w:val="nil"/>
              <w:right w:val="nil"/>
            </w:tcBorders>
            <w:shd w:val="clear" w:color="auto" w:fill="auto"/>
            <w:tcMar>
              <w:top w:w="15" w:type="dxa"/>
              <w:left w:w="41" w:type="dxa"/>
              <w:bottom w:w="0" w:type="dxa"/>
              <w:right w:w="15" w:type="dxa"/>
            </w:tcMar>
            <w:vAlign w:val="center"/>
            <w:hideMark/>
          </w:tcPr>
          <w:p w:rsidR="001A39BC" w:rsidRPr="00C62FEB" w:rsidRDefault="001A39BC" w:rsidP="001A39BC">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Δείκτης Μη Εξυπηρετούμενων Ανοιγμάτων</w:t>
            </w:r>
          </w:p>
        </w:tc>
        <w:tc>
          <w:tcPr>
            <w:tcW w:w="478" w:type="pct"/>
            <w:tcBorders>
              <w:top w:val="nil"/>
              <w:left w:val="nil"/>
              <w:bottom w:val="nil"/>
              <w:right w:val="nil"/>
            </w:tcBorders>
            <w:vAlign w:val="center"/>
          </w:tcPr>
          <w:p w:rsidR="001A39BC" w:rsidRPr="001A39BC" w:rsidRDefault="001A39BC" w:rsidP="001A39BC">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29</w:t>
            </w:r>
            <w:r>
              <w:rPr>
                <w:rFonts w:ascii="Segoe UI" w:eastAsia="Times New Roman" w:hAnsi="Segoe UI" w:cs="Segoe UI"/>
                <w:bCs/>
                <w:color w:val="000000" w:themeColor="text1"/>
                <w:kern w:val="24"/>
                <w:sz w:val="14"/>
                <w:szCs w:val="16"/>
                <w:lang w:eastAsia="el-GR"/>
              </w:rPr>
              <w:t>,</w:t>
            </w:r>
            <w:r w:rsidRPr="001A39BC">
              <w:rPr>
                <w:rFonts w:ascii="Segoe UI" w:eastAsia="Times New Roman" w:hAnsi="Segoe UI" w:cs="Segoe UI"/>
                <w:bCs/>
                <w:color w:val="000000" w:themeColor="text1"/>
                <w:kern w:val="24"/>
                <w:sz w:val="14"/>
                <w:szCs w:val="16"/>
                <w:lang w:eastAsia="el-GR"/>
              </w:rPr>
              <w:t>3%</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val="en-US" w:eastAsia="el-GR"/>
              </w:rPr>
              <w:t>29</w:t>
            </w:r>
            <w:r>
              <w:rPr>
                <w:rFonts w:ascii="Segoe UI" w:eastAsia="Times New Roman" w:hAnsi="Segoe UI" w:cs="Segoe UI"/>
                <w:bCs/>
                <w:color w:val="000000" w:themeColor="text1"/>
                <w:kern w:val="24"/>
                <w:sz w:val="14"/>
                <w:szCs w:val="16"/>
                <w:lang w:eastAsia="el-GR"/>
              </w:rPr>
              <w:t>,</w:t>
            </w:r>
            <w:r>
              <w:rPr>
                <w:rFonts w:ascii="Segoe UI" w:eastAsia="Times New Roman" w:hAnsi="Segoe UI" w:cs="Segoe UI"/>
                <w:bCs/>
                <w:color w:val="000000" w:themeColor="text1"/>
                <w:kern w:val="24"/>
                <w:sz w:val="14"/>
                <w:szCs w:val="16"/>
                <w:lang w:val="en-US" w:eastAsia="el-GR"/>
              </w:rPr>
              <w:t>9</w:t>
            </w:r>
            <w:r w:rsidRPr="005610B3">
              <w:rPr>
                <w:rFonts w:ascii="Segoe UI" w:eastAsia="Times New Roman" w:hAnsi="Segoe UI" w:cs="Segoe UI"/>
                <w:bCs/>
                <w:color w:val="000000" w:themeColor="text1"/>
                <w:kern w:val="24"/>
                <w:sz w:val="14"/>
                <w:szCs w:val="16"/>
                <w:lang w:eastAsia="el-GR"/>
              </w:rPr>
              <w:t>%</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30</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8%</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31</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3%</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33</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5%</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35</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9%</w:t>
            </w:r>
          </w:p>
        </w:tc>
      </w:tr>
      <w:tr w:rsidR="001A39BC" w:rsidRPr="006B4FB1" w:rsidTr="0000442E">
        <w:trPr>
          <w:trHeight w:val="227"/>
        </w:trPr>
        <w:tc>
          <w:tcPr>
            <w:tcW w:w="2132" w:type="pct"/>
            <w:tcBorders>
              <w:top w:val="nil"/>
              <w:left w:val="nil"/>
              <w:bottom w:val="nil"/>
              <w:right w:val="nil"/>
            </w:tcBorders>
            <w:shd w:val="clear" w:color="auto" w:fill="auto"/>
            <w:tcMar>
              <w:top w:w="15" w:type="dxa"/>
              <w:left w:w="41" w:type="dxa"/>
              <w:bottom w:w="0" w:type="dxa"/>
              <w:right w:w="15" w:type="dxa"/>
            </w:tcMar>
            <w:vAlign w:val="center"/>
            <w:hideMark/>
          </w:tcPr>
          <w:p w:rsidR="001A39BC" w:rsidRPr="00C62FEB" w:rsidRDefault="001A39BC" w:rsidP="001A39BC">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Δείκτης κάλυψης Μη Εξυπηρετούμενων Ανοιγμάτων</w:t>
            </w:r>
          </w:p>
        </w:tc>
        <w:tc>
          <w:tcPr>
            <w:tcW w:w="478" w:type="pct"/>
            <w:tcBorders>
              <w:top w:val="nil"/>
              <w:left w:val="nil"/>
              <w:bottom w:val="nil"/>
              <w:right w:val="nil"/>
            </w:tcBorders>
            <w:vAlign w:val="center"/>
          </w:tcPr>
          <w:p w:rsidR="001A39BC" w:rsidRPr="001A39BC" w:rsidRDefault="001A39BC" w:rsidP="001A39BC">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56</w:t>
            </w:r>
            <w:r>
              <w:rPr>
                <w:rFonts w:ascii="Segoe UI" w:eastAsia="Times New Roman" w:hAnsi="Segoe UI" w:cs="Segoe UI"/>
                <w:bCs/>
                <w:color w:val="000000" w:themeColor="text1"/>
                <w:kern w:val="24"/>
                <w:sz w:val="14"/>
                <w:szCs w:val="16"/>
                <w:lang w:eastAsia="el-GR"/>
              </w:rPr>
              <w:t>,</w:t>
            </w:r>
            <w:r w:rsidRPr="001A39BC">
              <w:rPr>
                <w:rFonts w:ascii="Segoe UI" w:eastAsia="Times New Roman" w:hAnsi="Segoe UI" w:cs="Segoe UI"/>
                <w:bCs/>
                <w:color w:val="000000" w:themeColor="text1"/>
                <w:kern w:val="24"/>
                <w:sz w:val="14"/>
                <w:szCs w:val="16"/>
                <w:lang w:eastAsia="el-GR"/>
              </w:rPr>
              <w:t>7%</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57</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2%</w:t>
            </w:r>
          </w:p>
        </w:tc>
        <w:tc>
          <w:tcPr>
            <w:tcW w:w="478" w:type="pct"/>
            <w:tcBorders>
              <w:top w:val="nil"/>
              <w:left w:val="nil"/>
              <w:bottom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56</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2%</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53</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4%</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54</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4%</w:t>
            </w:r>
          </w:p>
        </w:tc>
        <w:tc>
          <w:tcPr>
            <w:tcW w:w="478" w:type="pct"/>
            <w:tcBorders>
              <w:top w:val="nil"/>
              <w:left w:val="nil"/>
              <w:bottom w:val="nil"/>
              <w:right w:val="nil"/>
            </w:tcBorders>
            <w:shd w:val="clear" w:color="auto" w:fill="auto"/>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55</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9%</w:t>
            </w:r>
          </w:p>
        </w:tc>
      </w:tr>
      <w:tr w:rsidR="001A39BC" w:rsidRPr="006B4FB1" w:rsidTr="005610B3">
        <w:trPr>
          <w:trHeight w:val="227"/>
        </w:trPr>
        <w:tc>
          <w:tcPr>
            <w:tcW w:w="2132"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1A39BC" w:rsidRPr="00FE75EA" w:rsidRDefault="001A39BC" w:rsidP="001A39BC">
            <w:pPr>
              <w:rPr>
                <w:rFonts w:ascii="Segoe UI" w:eastAsia="Times New Roman" w:hAnsi="Segoe UI" w:cs="Segoe UI"/>
                <w:b/>
                <w:bCs/>
                <w:color w:val="000000" w:themeColor="text1"/>
                <w:kern w:val="24"/>
                <w:sz w:val="14"/>
                <w:szCs w:val="14"/>
                <w:lang w:eastAsia="el-GR"/>
              </w:rPr>
            </w:pPr>
            <w:r w:rsidRPr="00FE75EA">
              <w:rPr>
                <w:rFonts w:ascii="Segoe UI" w:eastAsia="Times New Roman" w:hAnsi="Segoe UI" w:cs="Segoe UI"/>
                <w:b/>
                <w:bCs/>
                <w:color w:val="000000" w:themeColor="text1"/>
                <w:kern w:val="24"/>
                <w:sz w:val="14"/>
                <w:szCs w:val="14"/>
                <w:lang w:eastAsia="el-GR"/>
              </w:rPr>
              <w:t>Κεφαλαιακή επάρκεια</w:t>
            </w:r>
          </w:p>
        </w:tc>
        <w:tc>
          <w:tcPr>
            <w:tcW w:w="478" w:type="pct"/>
            <w:tcBorders>
              <w:top w:val="nil"/>
              <w:left w:val="nil"/>
              <w:bottom w:val="nil"/>
              <w:right w:val="nil"/>
            </w:tcBorders>
            <w:shd w:val="clear" w:color="auto" w:fill="F2F2F2" w:themeFill="background1" w:themeFillShade="F2"/>
            <w:vAlign w:val="center"/>
          </w:tcPr>
          <w:p w:rsidR="001A39BC" w:rsidRPr="001A39BC" w:rsidRDefault="001A39BC" w:rsidP="001A39BC">
            <w:pPr>
              <w:ind w:right="148"/>
              <w:jc w:val="right"/>
              <w:rPr>
                <w:rFonts w:ascii="Segoe UI" w:eastAsia="Times New Roman" w:hAnsi="Segoe UI" w:cs="Segoe UI"/>
                <w:bCs/>
                <w:color w:val="000000" w:themeColor="text1"/>
                <w:kern w:val="24"/>
                <w:sz w:val="14"/>
                <w:szCs w:val="16"/>
                <w:highlight w:val="yellow"/>
                <w:lang w:eastAsia="el-GR"/>
              </w:rPr>
            </w:pPr>
          </w:p>
        </w:tc>
        <w:tc>
          <w:tcPr>
            <w:tcW w:w="478" w:type="pct"/>
            <w:tcBorders>
              <w:top w:val="nil"/>
              <w:left w:val="nil"/>
              <w:bottom w:val="nil"/>
              <w:right w:val="nil"/>
            </w:tcBorders>
            <w:shd w:val="clear" w:color="auto" w:fill="F2F2F2" w:themeFill="background1" w:themeFillShade="F2"/>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highlight w:val="yellow"/>
                <w:lang w:eastAsia="el-GR"/>
              </w:rPr>
            </w:pPr>
          </w:p>
        </w:tc>
        <w:tc>
          <w:tcPr>
            <w:tcW w:w="478" w:type="pct"/>
            <w:tcBorders>
              <w:top w:val="nil"/>
              <w:left w:val="nil"/>
              <w:bottom w:val="nil"/>
              <w:right w:val="nil"/>
            </w:tcBorders>
            <w:shd w:val="clear" w:color="auto" w:fill="F2F2F2" w:themeFill="background1" w:themeFillShade="F2"/>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p>
        </w:tc>
        <w:tc>
          <w:tcPr>
            <w:tcW w:w="478" w:type="pct"/>
            <w:tcBorders>
              <w:top w:val="nil"/>
              <w:left w:val="nil"/>
              <w:bottom w:val="nil"/>
              <w:right w:val="nil"/>
            </w:tcBorders>
            <w:shd w:val="clear" w:color="auto" w:fill="F2F2F2" w:themeFill="background1" w:themeFillShade="F2"/>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p>
        </w:tc>
        <w:tc>
          <w:tcPr>
            <w:tcW w:w="478" w:type="pct"/>
            <w:tcBorders>
              <w:top w:val="nil"/>
              <w:left w:val="nil"/>
              <w:bottom w:val="nil"/>
              <w:right w:val="nil"/>
            </w:tcBorders>
            <w:shd w:val="clear" w:color="auto" w:fill="F2F2F2" w:themeFill="background1" w:themeFillShade="F2"/>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p>
        </w:tc>
        <w:tc>
          <w:tcPr>
            <w:tcW w:w="478" w:type="pct"/>
            <w:tcBorders>
              <w:top w:val="nil"/>
              <w:left w:val="nil"/>
              <w:bottom w:val="nil"/>
              <w:right w:val="nil"/>
            </w:tcBorders>
            <w:shd w:val="clear" w:color="auto" w:fill="F2F2F2" w:themeFill="background1" w:themeFillShade="F2"/>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p>
        </w:tc>
      </w:tr>
      <w:tr w:rsidR="001A39BC" w:rsidRPr="006B4FB1" w:rsidTr="005610B3">
        <w:trPr>
          <w:trHeight w:val="227"/>
        </w:trPr>
        <w:tc>
          <w:tcPr>
            <w:tcW w:w="2132" w:type="pct"/>
            <w:tcBorders>
              <w:top w:val="nil"/>
              <w:left w:val="nil"/>
              <w:right w:val="nil"/>
            </w:tcBorders>
            <w:shd w:val="clear" w:color="auto" w:fill="auto"/>
            <w:tcMar>
              <w:top w:w="15" w:type="dxa"/>
              <w:left w:w="41" w:type="dxa"/>
              <w:bottom w:w="0" w:type="dxa"/>
              <w:right w:w="15" w:type="dxa"/>
            </w:tcMar>
            <w:vAlign w:val="center"/>
            <w:hideMark/>
          </w:tcPr>
          <w:p w:rsidR="001A39BC" w:rsidRPr="00C62FEB" w:rsidRDefault="001A39BC" w:rsidP="001A39BC">
            <w:pPr>
              <w:textAlignment w:val="center"/>
              <w:rPr>
                <w:rFonts w:ascii="Segoe UI" w:eastAsia="Times New Roman" w:hAnsi="Segoe UI" w:cs="Segoe UI"/>
                <w:sz w:val="14"/>
                <w:szCs w:val="14"/>
                <w:lang w:val="en-US" w:eastAsia="el-GR"/>
              </w:rPr>
            </w:pPr>
            <w:r w:rsidRPr="00C62FEB">
              <w:rPr>
                <w:rFonts w:ascii="Segoe UI" w:eastAsia="Segoe UI" w:hAnsi="Segoe UI" w:cs="Segoe UI"/>
                <w:color w:val="000000"/>
                <w:kern w:val="24"/>
                <w:sz w:val="14"/>
                <w:szCs w:val="14"/>
                <w:lang w:eastAsia="el-GR"/>
              </w:rPr>
              <w:t xml:space="preserve">Δείκτης </w:t>
            </w:r>
            <w:r w:rsidRPr="00C62FEB">
              <w:rPr>
                <w:rFonts w:ascii="Segoe UI" w:eastAsia="Segoe UI" w:hAnsi="Segoe UI" w:cs="Segoe UI"/>
                <w:color w:val="000000"/>
                <w:kern w:val="24"/>
                <w:sz w:val="14"/>
                <w:szCs w:val="14"/>
                <w:lang w:val="en-US" w:eastAsia="el-GR"/>
              </w:rPr>
              <w:t>CET</w:t>
            </w:r>
            <w:r w:rsidRPr="00C62FEB">
              <w:rPr>
                <w:rFonts w:ascii="Segoe UI" w:eastAsia="Segoe UI" w:hAnsi="Segoe UI" w:cs="Segoe UI"/>
                <w:color w:val="000000"/>
                <w:kern w:val="24"/>
                <w:sz w:val="14"/>
                <w:szCs w:val="14"/>
                <w:lang w:eastAsia="el-GR"/>
              </w:rPr>
              <w:t>1</w:t>
            </w:r>
            <w:r>
              <w:rPr>
                <w:rFonts w:ascii="Segoe UI" w:eastAsia="Segoe UI" w:hAnsi="Segoe UI" w:cs="Segoe UI"/>
                <w:color w:val="000000"/>
                <w:kern w:val="24"/>
                <w:sz w:val="14"/>
                <w:szCs w:val="14"/>
                <w:vertAlign w:val="superscript"/>
                <w:lang w:eastAsia="el-GR"/>
              </w:rPr>
              <w:t>4</w:t>
            </w:r>
            <w:r w:rsidRPr="004A71E2">
              <w:rPr>
                <w:rFonts w:ascii="Segoe UI" w:eastAsia="Segoe UI" w:hAnsi="Segoe UI" w:cs="Segoe UI"/>
                <w:color w:val="000000"/>
                <w:kern w:val="24"/>
                <w:sz w:val="14"/>
                <w:szCs w:val="14"/>
                <w:vertAlign w:val="superscript"/>
                <w:lang w:eastAsia="el-GR"/>
              </w:rPr>
              <w:t xml:space="preserve"> </w:t>
            </w:r>
          </w:p>
        </w:tc>
        <w:tc>
          <w:tcPr>
            <w:tcW w:w="478" w:type="pct"/>
            <w:tcBorders>
              <w:top w:val="nil"/>
              <w:left w:val="nil"/>
              <w:right w:val="nil"/>
            </w:tcBorders>
            <w:vAlign w:val="center"/>
          </w:tcPr>
          <w:p w:rsidR="001A39BC" w:rsidRPr="001A39BC" w:rsidRDefault="001A39BC" w:rsidP="001A39BC">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15</w:t>
            </w:r>
            <w:r>
              <w:rPr>
                <w:rFonts w:ascii="Segoe UI" w:eastAsia="Times New Roman" w:hAnsi="Segoe UI" w:cs="Segoe UI"/>
                <w:bCs/>
                <w:color w:val="000000" w:themeColor="text1"/>
                <w:kern w:val="24"/>
                <w:sz w:val="14"/>
                <w:szCs w:val="16"/>
                <w:lang w:eastAsia="el-GR"/>
              </w:rPr>
              <w:t>,</w:t>
            </w:r>
            <w:r w:rsidRPr="001A39BC">
              <w:rPr>
                <w:rFonts w:ascii="Segoe UI" w:eastAsia="Times New Roman" w:hAnsi="Segoe UI" w:cs="Segoe UI"/>
                <w:bCs/>
                <w:color w:val="000000" w:themeColor="text1"/>
                <w:kern w:val="24"/>
                <w:sz w:val="14"/>
                <w:szCs w:val="16"/>
                <w:lang w:eastAsia="el-GR"/>
              </w:rPr>
              <w:t>9%</w:t>
            </w:r>
          </w:p>
        </w:tc>
        <w:tc>
          <w:tcPr>
            <w:tcW w:w="478" w:type="pct"/>
            <w:tcBorders>
              <w:top w:val="nil"/>
              <w:left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w:t>
            </w:r>
            <w:r>
              <w:rPr>
                <w:rFonts w:ascii="Segoe UI" w:eastAsia="Times New Roman" w:hAnsi="Segoe UI" w:cs="Segoe UI"/>
                <w:bCs/>
                <w:color w:val="000000" w:themeColor="text1"/>
                <w:kern w:val="24"/>
                <w:sz w:val="14"/>
                <w:szCs w:val="16"/>
                <w:lang w:val="en-US" w:eastAsia="el-GR"/>
              </w:rPr>
              <w:t>5</w:t>
            </w:r>
            <w:r>
              <w:rPr>
                <w:rFonts w:ascii="Segoe UI" w:eastAsia="Times New Roman" w:hAnsi="Segoe UI" w:cs="Segoe UI"/>
                <w:bCs/>
                <w:color w:val="000000" w:themeColor="text1"/>
                <w:kern w:val="24"/>
                <w:sz w:val="14"/>
                <w:szCs w:val="16"/>
                <w:lang w:eastAsia="el-GR"/>
              </w:rPr>
              <w:t>,</w:t>
            </w:r>
            <w:r>
              <w:rPr>
                <w:rFonts w:ascii="Segoe UI" w:eastAsia="Times New Roman" w:hAnsi="Segoe UI" w:cs="Segoe UI"/>
                <w:bCs/>
                <w:color w:val="000000" w:themeColor="text1"/>
                <w:kern w:val="24"/>
                <w:sz w:val="14"/>
                <w:szCs w:val="16"/>
                <w:lang w:val="en-US" w:eastAsia="el-GR"/>
              </w:rPr>
              <w:t>9</w:t>
            </w:r>
            <w:r w:rsidRPr="005610B3">
              <w:rPr>
                <w:rFonts w:ascii="Segoe UI" w:eastAsia="Times New Roman" w:hAnsi="Segoe UI" w:cs="Segoe UI"/>
                <w:bCs/>
                <w:color w:val="000000" w:themeColor="text1"/>
                <w:kern w:val="24"/>
                <w:sz w:val="14"/>
                <w:szCs w:val="16"/>
                <w:lang w:eastAsia="el-GR"/>
              </w:rPr>
              <w:t>%</w:t>
            </w:r>
          </w:p>
        </w:tc>
        <w:tc>
          <w:tcPr>
            <w:tcW w:w="478" w:type="pct"/>
            <w:tcBorders>
              <w:top w:val="nil"/>
              <w:left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15</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5%</w:t>
            </w:r>
          </w:p>
        </w:tc>
        <w:tc>
          <w:tcPr>
            <w:tcW w:w="478" w:type="pct"/>
            <w:tcBorders>
              <w:top w:val="nil"/>
              <w:left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16</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0%</w:t>
            </w:r>
          </w:p>
        </w:tc>
        <w:tc>
          <w:tcPr>
            <w:tcW w:w="478" w:type="pct"/>
            <w:tcBorders>
              <w:top w:val="nil"/>
              <w:left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16</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4%</w:t>
            </w:r>
          </w:p>
        </w:tc>
        <w:tc>
          <w:tcPr>
            <w:tcW w:w="478" w:type="pct"/>
            <w:tcBorders>
              <w:top w:val="nil"/>
              <w:left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15</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5%</w:t>
            </w:r>
          </w:p>
        </w:tc>
      </w:tr>
      <w:tr w:rsidR="001A39BC" w:rsidRPr="006B4FB1" w:rsidTr="005610B3">
        <w:trPr>
          <w:trHeight w:val="227"/>
        </w:trPr>
        <w:tc>
          <w:tcPr>
            <w:tcW w:w="2132" w:type="pct"/>
            <w:tcBorders>
              <w:top w:val="nil"/>
              <w:left w:val="nil"/>
              <w:right w:val="nil"/>
            </w:tcBorders>
            <w:shd w:val="clear" w:color="auto" w:fill="auto"/>
            <w:tcMar>
              <w:top w:w="15" w:type="dxa"/>
              <w:left w:w="41" w:type="dxa"/>
              <w:bottom w:w="0" w:type="dxa"/>
              <w:right w:w="15" w:type="dxa"/>
            </w:tcMar>
            <w:vAlign w:val="center"/>
          </w:tcPr>
          <w:p w:rsidR="001A39BC" w:rsidRPr="00C62FEB" w:rsidRDefault="001A39BC" w:rsidP="001A39BC">
            <w:pPr>
              <w:textAlignment w:val="center"/>
              <w:rPr>
                <w:rFonts w:ascii="Segoe UI" w:eastAsia="Segoe UI" w:hAnsi="Segoe UI" w:cs="Segoe UI"/>
                <w:color w:val="000000"/>
                <w:kern w:val="24"/>
                <w:sz w:val="14"/>
                <w:szCs w:val="14"/>
                <w:lang w:eastAsia="el-GR"/>
              </w:rPr>
            </w:pPr>
            <w:r w:rsidRPr="00C62FEB">
              <w:rPr>
                <w:rFonts w:ascii="Segoe UI" w:eastAsia="Segoe UI" w:hAnsi="Segoe UI" w:cs="Segoe UI"/>
                <w:color w:val="000000"/>
                <w:kern w:val="24"/>
                <w:sz w:val="14"/>
                <w:szCs w:val="14"/>
                <w:lang w:eastAsia="el-GR"/>
              </w:rPr>
              <w:t xml:space="preserve">Δείκτης </w:t>
            </w:r>
            <w:r w:rsidRPr="00C62FEB">
              <w:rPr>
                <w:rFonts w:ascii="Segoe UI" w:eastAsia="Segoe UI" w:hAnsi="Segoe UI" w:cs="Segoe UI"/>
                <w:color w:val="000000"/>
                <w:kern w:val="24"/>
                <w:sz w:val="14"/>
                <w:szCs w:val="14"/>
                <w:lang w:val="en-US" w:eastAsia="el-GR"/>
              </w:rPr>
              <w:t>CET</w:t>
            </w:r>
            <w:r w:rsidRPr="00C62FEB">
              <w:rPr>
                <w:rFonts w:ascii="Segoe UI" w:eastAsia="Segoe UI" w:hAnsi="Segoe UI" w:cs="Segoe UI"/>
                <w:color w:val="000000"/>
                <w:kern w:val="24"/>
                <w:sz w:val="14"/>
                <w:szCs w:val="14"/>
                <w:lang w:eastAsia="el-GR"/>
              </w:rPr>
              <w:t>1</w:t>
            </w:r>
            <w:r>
              <w:rPr>
                <w:rFonts w:ascii="Segoe UI" w:eastAsia="Segoe UI" w:hAnsi="Segoe UI" w:cs="Segoe UI"/>
                <w:color w:val="000000"/>
                <w:kern w:val="24"/>
                <w:sz w:val="14"/>
                <w:szCs w:val="14"/>
                <w:lang w:val="en-US" w:eastAsia="el-GR"/>
              </w:rPr>
              <w:t>FL</w:t>
            </w:r>
            <w:r>
              <w:rPr>
                <w:rFonts w:ascii="Segoe UI" w:eastAsia="Segoe UI" w:hAnsi="Segoe UI" w:cs="Segoe UI"/>
                <w:color w:val="000000"/>
                <w:kern w:val="24"/>
                <w:sz w:val="14"/>
                <w:szCs w:val="14"/>
                <w:vertAlign w:val="superscript"/>
                <w:lang w:eastAsia="el-GR"/>
              </w:rPr>
              <w:t>4</w:t>
            </w:r>
          </w:p>
        </w:tc>
        <w:tc>
          <w:tcPr>
            <w:tcW w:w="478" w:type="pct"/>
            <w:tcBorders>
              <w:top w:val="nil"/>
              <w:left w:val="nil"/>
              <w:right w:val="nil"/>
            </w:tcBorders>
            <w:vAlign w:val="center"/>
          </w:tcPr>
          <w:p w:rsidR="001A39BC" w:rsidRPr="001A39BC" w:rsidRDefault="001A39BC" w:rsidP="001A39BC">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13</w:t>
            </w:r>
            <w:r>
              <w:rPr>
                <w:rFonts w:ascii="Segoe UI" w:eastAsia="Times New Roman" w:hAnsi="Segoe UI" w:cs="Segoe UI"/>
                <w:bCs/>
                <w:color w:val="000000" w:themeColor="text1"/>
                <w:kern w:val="24"/>
                <w:sz w:val="14"/>
                <w:szCs w:val="16"/>
                <w:lang w:eastAsia="el-GR"/>
              </w:rPr>
              <w:t>,</w:t>
            </w:r>
            <w:r w:rsidRPr="001A39BC">
              <w:rPr>
                <w:rFonts w:ascii="Segoe UI" w:eastAsia="Times New Roman" w:hAnsi="Segoe UI" w:cs="Segoe UI"/>
                <w:bCs/>
                <w:color w:val="000000" w:themeColor="text1"/>
                <w:kern w:val="24"/>
                <w:sz w:val="14"/>
                <w:szCs w:val="16"/>
                <w:lang w:eastAsia="el-GR"/>
              </w:rPr>
              <w:t>0%</w:t>
            </w:r>
          </w:p>
        </w:tc>
        <w:tc>
          <w:tcPr>
            <w:tcW w:w="478" w:type="pct"/>
            <w:tcBorders>
              <w:top w:val="nil"/>
              <w:left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w:t>
            </w:r>
            <w:r>
              <w:rPr>
                <w:rFonts w:ascii="Segoe UI" w:eastAsia="Times New Roman" w:hAnsi="Segoe UI" w:cs="Segoe UI"/>
                <w:bCs/>
                <w:color w:val="000000" w:themeColor="text1"/>
                <w:kern w:val="24"/>
                <w:sz w:val="14"/>
                <w:szCs w:val="16"/>
                <w:lang w:val="en-US" w:eastAsia="el-GR"/>
              </w:rPr>
              <w:t>3</w:t>
            </w:r>
            <w:r>
              <w:rPr>
                <w:rFonts w:ascii="Segoe UI" w:eastAsia="Times New Roman" w:hAnsi="Segoe UI" w:cs="Segoe UI"/>
                <w:bCs/>
                <w:color w:val="000000" w:themeColor="text1"/>
                <w:kern w:val="24"/>
                <w:sz w:val="14"/>
                <w:szCs w:val="16"/>
                <w:lang w:eastAsia="el-GR"/>
              </w:rPr>
              <w:t>,</w:t>
            </w:r>
            <w:r>
              <w:rPr>
                <w:rFonts w:ascii="Segoe UI" w:eastAsia="Times New Roman" w:hAnsi="Segoe UI" w:cs="Segoe UI"/>
                <w:bCs/>
                <w:color w:val="000000" w:themeColor="text1"/>
                <w:kern w:val="24"/>
                <w:sz w:val="14"/>
                <w:szCs w:val="16"/>
                <w:lang w:val="en-US" w:eastAsia="el-GR"/>
              </w:rPr>
              <w:t>0</w:t>
            </w:r>
            <w:r w:rsidRPr="005610B3">
              <w:rPr>
                <w:rFonts w:ascii="Segoe UI" w:eastAsia="Times New Roman" w:hAnsi="Segoe UI" w:cs="Segoe UI"/>
                <w:bCs/>
                <w:color w:val="000000" w:themeColor="text1"/>
                <w:kern w:val="24"/>
                <w:sz w:val="14"/>
                <w:szCs w:val="16"/>
                <w:lang w:eastAsia="el-GR"/>
              </w:rPr>
              <w:t>%</w:t>
            </w:r>
          </w:p>
        </w:tc>
        <w:tc>
          <w:tcPr>
            <w:tcW w:w="478" w:type="pct"/>
            <w:tcBorders>
              <w:top w:val="nil"/>
              <w:left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12</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6%</w:t>
            </w:r>
          </w:p>
        </w:tc>
        <w:tc>
          <w:tcPr>
            <w:tcW w:w="478" w:type="pct"/>
            <w:tcBorders>
              <w:top w:val="nil"/>
              <w:left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12</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8%</w:t>
            </w:r>
          </w:p>
        </w:tc>
        <w:tc>
          <w:tcPr>
            <w:tcW w:w="478" w:type="pct"/>
            <w:tcBorders>
              <w:top w:val="nil"/>
              <w:left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13</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1%</w:t>
            </w:r>
          </w:p>
        </w:tc>
        <w:tc>
          <w:tcPr>
            <w:tcW w:w="478" w:type="pct"/>
            <w:tcBorders>
              <w:top w:val="nil"/>
              <w:left w:val="nil"/>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12</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1%</w:t>
            </w:r>
          </w:p>
        </w:tc>
      </w:tr>
      <w:tr w:rsidR="001A39BC" w:rsidRPr="006B4FB1" w:rsidTr="005610B3">
        <w:trPr>
          <w:trHeight w:val="227"/>
        </w:trPr>
        <w:tc>
          <w:tcPr>
            <w:tcW w:w="2132" w:type="pct"/>
            <w:tcBorders>
              <w:top w:val="nil"/>
              <w:left w:val="nil"/>
              <w:bottom w:val="single" w:sz="12" w:space="0" w:color="000000"/>
              <w:right w:val="nil"/>
            </w:tcBorders>
            <w:shd w:val="clear" w:color="auto" w:fill="auto"/>
            <w:tcMar>
              <w:top w:w="15" w:type="dxa"/>
              <w:left w:w="41" w:type="dxa"/>
              <w:bottom w:w="0" w:type="dxa"/>
              <w:right w:w="15" w:type="dxa"/>
            </w:tcMar>
            <w:vAlign w:val="center"/>
            <w:hideMark/>
          </w:tcPr>
          <w:p w:rsidR="001A39BC" w:rsidRPr="00C62FEB" w:rsidRDefault="001A39BC" w:rsidP="001A39BC">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Σταθμισμένα στοιχεία ενεργητικού (€ δισ.)</w:t>
            </w:r>
            <w:r>
              <w:rPr>
                <w:rFonts w:ascii="Segoe UI" w:eastAsia="Segoe UI" w:hAnsi="Segoe UI" w:cs="Segoe UI"/>
                <w:color w:val="000000"/>
                <w:kern w:val="24"/>
                <w:sz w:val="14"/>
                <w:szCs w:val="14"/>
                <w:vertAlign w:val="superscript"/>
                <w:lang w:eastAsia="el-GR"/>
              </w:rPr>
              <w:t>4</w:t>
            </w:r>
          </w:p>
        </w:tc>
        <w:tc>
          <w:tcPr>
            <w:tcW w:w="478" w:type="pct"/>
            <w:tcBorders>
              <w:top w:val="nil"/>
              <w:left w:val="nil"/>
              <w:bottom w:val="single" w:sz="12" w:space="0" w:color="000000"/>
              <w:right w:val="nil"/>
            </w:tcBorders>
            <w:vAlign w:val="center"/>
          </w:tcPr>
          <w:p w:rsidR="001A39BC" w:rsidRPr="001A39BC" w:rsidRDefault="001A39BC" w:rsidP="001A39BC">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36</w:t>
            </w:r>
            <w:r>
              <w:rPr>
                <w:rFonts w:ascii="Segoe UI" w:eastAsia="Times New Roman" w:hAnsi="Segoe UI" w:cs="Segoe UI"/>
                <w:bCs/>
                <w:color w:val="000000" w:themeColor="text1"/>
                <w:kern w:val="24"/>
                <w:sz w:val="14"/>
                <w:szCs w:val="16"/>
                <w:lang w:eastAsia="el-GR"/>
              </w:rPr>
              <w:t>,</w:t>
            </w:r>
            <w:r w:rsidR="00454CB5">
              <w:rPr>
                <w:rFonts w:ascii="Segoe UI" w:eastAsia="Times New Roman" w:hAnsi="Segoe UI" w:cs="Segoe UI"/>
                <w:bCs/>
                <w:color w:val="000000" w:themeColor="text1"/>
                <w:kern w:val="24"/>
                <w:sz w:val="14"/>
                <w:szCs w:val="16"/>
                <w:lang w:eastAsia="el-GR"/>
              </w:rPr>
              <w:t>2</w:t>
            </w:r>
          </w:p>
        </w:tc>
        <w:tc>
          <w:tcPr>
            <w:tcW w:w="478" w:type="pct"/>
            <w:tcBorders>
              <w:top w:val="nil"/>
              <w:left w:val="nil"/>
              <w:bottom w:val="single" w:sz="12" w:space="0" w:color="000000"/>
              <w:right w:val="nil"/>
            </w:tcBorders>
            <w:vAlign w:val="center"/>
          </w:tcPr>
          <w:p w:rsidR="001A39BC" w:rsidRPr="00F17AA8"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36</w:t>
            </w:r>
            <w:r>
              <w:rPr>
                <w:rFonts w:ascii="Segoe UI" w:eastAsia="Times New Roman" w:hAnsi="Segoe UI" w:cs="Segoe UI"/>
                <w:bCs/>
                <w:color w:val="000000" w:themeColor="text1"/>
                <w:kern w:val="24"/>
                <w:sz w:val="14"/>
                <w:szCs w:val="16"/>
                <w:lang w:eastAsia="el-GR"/>
              </w:rPr>
              <w:t>,</w:t>
            </w:r>
            <w:r w:rsidRPr="00F17AA8">
              <w:rPr>
                <w:rFonts w:ascii="Segoe UI" w:eastAsia="Times New Roman" w:hAnsi="Segoe UI" w:cs="Segoe UI"/>
                <w:bCs/>
                <w:color w:val="000000" w:themeColor="text1"/>
                <w:kern w:val="24"/>
                <w:sz w:val="14"/>
                <w:szCs w:val="16"/>
                <w:lang w:eastAsia="el-GR"/>
              </w:rPr>
              <w:t>1</w:t>
            </w:r>
          </w:p>
        </w:tc>
        <w:tc>
          <w:tcPr>
            <w:tcW w:w="478" w:type="pct"/>
            <w:tcBorders>
              <w:top w:val="nil"/>
              <w:left w:val="nil"/>
              <w:bottom w:val="single" w:sz="12" w:space="0" w:color="000000"/>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36</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 xml:space="preserve">9 </w:t>
            </w:r>
          </w:p>
        </w:tc>
        <w:tc>
          <w:tcPr>
            <w:tcW w:w="478" w:type="pct"/>
            <w:tcBorders>
              <w:top w:val="nil"/>
              <w:left w:val="nil"/>
              <w:bottom w:val="single" w:sz="12" w:space="0" w:color="000000"/>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37</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4</w:t>
            </w:r>
          </w:p>
        </w:tc>
        <w:tc>
          <w:tcPr>
            <w:tcW w:w="478" w:type="pct"/>
            <w:tcBorders>
              <w:top w:val="nil"/>
              <w:left w:val="nil"/>
              <w:bottom w:val="single" w:sz="12" w:space="0" w:color="000000"/>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37</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 xml:space="preserve">9 </w:t>
            </w:r>
          </w:p>
        </w:tc>
        <w:tc>
          <w:tcPr>
            <w:tcW w:w="478" w:type="pct"/>
            <w:tcBorders>
              <w:top w:val="nil"/>
              <w:left w:val="nil"/>
              <w:bottom w:val="single" w:sz="12" w:space="0" w:color="000000"/>
              <w:right w:val="nil"/>
            </w:tcBorders>
            <w:vAlign w:val="center"/>
          </w:tcPr>
          <w:p w:rsidR="001A39BC" w:rsidRPr="005610B3" w:rsidRDefault="001A39BC" w:rsidP="001A39BC">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38</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3</w:t>
            </w:r>
          </w:p>
        </w:tc>
      </w:tr>
    </w:tbl>
    <w:p w:rsidR="00E55AED" w:rsidRPr="00F73358" w:rsidRDefault="000540A1" w:rsidP="00E55AED">
      <w:pPr>
        <w:jc w:val="both"/>
        <w:textAlignment w:val="baseline"/>
        <w:rPr>
          <w:rFonts w:ascii="Segoe UI" w:hAnsi="Segoe UI" w:cs="Segoe UI"/>
          <w:b/>
          <w:sz w:val="7"/>
          <w:szCs w:val="7"/>
        </w:rPr>
      </w:pPr>
      <w:r w:rsidRPr="00F73358">
        <w:rPr>
          <w:rFonts w:ascii="Segoe UI" w:hAnsi="Segoe UI" w:cs="Segoe UI"/>
          <w:color w:val="000000" w:themeColor="text1"/>
          <w:kern w:val="24"/>
          <w:sz w:val="7"/>
          <w:szCs w:val="7"/>
          <w:vertAlign w:val="superscript"/>
        </w:rPr>
        <w:t>1</w:t>
      </w:r>
      <w:r w:rsidRPr="00F73358">
        <w:rPr>
          <w:rFonts w:ascii="Segoe UI" w:hAnsi="Segoe UI" w:cs="Segoe UI"/>
          <w:color w:val="000000" w:themeColor="text1"/>
          <w:kern w:val="24"/>
          <w:sz w:val="7"/>
          <w:szCs w:val="7"/>
        </w:rPr>
        <w:t xml:space="preserve"> </w:t>
      </w:r>
      <w:r w:rsidR="009436A0" w:rsidRPr="00F73358">
        <w:rPr>
          <w:rFonts w:ascii="Segoe UI" w:hAnsi="Segoe UI" w:cs="Segoe UI"/>
          <w:color w:val="000000" w:themeColor="text1"/>
          <w:kern w:val="24"/>
          <w:sz w:val="7"/>
          <w:szCs w:val="7"/>
          <w:lang w:val="en-US"/>
        </w:rPr>
        <w:t>To</w:t>
      </w:r>
      <w:r w:rsidR="009436A0" w:rsidRPr="00F73358">
        <w:rPr>
          <w:rFonts w:ascii="Segoe UI" w:hAnsi="Segoe UI" w:cs="Segoe UI"/>
          <w:color w:val="000000" w:themeColor="text1"/>
          <w:kern w:val="24"/>
          <w:sz w:val="7"/>
          <w:szCs w:val="7"/>
        </w:rPr>
        <w:t xml:space="preserve"> καθαρό επιτοκιακό περιθώριο υπολογίζεται επί του μηνιαίου μέσου όρου τοκοφόρων στοιχείων του Ενεργητικού / </w:t>
      </w:r>
      <w:r w:rsidR="009436A0" w:rsidRPr="00F73358">
        <w:rPr>
          <w:rFonts w:ascii="Segoe UI" w:hAnsi="Segoe UI" w:cs="Segoe UI"/>
          <w:color w:val="000000" w:themeColor="text1"/>
          <w:kern w:val="24"/>
          <w:sz w:val="7"/>
          <w:szCs w:val="7"/>
          <w:vertAlign w:val="superscript"/>
        </w:rPr>
        <w:t>2</w:t>
      </w:r>
      <w:r w:rsidR="009436A0" w:rsidRPr="00F73358">
        <w:rPr>
          <w:rFonts w:ascii="Segoe UI" w:hAnsi="Segoe UI" w:cs="Segoe UI"/>
          <w:color w:val="000000" w:themeColor="text1"/>
          <w:kern w:val="24"/>
          <w:sz w:val="7"/>
          <w:szCs w:val="7"/>
        </w:rPr>
        <w:t xml:space="preserve"> </w:t>
      </w:r>
      <w:r w:rsidR="006D5764" w:rsidRPr="00F73358">
        <w:rPr>
          <w:rFonts w:ascii="Segoe UI" w:hAnsi="Segoe UI" w:cs="Segoe UI"/>
          <w:color w:val="000000" w:themeColor="text1"/>
          <w:kern w:val="24"/>
          <w:sz w:val="7"/>
          <w:szCs w:val="7"/>
        </w:rPr>
        <w:t xml:space="preserve">Το κόστος πιστωτικού κινδύνου </w:t>
      </w:r>
      <w:r w:rsidR="008677D7" w:rsidRPr="00F73358">
        <w:rPr>
          <w:rFonts w:ascii="Segoe UI" w:hAnsi="Segoe UI" w:cs="Segoe UI"/>
          <w:color w:val="000000" w:themeColor="text1"/>
          <w:kern w:val="24"/>
          <w:sz w:val="7"/>
          <w:szCs w:val="7"/>
        </w:rPr>
        <w:t>εξαιρεί τις προβλέψεις σχετιζόμενες με την πανδημία του κορωνοϊού ύψους €416 εκατ. το Α’ τρίμηνο 2020</w:t>
      </w:r>
      <w:r w:rsidR="0055061D" w:rsidRPr="00F73358">
        <w:rPr>
          <w:rFonts w:ascii="Segoe UI" w:hAnsi="Segoe UI" w:cs="Segoe UI"/>
          <w:color w:val="000000" w:themeColor="text1"/>
          <w:kern w:val="24"/>
          <w:sz w:val="7"/>
          <w:szCs w:val="7"/>
        </w:rPr>
        <w:t xml:space="preserve">, </w:t>
      </w:r>
      <w:r w:rsidR="008677D7" w:rsidRPr="00F73358">
        <w:rPr>
          <w:rFonts w:ascii="Segoe UI" w:hAnsi="Segoe UI" w:cs="Segoe UI"/>
          <w:color w:val="000000" w:themeColor="text1"/>
          <w:kern w:val="24"/>
          <w:sz w:val="7"/>
          <w:szCs w:val="7"/>
        </w:rPr>
        <w:t>€10 εκατ. το Β’ τρίμηνο 2020</w:t>
      </w:r>
      <w:r w:rsidR="0055061D" w:rsidRPr="00F73358">
        <w:rPr>
          <w:rFonts w:ascii="Segoe UI" w:hAnsi="Segoe UI" w:cs="Segoe UI"/>
          <w:color w:val="000000" w:themeColor="text1"/>
          <w:kern w:val="24"/>
          <w:sz w:val="7"/>
          <w:szCs w:val="7"/>
        </w:rPr>
        <w:t xml:space="preserve"> και €3 εκατ. το Γ’ τρίμηνο </w:t>
      </w:r>
      <w:r w:rsidR="00D91BB1">
        <w:rPr>
          <w:rFonts w:ascii="Segoe UI" w:hAnsi="Segoe UI" w:cs="Segoe UI"/>
          <w:color w:val="000000" w:themeColor="text1"/>
          <w:kern w:val="24"/>
          <w:sz w:val="7"/>
          <w:szCs w:val="7"/>
        </w:rPr>
        <w:t xml:space="preserve">        </w:t>
      </w:r>
      <w:r w:rsidR="0055061D" w:rsidRPr="00F73358">
        <w:rPr>
          <w:rFonts w:ascii="Segoe UI" w:hAnsi="Segoe UI" w:cs="Segoe UI"/>
          <w:color w:val="000000" w:themeColor="text1"/>
          <w:kern w:val="24"/>
          <w:sz w:val="7"/>
          <w:szCs w:val="7"/>
        </w:rPr>
        <w:t>2020</w:t>
      </w:r>
      <w:r w:rsidR="006D5764" w:rsidRPr="00F73358">
        <w:rPr>
          <w:rFonts w:ascii="Segoe UI" w:hAnsi="Segoe UI" w:cs="Segoe UI"/>
          <w:color w:val="000000" w:themeColor="text1"/>
          <w:kern w:val="24"/>
          <w:sz w:val="7"/>
          <w:szCs w:val="7"/>
        </w:rPr>
        <w:t xml:space="preserve"> </w:t>
      </w:r>
      <w:r w:rsidR="002F3603" w:rsidRPr="00F73358">
        <w:rPr>
          <w:rFonts w:ascii="Segoe UI" w:hAnsi="Segoe UI" w:cs="Segoe UI"/>
          <w:color w:val="000000" w:themeColor="text1"/>
          <w:kern w:val="24"/>
          <w:sz w:val="7"/>
          <w:szCs w:val="7"/>
        </w:rPr>
        <w:t>/</w:t>
      </w:r>
      <w:r w:rsidR="00C002C2" w:rsidRPr="00F73358">
        <w:rPr>
          <w:rFonts w:ascii="Segoe UI" w:hAnsi="Segoe UI" w:cs="Segoe UI"/>
          <w:color w:val="000000" w:themeColor="text1"/>
          <w:kern w:val="24"/>
          <w:sz w:val="7"/>
          <w:szCs w:val="7"/>
        </w:rPr>
        <w:t xml:space="preserve"> </w:t>
      </w:r>
      <w:r w:rsidR="009436A0" w:rsidRPr="00F73358">
        <w:rPr>
          <w:rFonts w:ascii="Segoe UI" w:hAnsi="Segoe UI" w:cs="Segoe UI"/>
          <w:color w:val="000000" w:themeColor="text1"/>
          <w:kern w:val="24"/>
          <w:sz w:val="7"/>
          <w:szCs w:val="7"/>
          <w:vertAlign w:val="superscript"/>
        </w:rPr>
        <w:t>3</w:t>
      </w:r>
      <w:r w:rsidR="006D5764" w:rsidRPr="00F73358">
        <w:rPr>
          <w:rFonts w:ascii="Segoe UI" w:hAnsi="Segoe UI" w:cs="Segoe UI"/>
          <w:color w:val="000000" w:themeColor="text1"/>
          <w:kern w:val="24"/>
          <w:sz w:val="7"/>
          <w:szCs w:val="7"/>
        </w:rPr>
        <w:t xml:space="preserve"> Το περιθώριο </w:t>
      </w:r>
      <w:r w:rsidR="00D77D8A" w:rsidRPr="00F73358">
        <w:rPr>
          <w:rFonts w:ascii="Segoe UI" w:hAnsi="Segoe UI" w:cs="Segoe UI"/>
          <w:color w:val="000000" w:themeColor="text1"/>
          <w:kern w:val="24"/>
          <w:sz w:val="7"/>
          <w:szCs w:val="7"/>
        </w:rPr>
        <w:t xml:space="preserve">οργανικού </w:t>
      </w:r>
      <w:r w:rsidR="006D5764" w:rsidRPr="00F73358">
        <w:rPr>
          <w:rFonts w:ascii="Segoe UI" w:hAnsi="Segoe UI" w:cs="Segoe UI"/>
          <w:color w:val="000000" w:themeColor="text1"/>
          <w:kern w:val="24"/>
          <w:sz w:val="7"/>
          <w:szCs w:val="7"/>
        </w:rPr>
        <w:t xml:space="preserve">κέρδους εξαιρεί </w:t>
      </w:r>
      <w:r w:rsidR="00D77D8A" w:rsidRPr="00F73358">
        <w:rPr>
          <w:rFonts w:ascii="Segoe UI" w:hAnsi="Segoe UI" w:cs="Segoe UI"/>
          <w:color w:val="000000" w:themeColor="text1"/>
          <w:kern w:val="24"/>
          <w:sz w:val="7"/>
          <w:szCs w:val="7"/>
        </w:rPr>
        <w:t>τα έσοδα από χρηματοοικονομικές πράξεις και λοιπά έσοδα και τις προβλέψεις</w:t>
      </w:r>
      <w:r w:rsidR="00C03D52" w:rsidRPr="00F73358">
        <w:rPr>
          <w:rFonts w:ascii="Segoe UI" w:hAnsi="Segoe UI" w:cs="Segoe UI"/>
          <w:color w:val="000000" w:themeColor="text1"/>
          <w:kern w:val="24"/>
          <w:sz w:val="7"/>
          <w:szCs w:val="7"/>
        </w:rPr>
        <w:t xml:space="preserve"> σχετιζόμενες με την πανδημία του κορωνοϊού </w:t>
      </w:r>
      <w:r w:rsidR="00D77D8A" w:rsidRPr="00F73358">
        <w:rPr>
          <w:rFonts w:ascii="Segoe UI" w:hAnsi="Segoe UI" w:cs="Segoe UI"/>
          <w:color w:val="000000" w:themeColor="text1"/>
          <w:kern w:val="24"/>
          <w:sz w:val="7"/>
          <w:szCs w:val="7"/>
        </w:rPr>
        <w:t>ύψους €416 εκατ το Α’ τρίμηνο 2020</w:t>
      </w:r>
      <w:r w:rsidR="0055061D" w:rsidRPr="00F73358">
        <w:rPr>
          <w:rFonts w:ascii="Segoe UI" w:hAnsi="Segoe UI" w:cs="Segoe UI"/>
          <w:color w:val="000000" w:themeColor="text1"/>
          <w:kern w:val="24"/>
          <w:sz w:val="7"/>
          <w:szCs w:val="7"/>
        </w:rPr>
        <w:t xml:space="preserve">, </w:t>
      </w:r>
      <w:r w:rsidR="00C03D52" w:rsidRPr="00F73358">
        <w:rPr>
          <w:rFonts w:ascii="Segoe UI" w:hAnsi="Segoe UI" w:cs="Segoe UI"/>
          <w:color w:val="000000" w:themeColor="text1"/>
          <w:kern w:val="24"/>
          <w:sz w:val="7"/>
          <w:szCs w:val="7"/>
        </w:rPr>
        <w:t>€10 εκατ. το Β’ τρίμηνο 2020</w:t>
      </w:r>
      <w:r w:rsidR="0055061D" w:rsidRPr="00F73358">
        <w:rPr>
          <w:rFonts w:ascii="Segoe UI" w:hAnsi="Segoe UI" w:cs="Segoe UI"/>
          <w:color w:val="000000" w:themeColor="text1"/>
          <w:kern w:val="24"/>
          <w:sz w:val="7"/>
          <w:szCs w:val="7"/>
        </w:rPr>
        <w:t xml:space="preserve"> και €3 εκατ. το Γ’ τρίμηνο 2020 </w:t>
      </w:r>
      <w:r w:rsidR="00D77D8A" w:rsidRPr="00F73358">
        <w:rPr>
          <w:rFonts w:ascii="Segoe UI" w:hAnsi="Segoe UI" w:cs="Segoe UI"/>
          <w:color w:val="000000" w:themeColor="text1"/>
          <w:kern w:val="24"/>
          <w:sz w:val="7"/>
          <w:szCs w:val="7"/>
        </w:rPr>
        <w:t xml:space="preserve"> </w:t>
      </w:r>
      <w:r w:rsidR="00622798" w:rsidRPr="00F73358">
        <w:rPr>
          <w:rFonts w:ascii="Segoe UI" w:hAnsi="Segoe UI" w:cs="Segoe UI"/>
          <w:color w:val="000000" w:themeColor="text1"/>
          <w:kern w:val="24"/>
          <w:sz w:val="7"/>
          <w:szCs w:val="7"/>
        </w:rPr>
        <w:t xml:space="preserve">/ </w:t>
      </w:r>
      <w:r w:rsidR="009436A0" w:rsidRPr="00F73358">
        <w:rPr>
          <w:rFonts w:ascii="Segoe UI" w:hAnsi="Segoe UI" w:cs="Segoe UI"/>
          <w:color w:val="000000" w:themeColor="text1"/>
          <w:kern w:val="24"/>
          <w:sz w:val="7"/>
          <w:szCs w:val="7"/>
          <w:vertAlign w:val="superscript"/>
        </w:rPr>
        <w:t xml:space="preserve">4 </w:t>
      </w:r>
      <w:r w:rsidR="0030041E">
        <w:rPr>
          <w:rFonts w:ascii="Segoe UI" w:hAnsi="Segoe UI" w:cs="Segoe UI"/>
          <w:color w:val="000000" w:themeColor="text1"/>
          <w:kern w:val="24"/>
          <w:sz w:val="7"/>
          <w:szCs w:val="7"/>
        </w:rPr>
        <w:t xml:space="preserve">Περιλαμβάνονται τα κέρδη </w:t>
      </w:r>
      <w:r w:rsidR="006F363E" w:rsidRPr="00F73358">
        <w:rPr>
          <w:rFonts w:ascii="Segoe UI" w:hAnsi="Segoe UI" w:cs="Segoe UI"/>
          <w:color w:val="000000" w:themeColor="text1"/>
          <w:kern w:val="24"/>
          <w:sz w:val="7"/>
          <w:szCs w:val="7"/>
        </w:rPr>
        <w:t xml:space="preserve">της περιόδου </w:t>
      </w:r>
      <w:r w:rsidR="00E55AED" w:rsidRPr="00F73358">
        <w:rPr>
          <w:rFonts w:ascii="Segoe UI" w:hAnsi="Segoe UI" w:cs="Segoe UI"/>
          <w:b/>
          <w:sz w:val="7"/>
          <w:szCs w:val="7"/>
        </w:rPr>
        <w:br w:type="page"/>
      </w:r>
    </w:p>
    <w:p w:rsidR="00E55AED" w:rsidRPr="0082683D" w:rsidRDefault="00810B16" w:rsidP="00E55AED">
      <w:pPr>
        <w:textAlignment w:val="baseline"/>
        <w:rPr>
          <w:rFonts w:ascii="Segoe UI" w:hAnsi="Segoe UI" w:cs="Segoe UI"/>
          <w:b/>
          <w:sz w:val="20"/>
          <w:szCs w:val="20"/>
        </w:rPr>
      </w:pPr>
      <w:r>
        <w:rPr>
          <w:rFonts w:ascii="Segoe UI" w:hAnsi="Segoe UI" w:cs="Segoe UI"/>
          <w:noProof/>
          <w:sz w:val="28"/>
          <w:vertAlign w:val="superscript"/>
          <w:lang w:eastAsia="el-GR"/>
        </w:rPr>
        <w:lastRenderedPageBreak/>
        <mc:AlternateContent>
          <mc:Choice Requires="wps">
            <w:drawing>
              <wp:anchor distT="0" distB="0" distL="114300" distR="114300" simplePos="0" relativeHeight="251656704" behindDoc="0" locked="0" layoutInCell="1" allowOverlap="1" wp14:anchorId="5DFC282B" wp14:editId="2D9DE645">
                <wp:simplePos x="0" y="0"/>
                <wp:positionH relativeFrom="column">
                  <wp:posOffset>-34084</wp:posOffset>
                </wp:positionH>
                <wp:positionV relativeFrom="paragraph">
                  <wp:posOffset>-96520</wp:posOffset>
                </wp:positionV>
                <wp:extent cx="3337560" cy="313055"/>
                <wp:effectExtent l="0" t="0" r="0" b="0"/>
                <wp:wrapNone/>
                <wp:docPr id="750847104" name="Rectangle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337560" cy="3130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F56" w:rsidRDefault="00D95F56" w:rsidP="00E55AED">
                            <w:pPr>
                              <w:kinsoku w:val="0"/>
                              <w:overflowPunct w:val="0"/>
                              <w:spacing w:before="40"/>
                              <w:ind w:left="547" w:hanging="547"/>
                              <w:textAlignment w:val="baseline"/>
                              <w:rPr>
                                <w:rFonts w:ascii="Segoe UI" w:eastAsia="Segoe UI" w:hAnsi="Segoe UI" w:cs="Segoe UI"/>
                                <w:b/>
                                <w:color w:val="008080"/>
                                <w:kern w:val="24"/>
                                <w:sz w:val="18"/>
                                <w:lang w:val="en-US"/>
                              </w:rPr>
                            </w:pPr>
                            <w:r>
                              <w:rPr>
                                <w:rFonts w:ascii="Segoe UI" w:eastAsia="Segoe UI" w:hAnsi="Segoe UI" w:cs="Segoe UI"/>
                                <w:b/>
                                <w:color w:val="008080"/>
                                <w:kern w:val="24"/>
                                <w:sz w:val="20"/>
                                <w:szCs w:val="20"/>
                              </w:rPr>
                              <w:t>Κατάσταση</w:t>
                            </w:r>
                            <w:r w:rsidRPr="00793815">
                              <w:rPr>
                                <w:rFonts w:ascii="Segoe UI" w:eastAsia="Segoe UI" w:hAnsi="Segoe UI" w:cs="Segoe UI"/>
                                <w:b/>
                                <w:color w:val="008080"/>
                                <w:kern w:val="24"/>
                                <w:sz w:val="20"/>
                                <w:szCs w:val="20"/>
                                <w:lang w:val="en-US"/>
                              </w:rPr>
                              <w:t xml:space="preserve"> </w:t>
                            </w:r>
                            <w:r>
                              <w:rPr>
                                <w:rFonts w:ascii="Segoe UI" w:eastAsia="Segoe UI" w:hAnsi="Segoe UI" w:cs="Segoe UI"/>
                                <w:b/>
                                <w:color w:val="008080"/>
                                <w:kern w:val="24"/>
                                <w:sz w:val="20"/>
                                <w:szCs w:val="20"/>
                              </w:rPr>
                              <w:t>Αποτελεσμάτων</w:t>
                            </w:r>
                            <w:r w:rsidRPr="00793815">
                              <w:rPr>
                                <w:rFonts w:ascii="Segoe UI" w:eastAsia="Segoe UI" w:hAnsi="Segoe UI" w:cs="Segoe UI"/>
                                <w:b/>
                                <w:color w:val="008080"/>
                                <w:kern w:val="24"/>
                                <w:sz w:val="20"/>
                                <w:szCs w:val="20"/>
                                <w:lang w:val="en-US"/>
                              </w:rPr>
                              <w:t xml:space="preserve"> </w:t>
                            </w:r>
                            <w:r w:rsidRPr="0098297F">
                              <w:rPr>
                                <w:rFonts w:ascii="Segoe UI" w:eastAsia="Segoe UI" w:hAnsi="Segoe UI" w:cs="Segoe UI"/>
                                <w:b/>
                                <w:color w:val="008080"/>
                                <w:kern w:val="24"/>
                                <w:sz w:val="20"/>
                                <w:szCs w:val="20"/>
                                <w:lang w:val="en-US"/>
                              </w:rPr>
                              <w:t>| Ελλάδα</w:t>
                            </w:r>
                          </w:p>
                          <w:p w:rsidR="00D95F56" w:rsidRPr="00EB1181" w:rsidRDefault="00D95F56"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FE1137" w:rsidRDefault="00D95F56"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FC282B" id="Rectangle 6" o:spid="_x0000_s1034" style="position:absolute;margin-left:-2.7pt;margin-top:-7.6pt;width:262.8pt;height:2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" filled="f" stroked="f">
                <v:path arrowok="t"/>
                <o:lock v:ext="edit" grouping="t"/>
                <v:textbox inset="1.2699mm,1.2699mm,1.2699mm,1.2699mm">
                  <w:txbxContent>
                    <w:p w:rsidR="00D95F56" w:rsidRDefault="00D95F56" w:rsidP="00E55AED">
                      <w:pPr>
                        <w:kinsoku w:val="0"/>
                        <w:overflowPunct w:val="0"/>
                        <w:spacing w:before="40"/>
                        <w:ind w:left="547" w:hanging="547"/>
                        <w:textAlignment w:val="baseline"/>
                        <w:rPr>
                          <w:rFonts w:ascii="Segoe UI" w:eastAsia="Segoe UI" w:hAnsi="Segoe UI" w:cs="Segoe UI"/>
                          <w:b/>
                          <w:color w:val="008080"/>
                          <w:kern w:val="24"/>
                          <w:sz w:val="18"/>
                          <w:lang w:val="en-US"/>
                        </w:rPr>
                      </w:pPr>
                      <w:r>
                        <w:rPr>
                          <w:rFonts w:ascii="Segoe UI" w:eastAsia="Segoe UI" w:hAnsi="Segoe UI" w:cs="Segoe UI"/>
                          <w:b/>
                          <w:color w:val="008080"/>
                          <w:kern w:val="24"/>
                          <w:sz w:val="20"/>
                          <w:szCs w:val="20"/>
                        </w:rPr>
                        <w:t>Κατάσταση</w:t>
                      </w:r>
                      <w:r w:rsidRPr="00793815">
                        <w:rPr>
                          <w:rFonts w:ascii="Segoe UI" w:eastAsia="Segoe UI" w:hAnsi="Segoe UI" w:cs="Segoe UI"/>
                          <w:b/>
                          <w:color w:val="008080"/>
                          <w:kern w:val="24"/>
                          <w:sz w:val="20"/>
                          <w:szCs w:val="20"/>
                          <w:lang w:val="en-US"/>
                        </w:rPr>
                        <w:t xml:space="preserve"> </w:t>
                      </w:r>
                      <w:r>
                        <w:rPr>
                          <w:rFonts w:ascii="Segoe UI" w:eastAsia="Segoe UI" w:hAnsi="Segoe UI" w:cs="Segoe UI"/>
                          <w:b/>
                          <w:color w:val="008080"/>
                          <w:kern w:val="24"/>
                          <w:sz w:val="20"/>
                          <w:szCs w:val="20"/>
                        </w:rPr>
                        <w:t>Αποτελεσμάτων</w:t>
                      </w:r>
                      <w:r w:rsidRPr="00793815">
                        <w:rPr>
                          <w:rFonts w:ascii="Segoe UI" w:eastAsia="Segoe UI" w:hAnsi="Segoe UI" w:cs="Segoe UI"/>
                          <w:b/>
                          <w:color w:val="008080"/>
                          <w:kern w:val="24"/>
                          <w:sz w:val="20"/>
                          <w:szCs w:val="20"/>
                          <w:lang w:val="en-US"/>
                        </w:rPr>
                        <w:t xml:space="preserve"> </w:t>
                      </w:r>
                      <w:r w:rsidRPr="0098297F">
                        <w:rPr>
                          <w:rFonts w:ascii="Segoe UI" w:eastAsia="Segoe UI" w:hAnsi="Segoe UI" w:cs="Segoe UI"/>
                          <w:b/>
                          <w:color w:val="008080"/>
                          <w:kern w:val="24"/>
                          <w:sz w:val="20"/>
                          <w:szCs w:val="20"/>
                          <w:lang w:val="en-US"/>
                        </w:rPr>
                        <w:t>| Ελλάδα</w:t>
                      </w:r>
                    </w:p>
                    <w:p w:rsidR="00D95F56" w:rsidRPr="00EB1181" w:rsidRDefault="00D95F56"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FE1137" w:rsidRDefault="00D95F56" w:rsidP="00E55AED">
                      <w:pPr>
                        <w:kinsoku w:val="0"/>
                        <w:overflowPunct w:val="0"/>
                        <w:spacing w:before="40"/>
                        <w:ind w:left="547" w:hanging="547"/>
                        <w:textAlignment w:val="baseline"/>
                        <w:rPr>
                          <w:b/>
                          <w:color w:val="008080"/>
                          <w:sz w:val="16"/>
                        </w:rPr>
                      </w:pPr>
                    </w:p>
                  </w:txbxContent>
                </v:textbox>
              </v:rect>
            </w:pict>
          </mc:Fallback>
        </mc:AlternateContent>
      </w:r>
      <w:r w:rsidR="00BC0FF0">
        <w:rPr>
          <w:rFonts w:ascii="Segoe UI" w:hAnsi="Segoe UI" w:cs="Segoe UI"/>
          <w:noProof/>
          <w:sz w:val="16"/>
          <w:szCs w:val="16"/>
          <w:lang w:eastAsia="el-GR"/>
        </w:rPr>
        <mc:AlternateContent>
          <mc:Choice Requires="wps">
            <w:drawing>
              <wp:anchor distT="0" distB="0" distL="114300" distR="114300" simplePos="0" relativeHeight="251673088" behindDoc="0" locked="0" layoutInCell="1" allowOverlap="1" wp14:anchorId="4C6928BC" wp14:editId="794C8391">
                <wp:simplePos x="0" y="0"/>
                <wp:positionH relativeFrom="column">
                  <wp:posOffset>2736969</wp:posOffset>
                </wp:positionH>
                <wp:positionV relativeFrom="paragraph">
                  <wp:posOffset>166150</wp:posOffset>
                </wp:positionV>
                <wp:extent cx="612000" cy="2829208"/>
                <wp:effectExtent l="0" t="0" r="17145" b="28575"/>
                <wp:wrapNone/>
                <wp:docPr id="31"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00" cy="2829208"/>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6841B611" id="Rounded Rectangle 18" o:spid="_x0000_s1026" style="position:absolute;margin-left:215.5pt;margin-top:13.1pt;width:48.2pt;height:222.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" filled="f" strokecolor="#ff7415">
                <v:path arrowok="t"/>
              </v:roundrect>
            </w:pict>
          </mc:Fallback>
        </mc:AlternateContent>
      </w:r>
    </w:p>
    <w:tbl>
      <w:tblPr>
        <w:tblW w:w="4983" w:type="pct"/>
        <w:tblCellMar>
          <w:left w:w="0" w:type="dxa"/>
          <w:right w:w="0" w:type="dxa"/>
        </w:tblCellMar>
        <w:tblLook w:val="0420" w:firstRow="1" w:lastRow="0" w:firstColumn="0" w:lastColumn="0" w:noHBand="0" w:noVBand="1"/>
      </w:tblPr>
      <w:tblGrid>
        <w:gridCol w:w="4311"/>
        <w:gridCol w:w="976"/>
        <w:gridCol w:w="976"/>
        <w:gridCol w:w="976"/>
        <w:gridCol w:w="976"/>
        <w:gridCol w:w="976"/>
        <w:gridCol w:w="972"/>
      </w:tblGrid>
      <w:tr w:rsidR="00FB7108" w:rsidRPr="0098297F" w:rsidTr="00FB7108">
        <w:trPr>
          <w:trHeight w:val="289"/>
        </w:trPr>
        <w:tc>
          <w:tcPr>
            <w:tcW w:w="2121"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FB7108" w:rsidRPr="0098297F" w:rsidRDefault="00FB7108" w:rsidP="00FB7108">
            <w:pPr>
              <w:spacing w:before="38"/>
              <w:textAlignment w:val="baseline"/>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 </w:t>
            </w:r>
            <w:r>
              <w:rPr>
                <w:rFonts w:ascii="Segoe UI" w:eastAsia="Segoe UI" w:hAnsi="Segoe UI" w:cs="Segoe UI"/>
                <w:b/>
                <w:bCs/>
                <w:color w:val="000000"/>
                <w:kern w:val="24"/>
                <w:sz w:val="14"/>
                <w:szCs w:val="14"/>
                <w:lang w:eastAsia="el-GR"/>
              </w:rPr>
              <w:t>εκατ.</w:t>
            </w:r>
          </w:p>
        </w:tc>
        <w:tc>
          <w:tcPr>
            <w:tcW w:w="480" w:type="pct"/>
            <w:tcBorders>
              <w:top w:val="single" w:sz="8" w:space="0" w:color="000000"/>
              <w:left w:val="nil"/>
              <w:bottom w:val="single" w:sz="8" w:space="0" w:color="000000"/>
              <w:right w:val="nil"/>
            </w:tcBorders>
            <w:vAlign w:val="center"/>
          </w:tcPr>
          <w:p w:rsidR="00FB7108" w:rsidRPr="00E95FD5" w:rsidRDefault="00FB7108" w:rsidP="00FB7108">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Γ</w:t>
            </w:r>
            <w:r w:rsidRPr="00E95FD5">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r w:rsidRPr="00E95FD5">
              <w:rPr>
                <w:rFonts w:ascii="Segoe UI" w:eastAsia="Times New Roman" w:hAnsi="Segoe UI" w:cs="Segoe UI"/>
                <w:b/>
                <w:bCs/>
                <w:color w:val="000000" w:themeColor="text1"/>
                <w:kern w:val="24"/>
                <w:sz w:val="14"/>
                <w:szCs w:val="14"/>
                <w:lang w:eastAsia="el-GR"/>
              </w:rPr>
              <w:t xml:space="preserve"> </w:t>
            </w:r>
          </w:p>
        </w:tc>
        <w:tc>
          <w:tcPr>
            <w:tcW w:w="480" w:type="pct"/>
            <w:tcBorders>
              <w:top w:val="single" w:sz="8" w:space="0" w:color="000000"/>
              <w:left w:val="nil"/>
              <w:bottom w:val="single" w:sz="8" w:space="0" w:color="000000"/>
              <w:right w:val="nil"/>
            </w:tcBorders>
            <w:vAlign w:val="center"/>
          </w:tcPr>
          <w:p w:rsidR="00FB7108" w:rsidRPr="00E95FD5" w:rsidRDefault="00FB7108" w:rsidP="00FB7108">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Β</w:t>
            </w:r>
            <w:r w:rsidRPr="00E95FD5">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r w:rsidRPr="00E95FD5">
              <w:rPr>
                <w:rFonts w:ascii="Segoe UI" w:eastAsia="Times New Roman" w:hAnsi="Segoe UI" w:cs="Segoe UI"/>
                <w:b/>
                <w:bCs/>
                <w:color w:val="000000" w:themeColor="text1"/>
                <w:kern w:val="24"/>
                <w:sz w:val="14"/>
                <w:szCs w:val="14"/>
                <w:lang w:eastAsia="el-GR"/>
              </w:rPr>
              <w:t xml:space="preserve"> </w:t>
            </w:r>
          </w:p>
        </w:tc>
        <w:tc>
          <w:tcPr>
            <w:tcW w:w="480" w:type="pct"/>
            <w:tcBorders>
              <w:top w:val="single" w:sz="8" w:space="0" w:color="000000"/>
              <w:left w:val="nil"/>
              <w:bottom w:val="single" w:sz="8" w:space="0" w:color="000000"/>
              <w:right w:val="nil"/>
            </w:tcBorders>
            <w:vAlign w:val="center"/>
          </w:tcPr>
          <w:p w:rsidR="00FB7108" w:rsidRPr="00E95FD5" w:rsidRDefault="00FB7108" w:rsidP="00FB7108">
            <w:pPr>
              <w:spacing w:before="38"/>
              <w:ind w:right="142"/>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c>
          <w:tcPr>
            <w:tcW w:w="480" w:type="pct"/>
            <w:tcBorders>
              <w:top w:val="single" w:sz="8" w:space="0" w:color="000000"/>
              <w:left w:val="nil"/>
              <w:bottom w:val="single" w:sz="8" w:space="0" w:color="000000"/>
              <w:right w:val="nil"/>
            </w:tcBorders>
            <w:vAlign w:val="center"/>
          </w:tcPr>
          <w:p w:rsidR="00FB7108" w:rsidRPr="00E95FD5" w:rsidRDefault="00FB7108" w:rsidP="00FB7108">
            <w:pPr>
              <w:ind w:right="148"/>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Εννεάμηνο</w:t>
            </w:r>
            <w:r w:rsidRPr="0077020D">
              <w:rPr>
                <w:rFonts w:ascii="Segoe UI" w:eastAsia="Times New Roman" w:hAnsi="Segoe UI" w:cs="Segoe UI"/>
                <w:b/>
                <w:bCs/>
                <w:color w:val="000000" w:themeColor="text1"/>
                <w:kern w:val="24"/>
                <w:sz w:val="14"/>
                <w:szCs w:val="14"/>
                <w:lang w:eastAsia="el-GR"/>
              </w:rPr>
              <w:t xml:space="preserve"> 20</w:t>
            </w:r>
            <w:r>
              <w:rPr>
                <w:rFonts w:ascii="Segoe UI" w:eastAsia="Times New Roman" w:hAnsi="Segoe UI" w:cs="Segoe UI"/>
                <w:b/>
                <w:bCs/>
                <w:color w:val="000000" w:themeColor="text1"/>
                <w:kern w:val="24"/>
                <w:sz w:val="14"/>
                <w:szCs w:val="14"/>
                <w:lang w:eastAsia="el-GR"/>
              </w:rPr>
              <w:t>20</w:t>
            </w:r>
          </w:p>
        </w:tc>
        <w:tc>
          <w:tcPr>
            <w:tcW w:w="480" w:type="pct"/>
            <w:tcBorders>
              <w:top w:val="single" w:sz="8" w:space="0" w:color="000000"/>
              <w:left w:val="nil"/>
              <w:bottom w:val="single" w:sz="8" w:space="0" w:color="000000"/>
              <w:right w:val="nil"/>
            </w:tcBorders>
            <w:tcMar>
              <w:top w:w="15" w:type="dxa"/>
              <w:left w:w="15" w:type="dxa"/>
              <w:bottom w:w="0" w:type="dxa"/>
              <w:right w:w="82" w:type="dxa"/>
            </w:tcMar>
            <w:vAlign w:val="center"/>
            <w:hideMark/>
          </w:tcPr>
          <w:p w:rsidR="00FB7108" w:rsidRPr="00E95FD5" w:rsidRDefault="00FB7108" w:rsidP="00FB7108">
            <w:pPr>
              <w:ind w:right="148"/>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Εννεάμηνο</w:t>
            </w:r>
            <w:r w:rsidRPr="0077020D">
              <w:rPr>
                <w:rFonts w:ascii="Segoe UI" w:eastAsia="Times New Roman" w:hAnsi="Segoe UI" w:cs="Segoe UI"/>
                <w:b/>
                <w:bCs/>
                <w:color w:val="000000" w:themeColor="text1"/>
                <w:kern w:val="24"/>
                <w:sz w:val="14"/>
                <w:szCs w:val="14"/>
                <w:lang w:eastAsia="el-GR"/>
              </w:rPr>
              <w:t xml:space="preserve"> </w:t>
            </w:r>
            <w:r w:rsidRPr="00E95FD5">
              <w:rPr>
                <w:rFonts w:ascii="Segoe UI" w:eastAsia="Times New Roman" w:hAnsi="Segoe UI" w:cs="Segoe UI"/>
                <w:b/>
                <w:bCs/>
                <w:color w:val="000000" w:themeColor="text1"/>
                <w:kern w:val="24"/>
                <w:sz w:val="14"/>
                <w:szCs w:val="14"/>
                <w:lang w:eastAsia="el-GR"/>
              </w:rPr>
              <w:t>2019</w:t>
            </w:r>
          </w:p>
        </w:tc>
        <w:tc>
          <w:tcPr>
            <w:tcW w:w="478"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FB7108" w:rsidRPr="00E95FD5" w:rsidRDefault="00FB7108" w:rsidP="00FB7108">
            <w:pPr>
              <w:spacing w:before="38"/>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r>
      <w:tr w:rsidR="006259E6" w:rsidRPr="0098297F" w:rsidTr="0000442E">
        <w:trPr>
          <w:trHeight w:val="113"/>
        </w:trPr>
        <w:tc>
          <w:tcPr>
            <w:tcW w:w="2121"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6259E6" w:rsidRPr="0098297F" w:rsidRDefault="006259E6" w:rsidP="006259E6">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Καθαρά έσοδα από τόκους</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290 </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259 </w:t>
            </w:r>
          </w:p>
        </w:tc>
        <w:tc>
          <w:tcPr>
            <w:tcW w:w="480" w:type="pct"/>
            <w:tcBorders>
              <w:top w:val="nil"/>
              <w:left w:val="nil"/>
              <w:bottom w:val="nil"/>
            </w:tcBorders>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12%</w:t>
            </w:r>
          </w:p>
        </w:tc>
        <w:tc>
          <w:tcPr>
            <w:tcW w:w="480"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811 </w:t>
            </w:r>
          </w:p>
        </w:tc>
        <w:tc>
          <w:tcPr>
            <w:tcW w:w="480" w:type="pct"/>
            <w:tcBorders>
              <w:top w:val="nil"/>
              <w:left w:val="nil"/>
              <w:bottom w:val="nil"/>
              <w:right w:val="nil"/>
            </w:tcBorders>
            <w:shd w:val="clear" w:color="auto" w:fill="auto"/>
            <w:tcMar>
              <w:top w:w="15" w:type="dxa"/>
              <w:left w:w="15" w:type="dxa"/>
              <w:bottom w:w="0" w:type="dxa"/>
              <w:right w:w="78" w:type="dxa"/>
            </w:tcMar>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851 </w:t>
            </w:r>
          </w:p>
        </w:tc>
        <w:tc>
          <w:tcPr>
            <w:tcW w:w="478" w:type="pct"/>
            <w:tcBorders>
              <w:top w:val="single" w:sz="4" w:space="0" w:color="auto"/>
              <w:left w:val="nil"/>
              <w:bottom w:val="nil"/>
              <w:right w:val="nil"/>
            </w:tcBorders>
            <w:shd w:val="clear" w:color="auto" w:fill="auto"/>
            <w:tcMar>
              <w:top w:w="15" w:type="dxa"/>
              <w:left w:w="15" w:type="dxa"/>
              <w:bottom w:w="0" w:type="dxa"/>
              <w:right w:w="78" w:type="dxa"/>
            </w:tcMar>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-5%</w:t>
            </w:r>
          </w:p>
        </w:tc>
      </w:tr>
      <w:tr w:rsidR="006259E6" w:rsidRPr="0098297F" w:rsidTr="0000442E">
        <w:trPr>
          <w:trHeight w:val="113"/>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6259E6" w:rsidRPr="0098297F" w:rsidRDefault="006259E6" w:rsidP="006259E6">
            <w:pPr>
              <w:textAlignment w:val="center"/>
              <w:rPr>
                <w:rFonts w:ascii="Segoe UI" w:eastAsia="Times New Roman" w:hAnsi="Segoe UI" w:cs="Segoe UI"/>
                <w:sz w:val="14"/>
                <w:szCs w:val="14"/>
                <w:lang w:eastAsia="el-GR"/>
              </w:rPr>
            </w:pPr>
            <w:r w:rsidRPr="0098297F">
              <w:rPr>
                <w:rFonts w:ascii="Segoe UI" w:eastAsia="Segoe UI" w:hAnsi="Segoe UI" w:cs="Segoe UI"/>
                <w:color w:val="000000" w:themeColor="text1"/>
                <w:kern w:val="24"/>
                <w:sz w:val="14"/>
                <w:szCs w:val="14"/>
                <w:lang w:eastAsia="el-GR"/>
              </w:rPr>
              <w:t>Καθαρά έσοδα από προμήθειες</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61 </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54 </w:t>
            </w:r>
          </w:p>
        </w:tc>
        <w:tc>
          <w:tcPr>
            <w:tcW w:w="480" w:type="pct"/>
            <w:tcBorders>
              <w:top w:val="nil"/>
              <w:left w:val="nil"/>
              <w:bottom w:val="nil"/>
            </w:tcBorders>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13%</w:t>
            </w:r>
          </w:p>
        </w:tc>
        <w:tc>
          <w:tcPr>
            <w:tcW w:w="480"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179 </w:t>
            </w:r>
          </w:p>
        </w:tc>
        <w:tc>
          <w:tcPr>
            <w:tcW w:w="480" w:type="pct"/>
            <w:tcBorders>
              <w:top w:val="nil"/>
              <w:left w:val="nil"/>
              <w:bottom w:val="nil"/>
              <w:right w:val="nil"/>
            </w:tcBorders>
            <w:shd w:val="clear" w:color="auto" w:fill="auto"/>
            <w:tcMar>
              <w:top w:w="15" w:type="dxa"/>
              <w:left w:w="15" w:type="dxa"/>
              <w:bottom w:w="0" w:type="dxa"/>
              <w:right w:w="78" w:type="dxa"/>
            </w:tcMar>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174 </w:t>
            </w:r>
          </w:p>
        </w:tc>
        <w:tc>
          <w:tcPr>
            <w:tcW w:w="478" w:type="pct"/>
            <w:tcBorders>
              <w:top w:val="nil"/>
              <w:left w:val="nil"/>
              <w:bottom w:val="nil"/>
              <w:right w:val="nil"/>
            </w:tcBorders>
            <w:shd w:val="clear" w:color="auto" w:fill="auto"/>
            <w:tcMar>
              <w:top w:w="15" w:type="dxa"/>
              <w:left w:w="15" w:type="dxa"/>
              <w:bottom w:w="0" w:type="dxa"/>
              <w:right w:w="78" w:type="dxa"/>
            </w:tcMar>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3%</w:t>
            </w:r>
          </w:p>
        </w:tc>
      </w:tr>
      <w:tr w:rsidR="006259E6" w:rsidRPr="0098297F" w:rsidTr="0000442E">
        <w:trPr>
          <w:trHeight w:val="113"/>
        </w:trPr>
        <w:tc>
          <w:tcPr>
            <w:tcW w:w="2121" w:type="pct"/>
            <w:tcBorders>
              <w:top w:val="nil"/>
              <w:left w:val="nil"/>
              <w:bottom w:val="nil"/>
              <w:right w:val="nil"/>
            </w:tcBorders>
            <w:shd w:val="clear" w:color="auto" w:fill="F2F2F2"/>
            <w:tcMar>
              <w:top w:w="15" w:type="dxa"/>
              <w:left w:w="42" w:type="dxa"/>
              <w:bottom w:w="0" w:type="dxa"/>
              <w:right w:w="15" w:type="dxa"/>
            </w:tcMar>
            <w:vAlign w:val="center"/>
            <w:hideMark/>
          </w:tcPr>
          <w:p w:rsidR="006259E6" w:rsidRPr="0098297F" w:rsidRDefault="006259E6" w:rsidP="006259E6">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themeColor="text1"/>
                <w:kern w:val="24"/>
                <w:sz w:val="14"/>
                <w:szCs w:val="14"/>
                <w:lang w:eastAsia="el-GR"/>
              </w:rPr>
              <w:t>Οργανικά έσοδα</w:t>
            </w:r>
          </w:p>
        </w:tc>
        <w:tc>
          <w:tcPr>
            <w:tcW w:w="480"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351 </w:t>
            </w:r>
          </w:p>
        </w:tc>
        <w:tc>
          <w:tcPr>
            <w:tcW w:w="480"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313 </w:t>
            </w:r>
          </w:p>
        </w:tc>
        <w:tc>
          <w:tcPr>
            <w:tcW w:w="480" w:type="pct"/>
            <w:tcBorders>
              <w:top w:val="nil"/>
              <w:left w:val="nil"/>
              <w:bottom w:val="nil"/>
            </w:tcBorders>
            <w:shd w:val="clear" w:color="000000" w:fill="F2F2F2"/>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12%</w:t>
            </w:r>
          </w:p>
        </w:tc>
        <w:tc>
          <w:tcPr>
            <w:tcW w:w="480" w:type="pct"/>
            <w:tcBorders>
              <w:top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990 </w:t>
            </w:r>
          </w:p>
        </w:tc>
        <w:tc>
          <w:tcPr>
            <w:tcW w:w="480" w:type="pct"/>
            <w:tcBorders>
              <w:top w:val="nil"/>
              <w:left w:val="nil"/>
              <w:bottom w:val="nil"/>
              <w:right w:val="nil"/>
            </w:tcBorders>
            <w:shd w:val="clear" w:color="000000" w:fill="F2F2F2"/>
            <w:tcMar>
              <w:top w:w="15" w:type="dxa"/>
              <w:left w:w="15" w:type="dxa"/>
              <w:bottom w:w="0" w:type="dxa"/>
              <w:right w:w="78" w:type="dxa"/>
            </w:tcMar>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1,025 </w:t>
            </w:r>
          </w:p>
        </w:tc>
        <w:tc>
          <w:tcPr>
            <w:tcW w:w="478" w:type="pct"/>
            <w:tcBorders>
              <w:top w:val="nil"/>
              <w:left w:val="nil"/>
              <w:bottom w:val="nil"/>
              <w:right w:val="nil"/>
            </w:tcBorders>
            <w:shd w:val="clear" w:color="000000" w:fill="F2F2F2"/>
            <w:tcMar>
              <w:top w:w="15" w:type="dxa"/>
              <w:left w:w="15" w:type="dxa"/>
              <w:bottom w:w="0" w:type="dxa"/>
              <w:right w:w="78" w:type="dxa"/>
            </w:tcMar>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-3%</w:t>
            </w:r>
          </w:p>
        </w:tc>
      </w:tr>
      <w:tr w:rsidR="006259E6" w:rsidRPr="0098297F" w:rsidTr="0000442E">
        <w:trPr>
          <w:trHeight w:val="113"/>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6259E6" w:rsidRPr="0098297F" w:rsidRDefault="006259E6" w:rsidP="006259E6">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 xml:space="preserve">Έσοδα από </w:t>
            </w:r>
            <w:r w:rsidRPr="00286F74">
              <w:rPr>
                <w:rFonts w:ascii="Segoe UI" w:eastAsia="Segoe UI" w:hAnsi="Segoe UI" w:cs="Segoe UI"/>
                <w:color w:val="000000"/>
                <w:kern w:val="24"/>
                <w:sz w:val="14"/>
                <w:szCs w:val="14"/>
                <w:lang w:eastAsia="el-GR"/>
              </w:rPr>
              <w:t xml:space="preserve">χρηματοοικονομικές </w:t>
            </w:r>
            <w:r w:rsidRPr="0098297F">
              <w:rPr>
                <w:rFonts w:ascii="Segoe UI" w:eastAsia="Segoe UI" w:hAnsi="Segoe UI" w:cs="Segoe UI"/>
                <w:color w:val="000000"/>
                <w:kern w:val="24"/>
                <w:sz w:val="14"/>
                <w:szCs w:val="14"/>
                <w:lang w:eastAsia="el-GR"/>
              </w:rPr>
              <w:t>πράξεις και λοιπά έσοδα</w:t>
            </w:r>
            <w:r w:rsidRPr="00F27E7D">
              <w:rPr>
                <w:rFonts w:ascii="Segoe UI" w:eastAsia="Segoe UI" w:hAnsi="Segoe UI" w:cs="Segoe UI"/>
                <w:color w:val="000000"/>
                <w:kern w:val="24"/>
                <w:sz w:val="14"/>
                <w:szCs w:val="14"/>
                <w:vertAlign w:val="superscript"/>
                <w:lang w:eastAsia="el-GR"/>
              </w:rPr>
              <w:t>1</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45 </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10 </w:t>
            </w:r>
          </w:p>
        </w:tc>
        <w:tc>
          <w:tcPr>
            <w:tcW w:w="480" w:type="pct"/>
            <w:tcBorders>
              <w:top w:val="nil"/>
              <w:left w:val="nil"/>
              <w:bottom w:val="nil"/>
            </w:tcBorders>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&gt;100%</w:t>
            </w:r>
          </w:p>
        </w:tc>
        <w:tc>
          <w:tcPr>
            <w:tcW w:w="480"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830 </w:t>
            </w:r>
          </w:p>
        </w:tc>
        <w:tc>
          <w:tcPr>
            <w:tcW w:w="480" w:type="pct"/>
            <w:tcBorders>
              <w:top w:val="nil"/>
              <w:left w:val="nil"/>
              <w:bottom w:val="nil"/>
              <w:right w:val="nil"/>
            </w:tcBorders>
            <w:shd w:val="clear" w:color="auto" w:fill="auto"/>
            <w:tcMar>
              <w:top w:w="15" w:type="dxa"/>
              <w:left w:w="15" w:type="dxa"/>
              <w:bottom w:w="0" w:type="dxa"/>
              <w:right w:w="78" w:type="dxa"/>
            </w:tcMar>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254 </w:t>
            </w:r>
          </w:p>
        </w:tc>
        <w:tc>
          <w:tcPr>
            <w:tcW w:w="478" w:type="pct"/>
            <w:tcBorders>
              <w:top w:val="nil"/>
              <w:left w:val="nil"/>
              <w:bottom w:val="nil"/>
              <w:right w:val="nil"/>
            </w:tcBorders>
            <w:shd w:val="clear" w:color="auto" w:fill="auto"/>
            <w:tcMar>
              <w:top w:w="15" w:type="dxa"/>
              <w:left w:w="15" w:type="dxa"/>
              <w:bottom w:w="0" w:type="dxa"/>
              <w:right w:w="78" w:type="dxa"/>
            </w:tcMar>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&gt;100%</w:t>
            </w:r>
          </w:p>
        </w:tc>
      </w:tr>
      <w:tr w:rsidR="006259E6" w:rsidRPr="0098297F" w:rsidTr="0000442E">
        <w:trPr>
          <w:trHeight w:val="113"/>
        </w:trPr>
        <w:tc>
          <w:tcPr>
            <w:tcW w:w="2121" w:type="pct"/>
            <w:tcBorders>
              <w:top w:val="nil"/>
              <w:left w:val="nil"/>
              <w:bottom w:val="nil"/>
              <w:right w:val="nil"/>
            </w:tcBorders>
            <w:shd w:val="clear" w:color="auto" w:fill="F2F2F2"/>
            <w:tcMar>
              <w:top w:w="15" w:type="dxa"/>
              <w:left w:w="42" w:type="dxa"/>
              <w:bottom w:w="0" w:type="dxa"/>
              <w:right w:w="15" w:type="dxa"/>
            </w:tcMar>
            <w:vAlign w:val="center"/>
            <w:hideMark/>
          </w:tcPr>
          <w:p w:rsidR="006259E6" w:rsidRPr="0098297F" w:rsidRDefault="006259E6" w:rsidP="006259E6">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Καθαρά λειτουργικά έσοδα </w:t>
            </w:r>
          </w:p>
        </w:tc>
        <w:tc>
          <w:tcPr>
            <w:tcW w:w="480"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396 </w:t>
            </w:r>
          </w:p>
        </w:tc>
        <w:tc>
          <w:tcPr>
            <w:tcW w:w="480"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323 </w:t>
            </w:r>
          </w:p>
        </w:tc>
        <w:tc>
          <w:tcPr>
            <w:tcW w:w="480" w:type="pct"/>
            <w:tcBorders>
              <w:top w:val="nil"/>
              <w:left w:val="nil"/>
              <w:bottom w:val="nil"/>
            </w:tcBorders>
            <w:shd w:val="clear" w:color="000000" w:fill="F2F2F2"/>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23%</w:t>
            </w:r>
          </w:p>
        </w:tc>
        <w:tc>
          <w:tcPr>
            <w:tcW w:w="480" w:type="pct"/>
            <w:tcBorders>
              <w:top w:val="nil"/>
              <w:bottom w:val="nil"/>
              <w:right w:val="nil"/>
            </w:tcBorders>
            <w:shd w:val="clear" w:color="000000" w:fill="F2F2F2"/>
            <w:vAlign w:val="center"/>
          </w:tcPr>
          <w:p w:rsidR="006259E6" w:rsidRPr="003B0D7F" w:rsidRDefault="006259E6" w:rsidP="003B0D7F">
            <w:pPr>
              <w:pStyle w:val="NormalWeb"/>
              <w:spacing w:before="0" w:beforeAutospacing="0" w:after="0" w:afterAutospacing="0"/>
              <w:ind w:right="148"/>
              <w:jc w:val="right"/>
              <w:textAlignment w:val="center"/>
              <w:rPr>
                <w:rFonts w:ascii="Segoe UI" w:hAnsi="Segoe UI" w:cs="Segoe UI"/>
                <w:b/>
                <w:sz w:val="14"/>
                <w:szCs w:val="16"/>
              </w:rPr>
            </w:pPr>
            <w:r w:rsidRPr="003B0D7F">
              <w:rPr>
                <w:rFonts w:ascii="Segoe UI" w:hAnsi="Segoe UI" w:cs="Segoe UI"/>
                <w:b/>
                <w:sz w:val="14"/>
                <w:szCs w:val="16"/>
              </w:rPr>
              <w:t>1</w:t>
            </w:r>
            <w:r w:rsidR="003B0D7F" w:rsidRPr="003B0D7F">
              <w:rPr>
                <w:rFonts w:ascii="Segoe UI" w:hAnsi="Segoe UI" w:cs="Segoe UI"/>
                <w:b/>
                <w:sz w:val="14"/>
                <w:szCs w:val="16"/>
              </w:rPr>
              <w:t>.</w:t>
            </w:r>
            <w:r w:rsidRPr="003B0D7F">
              <w:rPr>
                <w:rFonts w:ascii="Segoe UI" w:hAnsi="Segoe UI" w:cs="Segoe UI"/>
                <w:b/>
                <w:sz w:val="14"/>
                <w:szCs w:val="16"/>
              </w:rPr>
              <w:t xml:space="preserve">819 </w:t>
            </w:r>
          </w:p>
        </w:tc>
        <w:tc>
          <w:tcPr>
            <w:tcW w:w="480" w:type="pct"/>
            <w:tcBorders>
              <w:top w:val="nil"/>
              <w:left w:val="nil"/>
              <w:bottom w:val="nil"/>
              <w:right w:val="nil"/>
            </w:tcBorders>
            <w:shd w:val="clear" w:color="000000" w:fill="F2F2F2"/>
            <w:tcMar>
              <w:top w:w="15" w:type="dxa"/>
              <w:left w:w="15" w:type="dxa"/>
              <w:bottom w:w="0" w:type="dxa"/>
              <w:right w:w="78" w:type="dxa"/>
            </w:tcMar>
            <w:vAlign w:val="center"/>
          </w:tcPr>
          <w:p w:rsidR="006259E6" w:rsidRPr="003B0D7F" w:rsidRDefault="006259E6" w:rsidP="003B0D7F">
            <w:pPr>
              <w:pStyle w:val="NormalWeb"/>
              <w:spacing w:before="0" w:beforeAutospacing="0" w:after="0" w:afterAutospacing="0"/>
              <w:ind w:right="148"/>
              <w:jc w:val="right"/>
              <w:textAlignment w:val="center"/>
              <w:rPr>
                <w:rFonts w:ascii="Segoe UI" w:hAnsi="Segoe UI" w:cs="Segoe UI"/>
                <w:b/>
                <w:sz w:val="14"/>
                <w:szCs w:val="16"/>
              </w:rPr>
            </w:pPr>
            <w:r w:rsidRPr="003B0D7F">
              <w:rPr>
                <w:rFonts w:ascii="Segoe UI" w:hAnsi="Segoe UI" w:cs="Segoe UI"/>
                <w:b/>
                <w:sz w:val="14"/>
                <w:szCs w:val="16"/>
              </w:rPr>
              <w:t>1</w:t>
            </w:r>
            <w:r w:rsidR="003B0D7F">
              <w:rPr>
                <w:rFonts w:ascii="Segoe UI" w:hAnsi="Segoe UI" w:cs="Segoe UI"/>
                <w:b/>
                <w:sz w:val="14"/>
                <w:szCs w:val="16"/>
                <w:lang w:val="en-US"/>
              </w:rPr>
              <w:t>.</w:t>
            </w:r>
            <w:r w:rsidRPr="003B0D7F">
              <w:rPr>
                <w:rFonts w:ascii="Segoe UI" w:hAnsi="Segoe UI" w:cs="Segoe UI"/>
                <w:b/>
                <w:sz w:val="14"/>
                <w:szCs w:val="16"/>
              </w:rPr>
              <w:t xml:space="preserve">279 </w:t>
            </w:r>
          </w:p>
        </w:tc>
        <w:tc>
          <w:tcPr>
            <w:tcW w:w="478" w:type="pct"/>
            <w:tcBorders>
              <w:top w:val="nil"/>
              <w:left w:val="nil"/>
              <w:bottom w:val="nil"/>
              <w:right w:val="nil"/>
            </w:tcBorders>
            <w:shd w:val="clear" w:color="000000" w:fill="F2F2F2"/>
            <w:tcMar>
              <w:top w:w="15" w:type="dxa"/>
              <w:left w:w="15" w:type="dxa"/>
              <w:bottom w:w="0" w:type="dxa"/>
              <w:right w:w="78" w:type="dxa"/>
            </w:tcMar>
            <w:vAlign w:val="bottom"/>
          </w:tcPr>
          <w:p w:rsidR="006259E6" w:rsidRPr="003B0D7F" w:rsidRDefault="006259E6" w:rsidP="006259E6">
            <w:pPr>
              <w:pStyle w:val="NormalWeb"/>
              <w:spacing w:before="0" w:beforeAutospacing="0" w:after="0" w:afterAutospacing="0"/>
              <w:ind w:right="148"/>
              <w:jc w:val="right"/>
              <w:textAlignment w:val="center"/>
              <w:rPr>
                <w:rFonts w:ascii="Segoe UI" w:hAnsi="Segoe UI" w:cs="Segoe UI"/>
                <w:b/>
                <w:i/>
                <w:sz w:val="14"/>
                <w:szCs w:val="16"/>
              </w:rPr>
            </w:pPr>
            <w:r w:rsidRPr="003B0D7F">
              <w:rPr>
                <w:rFonts w:ascii="Segoe UI" w:hAnsi="Segoe UI" w:cs="Segoe UI"/>
                <w:b/>
                <w:i/>
                <w:sz w:val="14"/>
                <w:szCs w:val="16"/>
              </w:rPr>
              <w:t>42%</w:t>
            </w:r>
          </w:p>
        </w:tc>
      </w:tr>
      <w:tr w:rsidR="006259E6" w:rsidRPr="0098297F" w:rsidTr="0000442E">
        <w:trPr>
          <w:trHeight w:val="113"/>
        </w:trPr>
        <w:tc>
          <w:tcPr>
            <w:tcW w:w="2121" w:type="pct"/>
            <w:tcBorders>
              <w:top w:val="nil"/>
              <w:left w:val="nil"/>
              <w:right w:val="nil"/>
            </w:tcBorders>
            <w:shd w:val="clear" w:color="auto" w:fill="auto"/>
            <w:tcMar>
              <w:top w:w="15" w:type="dxa"/>
              <w:left w:w="42" w:type="dxa"/>
              <w:bottom w:w="0" w:type="dxa"/>
              <w:right w:w="15" w:type="dxa"/>
            </w:tcMar>
            <w:vAlign w:val="center"/>
            <w:hideMark/>
          </w:tcPr>
          <w:p w:rsidR="006259E6" w:rsidRPr="0098297F" w:rsidRDefault="006259E6" w:rsidP="006259E6">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Λειτουργικές δαπάνες</w:t>
            </w:r>
          </w:p>
        </w:tc>
        <w:tc>
          <w:tcPr>
            <w:tcW w:w="480" w:type="pct"/>
            <w:tcBorders>
              <w:top w:val="nil"/>
              <w:left w:val="nil"/>
              <w:right w:val="nil"/>
            </w:tcBorders>
            <w:vAlign w:val="center"/>
          </w:tcPr>
          <w:p w:rsidR="006259E6" w:rsidRPr="003B0D7F" w:rsidRDefault="006259E6" w:rsidP="006259E6">
            <w:pPr>
              <w:pStyle w:val="NormalWeb"/>
              <w:spacing w:before="0" w:beforeAutospacing="0" w:after="0" w:afterAutospacing="0"/>
              <w:ind w:right="148"/>
              <w:jc w:val="right"/>
              <w:textAlignment w:val="center"/>
              <w:rPr>
                <w:rFonts w:ascii="Segoe UI" w:hAnsi="Segoe UI" w:cs="Segoe UI"/>
                <w:sz w:val="14"/>
                <w:szCs w:val="16"/>
              </w:rPr>
            </w:pPr>
            <w:r w:rsidRPr="003B0D7F">
              <w:rPr>
                <w:rFonts w:ascii="Segoe UI" w:hAnsi="Segoe UI" w:cs="Segoe UI"/>
                <w:sz w:val="14"/>
                <w:szCs w:val="16"/>
              </w:rPr>
              <w:t xml:space="preserve">(187) </w:t>
            </w:r>
          </w:p>
        </w:tc>
        <w:tc>
          <w:tcPr>
            <w:tcW w:w="480" w:type="pct"/>
            <w:tcBorders>
              <w:top w:val="nil"/>
              <w:left w:val="nil"/>
              <w:right w:val="nil"/>
            </w:tcBorders>
            <w:vAlign w:val="center"/>
          </w:tcPr>
          <w:p w:rsidR="006259E6" w:rsidRPr="003B0D7F" w:rsidRDefault="006259E6" w:rsidP="006259E6">
            <w:pPr>
              <w:pStyle w:val="NormalWeb"/>
              <w:spacing w:before="0" w:beforeAutospacing="0" w:after="0" w:afterAutospacing="0"/>
              <w:ind w:right="148"/>
              <w:jc w:val="right"/>
              <w:textAlignment w:val="center"/>
              <w:rPr>
                <w:rFonts w:ascii="Segoe UI" w:hAnsi="Segoe UI" w:cs="Segoe UI"/>
                <w:sz w:val="14"/>
                <w:szCs w:val="16"/>
              </w:rPr>
            </w:pPr>
            <w:r w:rsidRPr="003B0D7F">
              <w:rPr>
                <w:rFonts w:ascii="Segoe UI" w:hAnsi="Segoe UI" w:cs="Segoe UI"/>
                <w:sz w:val="14"/>
                <w:szCs w:val="16"/>
              </w:rPr>
              <w:t xml:space="preserve">(186) </w:t>
            </w:r>
          </w:p>
        </w:tc>
        <w:tc>
          <w:tcPr>
            <w:tcW w:w="480" w:type="pct"/>
            <w:tcBorders>
              <w:top w:val="nil"/>
              <w:left w:val="nil"/>
            </w:tcBorders>
            <w:vAlign w:val="bottom"/>
          </w:tcPr>
          <w:p w:rsidR="006259E6" w:rsidRPr="003B0D7F" w:rsidRDefault="006259E6" w:rsidP="006259E6">
            <w:pPr>
              <w:pStyle w:val="NormalWeb"/>
              <w:spacing w:before="0" w:beforeAutospacing="0" w:after="0" w:afterAutospacing="0"/>
              <w:ind w:right="148"/>
              <w:jc w:val="right"/>
              <w:textAlignment w:val="center"/>
              <w:rPr>
                <w:rFonts w:ascii="Segoe UI" w:hAnsi="Segoe UI" w:cs="Segoe UI"/>
                <w:i/>
                <w:sz w:val="14"/>
                <w:szCs w:val="16"/>
              </w:rPr>
            </w:pPr>
            <w:r w:rsidRPr="003B0D7F">
              <w:rPr>
                <w:rFonts w:ascii="Segoe UI" w:hAnsi="Segoe UI" w:cs="Segoe UI"/>
                <w:i/>
                <w:sz w:val="14"/>
                <w:szCs w:val="16"/>
              </w:rPr>
              <w:t>1%</w:t>
            </w:r>
          </w:p>
        </w:tc>
        <w:tc>
          <w:tcPr>
            <w:tcW w:w="480" w:type="pct"/>
            <w:tcBorders>
              <w:top w:val="nil"/>
              <w:bottom w:val="nil"/>
              <w:right w:val="nil"/>
            </w:tcBorders>
            <w:shd w:val="clear" w:color="auto" w:fill="auto"/>
            <w:vAlign w:val="center"/>
          </w:tcPr>
          <w:p w:rsidR="006259E6" w:rsidRPr="003B0D7F" w:rsidRDefault="006259E6" w:rsidP="006259E6">
            <w:pPr>
              <w:pStyle w:val="NormalWeb"/>
              <w:spacing w:before="0" w:beforeAutospacing="0" w:after="0" w:afterAutospacing="0"/>
              <w:ind w:right="148"/>
              <w:jc w:val="right"/>
              <w:textAlignment w:val="center"/>
              <w:rPr>
                <w:rFonts w:ascii="Segoe UI" w:hAnsi="Segoe UI" w:cs="Segoe UI"/>
                <w:sz w:val="14"/>
                <w:szCs w:val="16"/>
              </w:rPr>
            </w:pPr>
            <w:r w:rsidRPr="003B0D7F">
              <w:rPr>
                <w:rFonts w:ascii="Segoe UI" w:hAnsi="Segoe UI" w:cs="Segoe UI"/>
                <w:sz w:val="14"/>
                <w:szCs w:val="16"/>
              </w:rPr>
              <w:t xml:space="preserve">(569) </w:t>
            </w:r>
          </w:p>
        </w:tc>
        <w:tc>
          <w:tcPr>
            <w:tcW w:w="480" w:type="pct"/>
            <w:tcBorders>
              <w:top w:val="nil"/>
              <w:left w:val="nil"/>
              <w:bottom w:val="nil"/>
              <w:right w:val="nil"/>
            </w:tcBorders>
            <w:shd w:val="clear" w:color="auto" w:fill="auto"/>
            <w:tcMar>
              <w:top w:w="15" w:type="dxa"/>
              <w:left w:w="15" w:type="dxa"/>
              <w:bottom w:w="0" w:type="dxa"/>
              <w:right w:w="78" w:type="dxa"/>
            </w:tcMar>
            <w:vAlign w:val="center"/>
          </w:tcPr>
          <w:p w:rsidR="006259E6" w:rsidRPr="003B0D7F" w:rsidRDefault="006259E6" w:rsidP="006259E6">
            <w:pPr>
              <w:pStyle w:val="NormalWeb"/>
              <w:spacing w:before="0" w:beforeAutospacing="0" w:after="0" w:afterAutospacing="0"/>
              <w:ind w:right="148"/>
              <w:jc w:val="right"/>
              <w:textAlignment w:val="center"/>
              <w:rPr>
                <w:rFonts w:ascii="Segoe UI" w:hAnsi="Segoe UI" w:cs="Segoe UI"/>
                <w:sz w:val="14"/>
                <w:szCs w:val="16"/>
              </w:rPr>
            </w:pPr>
            <w:r w:rsidRPr="003B0D7F">
              <w:rPr>
                <w:rFonts w:ascii="Segoe UI" w:hAnsi="Segoe UI" w:cs="Segoe UI"/>
                <w:sz w:val="14"/>
                <w:szCs w:val="16"/>
              </w:rPr>
              <w:t xml:space="preserve">(591) </w:t>
            </w:r>
          </w:p>
        </w:tc>
        <w:tc>
          <w:tcPr>
            <w:tcW w:w="478" w:type="pct"/>
            <w:tcBorders>
              <w:top w:val="nil"/>
              <w:left w:val="nil"/>
              <w:bottom w:val="nil"/>
              <w:right w:val="nil"/>
            </w:tcBorders>
            <w:shd w:val="clear" w:color="auto" w:fill="auto"/>
            <w:tcMar>
              <w:top w:w="15" w:type="dxa"/>
              <w:left w:w="15" w:type="dxa"/>
              <w:bottom w:w="0" w:type="dxa"/>
              <w:right w:w="78" w:type="dxa"/>
            </w:tcMar>
            <w:vAlign w:val="bottom"/>
          </w:tcPr>
          <w:p w:rsidR="006259E6" w:rsidRPr="003B0D7F" w:rsidRDefault="006259E6" w:rsidP="006259E6">
            <w:pPr>
              <w:pStyle w:val="NormalWeb"/>
              <w:spacing w:before="0" w:beforeAutospacing="0" w:after="0" w:afterAutospacing="0"/>
              <w:ind w:right="148"/>
              <w:jc w:val="right"/>
              <w:textAlignment w:val="center"/>
              <w:rPr>
                <w:rFonts w:ascii="Segoe UI" w:hAnsi="Segoe UI" w:cs="Segoe UI"/>
                <w:i/>
                <w:sz w:val="14"/>
                <w:szCs w:val="16"/>
              </w:rPr>
            </w:pPr>
            <w:r w:rsidRPr="003B0D7F">
              <w:rPr>
                <w:rFonts w:ascii="Segoe UI" w:hAnsi="Segoe UI" w:cs="Segoe UI"/>
                <w:i/>
                <w:sz w:val="14"/>
                <w:szCs w:val="16"/>
              </w:rPr>
              <w:t>-4%</w:t>
            </w:r>
          </w:p>
        </w:tc>
      </w:tr>
      <w:tr w:rsidR="006259E6" w:rsidRPr="0098297F" w:rsidTr="0000442E">
        <w:trPr>
          <w:trHeight w:val="113"/>
        </w:trPr>
        <w:tc>
          <w:tcPr>
            <w:tcW w:w="2121"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6259E6" w:rsidRPr="0098297F" w:rsidRDefault="006259E6" w:rsidP="006259E6">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Οργανικά κέρδη / (ζημίες) προ προβλέψεων </w:t>
            </w:r>
          </w:p>
        </w:tc>
        <w:tc>
          <w:tcPr>
            <w:tcW w:w="480" w:type="pct"/>
            <w:tcBorders>
              <w:top w:val="nil"/>
              <w:left w:val="nil"/>
              <w:bottom w:val="nil"/>
              <w:right w:val="nil"/>
            </w:tcBorders>
            <w:shd w:val="clear" w:color="000000" w:fill="F2F2F2"/>
            <w:vAlign w:val="center"/>
          </w:tcPr>
          <w:p w:rsidR="006259E6" w:rsidRPr="003B0D7F" w:rsidRDefault="006259E6" w:rsidP="006259E6">
            <w:pPr>
              <w:pStyle w:val="NormalWeb"/>
              <w:spacing w:before="0" w:beforeAutospacing="0" w:after="0" w:afterAutospacing="0"/>
              <w:ind w:right="148"/>
              <w:jc w:val="right"/>
              <w:textAlignment w:val="center"/>
              <w:rPr>
                <w:rFonts w:ascii="Segoe UI" w:hAnsi="Segoe UI" w:cs="Segoe UI"/>
                <w:b/>
                <w:sz w:val="14"/>
                <w:szCs w:val="16"/>
              </w:rPr>
            </w:pPr>
            <w:r w:rsidRPr="003B0D7F">
              <w:rPr>
                <w:rFonts w:ascii="Segoe UI" w:hAnsi="Segoe UI" w:cs="Segoe UI"/>
                <w:b/>
                <w:sz w:val="14"/>
                <w:szCs w:val="16"/>
              </w:rPr>
              <w:t xml:space="preserve">165 </w:t>
            </w:r>
          </w:p>
        </w:tc>
        <w:tc>
          <w:tcPr>
            <w:tcW w:w="480" w:type="pct"/>
            <w:tcBorders>
              <w:top w:val="nil"/>
              <w:left w:val="nil"/>
              <w:bottom w:val="nil"/>
              <w:right w:val="nil"/>
            </w:tcBorders>
            <w:shd w:val="clear" w:color="000000" w:fill="F2F2F2"/>
            <w:vAlign w:val="center"/>
          </w:tcPr>
          <w:p w:rsidR="006259E6" w:rsidRPr="003B0D7F" w:rsidRDefault="006259E6" w:rsidP="006259E6">
            <w:pPr>
              <w:pStyle w:val="NormalWeb"/>
              <w:spacing w:before="0" w:beforeAutospacing="0" w:after="0" w:afterAutospacing="0"/>
              <w:ind w:right="148"/>
              <w:jc w:val="right"/>
              <w:textAlignment w:val="center"/>
              <w:rPr>
                <w:rFonts w:ascii="Segoe UI" w:hAnsi="Segoe UI" w:cs="Segoe UI"/>
                <w:b/>
                <w:sz w:val="14"/>
                <w:szCs w:val="16"/>
              </w:rPr>
            </w:pPr>
            <w:r w:rsidRPr="003B0D7F">
              <w:rPr>
                <w:rFonts w:ascii="Segoe UI" w:hAnsi="Segoe UI" w:cs="Segoe UI"/>
                <w:b/>
                <w:sz w:val="14"/>
                <w:szCs w:val="16"/>
              </w:rPr>
              <w:t xml:space="preserve">128 </w:t>
            </w:r>
          </w:p>
        </w:tc>
        <w:tc>
          <w:tcPr>
            <w:tcW w:w="480" w:type="pct"/>
            <w:tcBorders>
              <w:top w:val="nil"/>
              <w:left w:val="nil"/>
              <w:bottom w:val="nil"/>
            </w:tcBorders>
            <w:shd w:val="clear" w:color="000000" w:fill="F2F2F2"/>
            <w:vAlign w:val="bottom"/>
          </w:tcPr>
          <w:p w:rsidR="006259E6" w:rsidRPr="003B0D7F" w:rsidRDefault="006259E6" w:rsidP="006259E6">
            <w:pPr>
              <w:pStyle w:val="NormalWeb"/>
              <w:spacing w:before="0" w:beforeAutospacing="0" w:after="0" w:afterAutospacing="0"/>
              <w:ind w:right="148"/>
              <w:jc w:val="right"/>
              <w:textAlignment w:val="center"/>
              <w:rPr>
                <w:rFonts w:ascii="Segoe UI" w:hAnsi="Segoe UI" w:cs="Segoe UI"/>
                <w:b/>
                <w:i/>
                <w:sz w:val="14"/>
                <w:szCs w:val="16"/>
              </w:rPr>
            </w:pPr>
            <w:r w:rsidRPr="003B0D7F">
              <w:rPr>
                <w:rFonts w:ascii="Segoe UI" w:hAnsi="Segoe UI" w:cs="Segoe UI"/>
                <w:b/>
                <w:i/>
                <w:sz w:val="14"/>
                <w:szCs w:val="16"/>
              </w:rPr>
              <w:t>29%</w:t>
            </w:r>
          </w:p>
        </w:tc>
        <w:tc>
          <w:tcPr>
            <w:tcW w:w="480" w:type="pct"/>
            <w:tcBorders>
              <w:top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3B0D7F">
              <w:rPr>
                <w:rFonts w:ascii="Segoe UI" w:hAnsi="Segoe UI" w:cs="Segoe UI"/>
                <w:b/>
                <w:sz w:val="14"/>
                <w:szCs w:val="16"/>
              </w:rPr>
              <w:t>42</w:t>
            </w:r>
            <w:r w:rsidRPr="006259E6">
              <w:rPr>
                <w:rFonts w:ascii="Segoe UI" w:hAnsi="Segoe UI" w:cs="Segoe UI"/>
                <w:b/>
                <w:sz w:val="14"/>
                <w:szCs w:val="16"/>
                <w:lang w:val="en-US"/>
              </w:rPr>
              <w:t xml:space="preserve">1 </w:t>
            </w:r>
          </w:p>
        </w:tc>
        <w:tc>
          <w:tcPr>
            <w:tcW w:w="480" w:type="pct"/>
            <w:tcBorders>
              <w:top w:val="nil"/>
              <w:left w:val="nil"/>
              <w:bottom w:val="nil"/>
              <w:right w:val="nil"/>
            </w:tcBorders>
            <w:shd w:val="clear" w:color="000000" w:fill="F2F2F2"/>
            <w:tcMar>
              <w:top w:w="15" w:type="dxa"/>
              <w:left w:w="15" w:type="dxa"/>
              <w:bottom w:w="0" w:type="dxa"/>
              <w:right w:w="78" w:type="dxa"/>
            </w:tcMar>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433 </w:t>
            </w:r>
          </w:p>
        </w:tc>
        <w:tc>
          <w:tcPr>
            <w:tcW w:w="478" w:type="pct"/>
            <w:tcBorders>
              <w:top w:val="nil"/>
              <w:left w:val="nil"/>
              <w:bottom w:val="nil"/>
              <w:right w:val="nil"/>
            </w:tcBorders>
            <w:shd w:val="clear" w:color="000000" w:fill="F2F2F2"/>
            <w:tcMar>
              <w:top w:w="15" w:type="dxa"/>
              <w:left w:w="15" w:type="dxa"/>
              <w:bottom w:w="0" w:type="dxa"/>
              <w:right w:w="78" w:type="dxa"/>
            </w:tcMar>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-3%</w:t>
            </w:r>
          </w:p>
        </w:tc>
      </w:tr>
      <w:tr w:rsidR="006259E6" w:rsidRPr="0098297F" w:rsidTr="0000442E">
        <w:trPr>
          <w:trHeight w:val="113"/>
        </w:trPr>
        <w:tc>
          <w:tcPr>
            <w:tcW w:w="2121"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6259E6" w:rsidRPr="0098297F" w:rsidRDefault="006259E6" w:rsidP="006259E6">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Κέρδη / (ζημίες) προ προβλέψεων</w:t>
            </w:r>
          </w:p>
        </w:tc>
        <w:tc>
          <w:tcPr>
            <w:tcW w:w="480"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210 </w:t>
            </w:r>
          </w:p>
        </w:tc>
        <w:tc>
          <w:tcPr>
            <w:tcW w:w="480"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137 </w:t>
            </w:r>
          </w:p>
        </w:tc>
        <w:tc>
          <w:tcPr>
            <w:tcW w:w="480" w:type="pct"/>
            <w:tcBorders>
              <w:top w:val="nil"/>
              <w:left w:val="nil"/>
              <w:bottom w:val="nil"/>
            </w:tcBorders>
            <w:shd w:val="clear" w:color="000000" w:fill="F2F2F2"/>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53%</w:t>
            </w:r>
          </w:p>
        </w:tc>
        <w:tc>
          <w:tcPr>
            <w:tcW w:w="480" w:type="pct"/>
            <w:tcBorders>
              <w:top w:val="nil"/>
              <w:bottom w:val="nil"/>
              <w:right w:val="nil"/>
            </w:tcBorders>
            <w:shd w:val="clear" w:color="000000" w:fill="F2F2F2"/>
            <w:vAlign w:val="center"/>
          </w:tcPr>
          <w:p w:rsidR="006259E6" w:rsidRPr="006259E6" w:rsidRDefault="006259E6" w:rsidP="003B0D7F">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1</w:t>
            </w:r>
            <w:r w:rsidR="003B0D7F">
              <w:rPr>
                <w:rFonts w:ascii="Segoe UI" w:hAnsi="Segoe UI" w:cs="Segoe UI"/>
                <w:b/>
                <w:sz w:val="14"/>
                <w:szCs w:val="16"/>
                <w:lang w:val="en-US"/>
              </w:rPr>
              <w:t>.</w:t>
            </w:r>
            <w:r w:rsidRPr="006259E6">
              <w:rPr>
                <w:rFonts w:ascii="Segoe UI" w:hAnsi="Segoe UI" w:cs="Segoe UI"/>
                <w:b/>
                <w:sz w:val="14"/>
                <w:szCs w:val="16"/>
                <w:lang w:val="en-US"/>
              </w:rPr>
              <w:t xml:space="preserve">250 </w:t>
            </w:r>
          </w:p>
        </w:tc>
        <w:tc>
          <w:tcPr>
            <w:tcW w:w="480" w:type="pct"/>
            <w:tcBorders>
              <w:top w:val="nil"/>
              <w:left w:val="nil"/>
              <w:bottom w:val="nil"/>
              <w:right w:val="nil"/>
            </w:tcBorders>
            <w:shd w:val="clear" w:color="000000" w:fill="F2F2F2"/>
            <w:tcMar>
              <w:top w:w="15" w:type="dxa"/>
              <w:left w:w="15" w:type="dxa"/>
              <w:bottom w:w="0" w:type="dxa"/>
              <w:right w:w="78" w:type="dxa"/>
            </w:tcMar>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687 </w:t>
            </w:r>
          </w:p>
        </w:tc>
        <w:tc>
          <w:tcPr>
            <w:tcW w:w="478" w:type="pct"/>
            <w:tcBorders>
              <w:top w:val="nil"/>
              <w:left w:val="nil"/>
              <w:bottom w:val="nil"/>
              <w:right w:val="nil"/>
            </w:tcBorders>
            <w:shd w:val="clear" w:color="000000" w:fill="F2F2F2"/>
            <w:tcMar>
              <w:top w:w="15" w:type="dxa"/>
              <w:left w:w="15" w:type="dxa"/>
              <w:bottom w:w="0" w:type="dxa"/>
              <w:right w:w="78" w:type="dxa"/>
            </w:tcMar>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82%</w:t>
            </w:r>
          </w:p>
        </w:tc>
      </w:tr>
      <w:tr w:rsidR="006259E6" w:rsidRPr="0098297F" w:rsidTr="0000442E">
        <w:trPr>
          <w:trHeight w:val="113"/>
        </w:trPr>
        <w:tc>
          <w:tcPr>
            <w:tcW w:w="2121" w:type="pct"/>
            <w:tcBorders>
              <w:top w:val="nil"/>
              <w:left w:val="nil"/>
              <w:right w:val="nil"/>
            </w:tcBorders>
            <w:shd w:val="clear" w:color="auto" w:fill="auto"/>
            <w:tcMar>
              <w:top w:w="15" w:type="dxa"/>
              <w:left w:w="42" w:type="dxa"/>
              <w:bottom w:w="0" w:type="dxa"/>
              <w:right w:w="15" w:type="dxa"/>
            </w:tcMar>
            <w:vAlign w:val="center"/>
            <w:hideMark/>
          </w:tcPr>
          <w:p w:rsidR="006259E6" w:rsidRPr="0098297F" w:rsidRDefault="006259E6" w:rsidP="006259E6">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Προβλέψεις για επισφαλή δάνεια</w:t>
            </w:r>
          </w:p>
        </w:tc>
        <w:tc>
          <w:tcPr>
            <w:tcW w:w="480" w:type="pct"/>
            <w:tcBorders>
              <w:top w:val="nil"/>
              <w:left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(75) </w:t>
            </w:r>
          </w:p>
        </w:tc>
        <w:tc>
          <w:tcPr>
            <w:tcW w:w="480" w:type="pct"/>
            <w:tcBorders>
              <w:top w:val="nil"/>
              <w:left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(75) </w:t>
            </w:r>
          </w:p>
        </w:tc>
        <w:tc>
          <w:tcPr>
            <w:tcW w:w="480" w:type="pct"/>
            <w:tcBorders>
              <w:top w:val="nil"/>
              <w:left w:val="nil"/>
            </w:tcBorders>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-1%</w:t>
            </w:r>
          </w:p>
        </w:tc>
        <w:tc>
          <w:tcPr>
            <w:tcW w:w="480"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(635) </w:t>
            </w:r>
          </w:p>
        </w:tc>
        <w:tc>
          <w:tcPr>
            <w:tcW w:w="480" w:type="pct"/>
            <w:tcBorders>
              <w:top w:val="nil"/>
              <w:left w:val="nil"/>
              <w:bottom w:val="nil"/>
              <w:right w:val="nil"/>
            </w:tcBorders>
            <w:shd w:val="clear" w:color="auto" w:fill="auto"/>
            <w:tcMar>
              <w:top w:w="15" w:type="dxa"/>
              <w:left w:w="15" w:type="dxa"/>
              <w:bottom w:w="0" w:type="dxa"/>
              <w:right w:w="78" w:type="dxa"/>
            </w:tcMar>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(223) </w:t>
            </w:r>
          </w:p>
        </w:tc>
        <w:tc>
          <w:tcPr>
            <w:tcW w:w="478" w:type="pct"/>
            <w:tcBorders>
              <w:top w:val="nil"/>
              <w:left w:val="nil"/>
              <w:bottom w:val="nil"/>
              <w:right w:val="nil"/>
            </w:tcBorders>
            <w:shd w:val="clear" w:color="auto" w:fill="auto"/>
            <w:tcMar>
              <w:top w:w="15" w:type="dxa"/>
              <w:left w:w="15" w:type="dxa"/>
              <w:bottom w:w="0" w:type="dxa"/>
              <w:right w:w="78" w:type="dxa"/>
            </w:tcMar>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&gt;100%</w:t>
            </w:r>
          </w:p>
        </w:tc>
      </w:tr>
      <w:tr w:rsidR="006259E6" w:rsidRPr="0098297F" w:rsidTr="0000442E">
        <w:trPr>
          <w:trHeight w:val="113"/>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6259E6" w:rsidRPr="0098297F" w:rsidRDefault="006259E6" w:rsidP="006259E6">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Λειτουργικά κέρδη / (ζημίες)</w:t>
            </w:r>
          </w:p>
        </w:tc>
        <w:tc>
          <w:tcPr>
            <w:tcW w:w="480" w:type="pct"/>
            <w:tcBorders>
              <w:top w:val="nil"/>
              <w:left w:val="nil"/>
              <w:bottom w:val="nil"/>
              <w:right w:val="nil"/>
            </w:tcBorders>
            <w:vAlign w:val="center"/>
          </w:tcPr>
          <w:p w:rsidR="006259E6" w:rsidRPr="000D6A50"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0D6A50">
              <w:rPr>
                <w:rFonts w:ascii="Segoe UI" w:hAnsi="Segoe UI" w:cs="Segoe UI"/>
                <w:b/>
                <w:sz w:val="14"/>
                <w:szCs w:val="16"/>
                <w:lang w:val="en-US"/>
              </w:rPr>
              <w:t xml:space="preserve">135 </w:t>
            </w:r>
          </w:p>
        </w:tc>
        <w:tc>
          <w:tcPr>
            <w:tcW w:w="480" w:type="pct"/>
            <w:tcBorders>
              <w:top w:val="nil"/>
              <w:left w:val="nil"/>
              <w:bottom w:val="nil"/>
              <w:right w:val="nil"/>
            </w:tcBorders>
            <w:vAlign w:val="center"/>
          </w:tcPr>
          <w:p w:rsidR="006259E6" w:rsidRPr="000D6A50"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0D6A50">
              <w:rPr>
                <w:rFonts w:ascii="Segoe UI" w:hAnsi="Segoe UI" w:cs="Segoe UI"/>
                <w:b/>
                <w:sz w:val="14"/>
                <w:szCs w:val="16"/>
                <w:lang w:val="en-US"/>
              </w:rPr>
              <w:t xml:space="preserve">62 </w:t>
            </w:r>
          </w:p>
        </w:tc>
        <w:tc>
          <w:tcPr>
            <w:tcW w:w="480" w:type="pct"/>
            <w:tcBorders>
              <w:top w:val="nil"/>
              <w:left w:val="nil"/>
              <w:bottom w:val="nil"/>
            </w:tcBorders>
            <w:vAlign w:val="bottom"/>
          </w:tcPr>
          <w:p w:rsidR="006259E6" w:rsidRPr="000D6A50"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0D6A50">
              <w:rPr>
                <w:rFonts w:ascii="Segoe UI" w:hAnsi="Segoe UI" w:cs="Segoe UI"/>
                <w:b/>
                <w:i/>
                <w:sz w:val="14"/>
                <w:szCs w:val="16"/>
                <w:lang w:val="en-US"/>
              </w:rPr>
              <w:t>&gt;100%</w:t>
            </w:r>
          </w:p>
        </w:tc>
        <w:tc>
          <w:tcPr>
            <w:tcW w:w="480" w:type="pct"/>
            <w:tcBorders>
              <w:top w:val="nil"/>
              <w:bottom w:val="nil"/>
              <w:right w:val="nil"/>
            </w:tcBorders>
            <w:shd w:val="clear" w:color="auto" w:fill="auto"/>
            <w:vAlign w:val="center"/>
          </w:tcPr>
          <w:p w:rsidR="006259E6" w:rsidRPr="000D6A50"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0D6A50">
              <w:rPr>
                <w:rFonts w:ascii="Segoe UI" w:hAnsi="Segoe UI" w:cs="Segoe UI"/>
                <w:b/>
                <w:sz w:val="14"/>
                <w:szCs w:val="16"/>
                <w:lang w:val="en-US"/>
              </w:rPr>
              <w:t xml:space="preserve">615 </w:t>
            </w:r>
          </w:p>
        </w:tc>
        <w:tc>
          <w:tcPr>
            <w:tcW w:w="480" w:type="pct"/>
            <w:tcBorders>
              <w:top w:val="nil"/>
              <w:left w:val="nil"/>
              <w:bottom w:val="nil"/>
              <w:right w:val="nil"/>
            </w:tcBorders>
            <w:shd w:val="clear" w:color="auto" w:fill="auto"/>
            <w:tcMar>
              <w:top w:w="15" w:type="dxa"/>
              <w:left w:w="15" w:type="dxa"/>
              <w:bottom w:w="0" w:type="dxa"/>
              <w:right w:w="78" w:type="dxa"/>
            </w:tcMar>
            <w:vAlign w:val="center"/>
          </w:tcPr>
          <w:p w:rsidR="006259E6" w:rsidRPr="000D6A50"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0D6A50">
              <w:rPr>
                <w:rFonts w:ascii="Segoe UI" w:hAnsi="Segoe UI" w:cs="Segoe UI"/>
                <w:b/>
                <w:sz w:val="14"/>
                <w:szCs w:val="16"/>
                <w:lang w:val="en-US"/>
              </w:rPr>
              <w:t xml:space="preserve">464 </w:t>
            </w:r>
          </w:p>
        </w:tc>
        <w:tc>
          <w:tcPr>
            <w:tcW w:w="478" w:type="pct"/>
            <w:tcBorders>
              <w:top w:val="nil"/>
              <w:left w:val="nil"/>
              <w:bottom w:val="nil"/>
              <w:right w:val="nil"/>
            </w:tcBorders>
            <w:shd w:val="clear" w:color="auto" w:fill="auto"/>
            <w:tcMar>
              <w:top w:w="15" w:type="dxa"/>
              <w:left w:w="15" w:type="dxa"/>
              <w:bottom w:w="0" w:type="dxa"/>
              <w:right w:w="78" w:type="dxa"/>
            </w:tcMar>
            <w:vAlign w:val="bottom"/>
          </w:tcPr>
          <w:p w:rsidR="006259E6" w:rsidRPr="000D6A50"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0D6A50">
              <w:rPr>
                <w:rFonts w:ascii="Segoe UI" w:hAnsi="Segoe UI" w:cs="Segoe UI"/>
                <w:b/>
                <w:i/>
                <w:sz w:val="14"/>
                <w:szCs w:val="16"/>
                <w:lang w:val="en-US"/>
              </w:rPr>
              <w:t>33%</w:t>
            </w:r>
          </w:p>
        </w:tc>
      </w:tr>
      <w:tr w:rsidR="006259E6" w:rsidRPr="0098297F" w:rsidTr="0000442E">
        <w:trPr>
          <w:trHeight w:val="113"/>
        </w:trPr>
        <w:tc>
          <w:tcPr>
            <w:tcW w:w="2121" w:type="pct"/>
            <w:tcBorders>
              <w:top w:val="nil"/>
              <w:left w:val="nil"/>
              <w:bottom w:val="nil"/>
              <w:right w:val="nil"/>
            </w:tcBorders>
            <w:shd w:val="clear" w:color="auto" w:fill="auto"/>
            <w:tcMar>
              <w:top w:w="15" w:type="dxa"/>
              <w:left w:w="42" w:type="dxa"/>
              <w:bottom w:w="0" w:type="dxa"/>
              <w:right w:w="15" w:type="dxa"/>
            </w:tcMar>
            <w:vAlign w:val="center"/>
          </w:tcPr>
          <w:p w:rsidR="006259E6" w:rsidRPr="0098297F" w:rsidRDefault="006259E6" w:rsidP="006259E6">
            <w:pPr>
              <w:textAlignment w:val="center"/>
              <w:rPr>
                <w:rFonts w:ascii="Segoe UI" w:eastAsia="Segoe UI" w:hAnsi="Segoe UI" w:cs="Segoe UI"/>
                <w:b/>
                <w:bCs/>
                <w:color w:val="000000"/>
                <w:kern w:val="24"/>
                <w:sz w:val="14"/>
                <w:szCs w:val="14"/>
                <w:lang w:eastAsia="el-GR"/>
              </w:rPr>
            </w:pPr>
            <w:r w:rsidRPr="0098297F">
              <w:rPr>
                <w:rFonts w:ascii="Segoe UI" w:eastAsia="Segoe UI" w:hAnsi="Segoe UI" w:cs="Segoe UI"/>
                <w:b/>
                <w:bCs/>
                <w:color w:val="000000"/>
                <w:kern w:val="24"/>
                <w:sz w:val="14"/>
                <w:szCs w:val="14"/>
                <w:lang w:eastAsia="el-GR"/>
              </w:rPr>
              <w:t>Οργανικά κέρδη / (ζημίες)</w:t>
            </w:r>
            <w:r w:rsidRPr="003A4DE4">
              <w:rPr>
                <w:rFonts w:ascii="Segoe UI" w:eastAsia="Segoe UI" w:hAnsi="Segoe UI" w:cs="Segoe UI"/>
                <w:b/>
                <w:bCs/>
                <w:color w:val="000000"/>
                <w:kern w:val="24"/>
                <w:sz w:val="14"/>
                <w:szCs w:val="14"/>
                <w:vertAlign w:val="superscript"/>
                <w:lang w:eastAsia="el-GR"/>
              </w:rPr>
              <w:t xml:space="preserve">2 </w:t>
            </w:r>
          </w:p>
        </w:tc>
        <w:tc>
          <w:tcPr>
            <w:tcW w:w="480" w:type="pct"/>
            <w:tcBorders>
              <w:top w:val="nil"/>
              <w:left w:val="nil"/>
              <w:bottom w:val="nil"/>
              <w:right w:val="nil"/>
            </w:tcBorders>
            <w:shd w:val="clear" w:color="auto" w:fill="F2F2F2" w:themeFill="background1" w:themeFillShade="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9</w:t>
            </w:r>
            <w:r w:rsidRPr="006259E6">
              <w:rPr>
                <w:rFonts w:ascii="Segoe UI" w:hAnsi="Segoe UI" w:cs="Segoe UI"/>
                <w:b/>
                <w:sz w:val="14"/>
                <w:szCs w:val="16"/>
              </w:rPr>
              <w:t>3</w:t>
            </w:r>
            <w:r w:rsidRPr="006259E6">
              <w:rPr>
                <w:rFonts w:ascii="Segoe UI" w:hAnsi="Segoe UI" w:cs="Segoe UI"/>
                <w:b/>
                <w:sz w:val="14"/>
                <w:szCs w:val="16"/>
                <w:lang w:val="en-US"/>
              </w:rPr>
              <w:t xml:space="preserve"> </w:t>
            </w:r>
          </w:p>
        </w:tc>
        <w:tc>
          <w:tcPr>
            <w:tcW w:w="480" w:type="pct"/>
            <w:tcBorders>
              <w:top w:val="nil"/>
              <w:left w:val="nil"/>
              <w:bottom w:val="nil"/>
              <w:right w:val="nil"/>
            </w:tcBorders>
            <w:shd w:val="clear" w:color="auto" w:fill="F2F2F2" w:themeFill="background1" w:themeFillShade="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63 </w:t>
            </w:r>
          </w:p>
        </w:tc>
        <w:tc>
          <w:tcPr>
            <w:tcW w:w="480" w:type="pct"/>
            <w:tcBorders>
              <w:top w:val="nil"/>
              <w:left w:val="nil"/>
              <w:bottom w:val="nil"/>
            </w:tcBorders>
            <w:shd w:val="clear" w:color="auto" w:fill="F2F2F2" w:themeFill="background1" w:themeFillShade="F2"/>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rPr>
              <w:t>48</w:t>
            </w:r>
            <w:r w:rsidRPr="006259E6">
              <w:rPr>
                <w:rFonts w:ascii="Segoe UI" w:hAnsi="Segoe UI" w:cs="Segoe UI"/>
                <w:b/>
                <w:i/>
                <w:sz w:val="14"/>
                <w:szCs w:val="16"/>
                <w:lang w:val="en-US"/>
              </w:rPr>
              <w:t>%</w:t>
            </w:r>
          </w:p>
        </w:tc>
        <w:tc>
          <w:tcPr>
            <w:tcW w:w="480" w:type="pct"/>
            <w:tcBorders>
              <w:top w:val="nil"/>
              <w:bottom w:val="nil"/>
              <w:right w:val="nil"/>
            </w:tcBorders>
            <w:shd w:val="clear" w:color="auto" w:fill="F2F2F2" w:themeFill="background1" w:themeFillShade="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21</w:t>
            </w:r>
            <w:r w:rsidRPr="006259E6">
              <w:rPr>
                <w:rFonts w:ascii="Segoe UI" w:hAnsi="Segoe UI" w:cs="Segoe UI"/>
                <w:b/>
                <w:sz w:val="14"/>
                <w:szCs w:val="16"/>
              </w:rPr>
              <w:t>5</w:t>
            </w:r>
            <w:r w:rsidRPr="006259E6">
              <w:rPr>
                <w:rFonts w:ascii="Segoe UI" w:hAnsi="Segoe UI" w:cs="Segoe UI"/>
                <w:b/>
                <w:sz w:val="14"/>
                <w:szCs w:val="16"/>
                <w:lang w:val="en-US"/>
              </w:rPr>
              <w:t xml:space="preserve"> </w:t>
            </w:r>
          </w:p>
        </w:tc>
        <w:tc>
          <w:tcPr>
            <w:tcW w:w="480" w:type="pct"/>
            <w:tcBorders>
              <w:top w:val="nil"/>
              <w:left w:val="nil"/>
              <w:bottom w:val="nil"/>
              <w:right w:val="nil"/>
            </w:tcBorders>
            <w:shd w:val="clear" w:color="auto" w:fill="F2F2F2" w:themeFill="background1" w:themeFillShade="F2"/>
            <w:tcMar>
              <w:top w:w="15" w:type="dxa"/>
              <w:left w:w="15" w:type="dxa"/>
              <w:bottom w:w="0" w:type="dxa"/>
              <w:right w:w="78" w:type="dxa"/>
            </w:tcMar>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210 </w:t>
            </w:r>
          </w:p>
        </w:tc>
        <w:tc>
          <w:tcPr>
            <w:tcW w:w="478" w:type="pct"/>
            <w:tcBorders>
              <w:top w:val="nil"/>
              <w:left w:val="nil"/>
              <w:bottom w:val="nil"/>
              <w:right w:val="nil"/>
            </w:tcBorders>
            <w:shd w:val="clear" w:color="auto" w:fill="F2F2F2" w:themeFill="background1" w:themeFillShade="F2"/>
            <w:tcMar>
              <w:top w:w="15" w:type="dxa"/>
              <w:left w:w="15" w:type="dxa"/>
              <w:bottom w:w="0" w:type="dxa"/>
              <w:right w:w="78" w:type="dxa"/>
            </w:tcMar>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2%</w:t>
            </w:r>
          </w:p>
        </w:tc>
      </w:tr>
      <w:tr w:rsidR="006259E6" w:rsidRPr="0098297F" w:rsidTr="0000442E">
        <w:trPr>
          <w:trHeight w:val="113"/>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6259E6" w:rsidRPr="0098297F" w:rsidRDefault="008F3901" w:rsidP="006259E6">
            <w:pPr>
              <w:textAlignment w:val="center"/>
              <w:rPr>
                <w:rFonts w:ascii="Segoe UI" w:eastAsia="Times New Roman" w:hAnsi="Segoe UI" w:cs="Segoe UI"/>
                <w:sz w:val="14"/>
                <w:szCs w:val="14"/>
                <w:lang w:eastAsia="el-GR"/>
              </w:rPr>
            </w:pPr>
            <w:r w:rsidRPr="008F3901">
              <w:rPr>
                <w:rFonts w:ascii="Segoe UI" w:eastAsia="Segoe UI" w:hAnsi="Segoe UI" w:cs="Segoe UI"/>
                <w:color w:val="000000"/>
                <w:kern w:val="24"/>
                <w:sz w:val="14"/>
                <w:szCs w:val="14"/>
                <w:lang w:eastAsia="el-GR"/>
              </w:rPr>
              <w:t>Λοιπές προβλέψεις / αντιλογισμός προβλέψεων</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3 </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(8) </w:t>
            </w:r>
          </w:p>
        </w:tc>
        <w:tc>
          <w:tcPr>
            <w:tcW w:w="480" w:type="pct"/>
            <w:tcBorders>
              <w:top w:val="nil"/>
              <w:left w:val="nil"/>
              <w:bottom w:val="nil"/>
            </w:tcBorders>
            <w:vAlign w:val="bottom"/>
          </w:tcPr>
          <w:p w:rsidR="006259E6" w:rsidRPr="006259E6" w:rsidRDefault="007B197B" w:rsidP="006259E6">
            <w:pPr>
              <w:pStyle w:val="NormalWeb"/>
              <w:spacing w:before="0" w:beforeAutospacing="0" w:after="0" w:afterAutospacing="0"/>
              <w:ind w:right="148"/>
              <w:jc w:val="right"/>
              <w:textAlignment w:val="center"/>
              <w:rPr>
                <w:rFonts w:ascii="Segoe UI" w:hAnsi="Segoe UI" w:cs="Segoe UI"/>
                <w:i/>
                <w:sz w:val="14"/>
                <w:szCs w:val="16"/>
                <w:lang w:val="en-US"/>
              </w:rPr>
            </w:pPr>
            <w:r>
              <w:rPr>
                <w:rFonts w:ascii="Segoe UI" w:hAnsi="Segoe UI" w:cs="Segoe UI"/>
                <w:i/>
                <w:sz w:val="14"/>
                <w:szCs w:val="16"/>
                <w:lang w:val="en-US"/>
              </w:rPr>
              <w:t>--</w:t>
            </w:r>
          </w:p>
        </w:tc>
        <w:tc>
          <w:tcPr>
            <w:tcW w:w="480"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(17) </w:t>
            </w:r>
          </w:p>
        </w:tc>
        <w:tc>
          <w:tcPr>
            <w:tcW w:w="480" w:type="pct"/>
            <w:tcBorders>
              <w:top w:val="nil"/>
              <w:left w:val="nil"/>
              <w:bottom w:val="nil"/>
              <w:right w:val="nil"/>
            </w:tcBorders>
            <w:shd w:val="clear" w:color="auto" w:fill="auto"/>
            <w:tcMar>
              <w:top w:w="15" w:type="dxa"/>
              <w:left w:w="15" w:type="dxa"/>
              <w:bottom w:w="0" w:type="dxa"/>
              <w:right w:w="78" w:type="dxa"/>
            </w:tcMar>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20 </w:t>
            </w:r>
          </w:p>
        </w:tc>
        <w:tc>
          <w:tcPr>
            <w:tcW w:w="478" w:type="pct"/>
            <w:tcBorders>
              <w:top w:val="nil"/>
              <w:left w:val="nil"/>
              <w:bottom w:val="nil"/>
              <w:right w:val="nil"/>
            </w:tcBorders>
            <w:shd w:val="clear" w:color="auto" w:fill="auto"/>
            <w:tcMar>
              <w:top w:w="15" w:type="dxa"/>
              <w:left w:w="15" w:type="dxa"/>
              <w:bottom w:w="0" w:type="dxa"/>
              <w:right w:w="84" w:type="dxa"/>
            </w:tcMar>
            <w:vAlign w:val="bottom"/>
          </w:tcPr>
          <w:p w:rsidR="006259E6" w:rsidRPr="006259E6" w:rsidRDefault="007B197B" w:rsidP="006259E6">
            <w:pPr>
              <w:pStyle w:val="NormalWeb"/>
              <w:spacing w:before="0" w:beforeAutospacing="0" w:after="0" w:afterAutospacing="0"/>
              <w:ind w:right="148"/>
              <w:jc w:val="right"/>
              <w:textAlignment w:val="center"/>
              <w:rPr>
                <w:rFonts w:ascii="Segoe UI" w:hAnsi="Segoe UI" w:cs="Segoe UI"/>
                <w:i/>
                <w:sz w:val="14"/>
                <w:szCs w:val="16"/>
                <w:lang w:val="en-US"/>
              </w:rPr>
            </w:pPr>
            <w:r>
              <w:rPr>
                <w:rFonts w:ascii="Segoe UI" w:hAnsi="Segoe UI" w:cs="Segoe UI"/>
                <w:i/>
                <w:sz w:val="14"/>
                <w:szCs w:val="16"/>
                <w:lang w:val="en-US"/>
              </w:rPr>
              <w:t>--</w:t>
            </w:r>
          </w:p>
        </w:tc>
      </w:tr>
      <w:tr w:rsidR="006259E6" w:rsidRPr="0098297F" w:rsidTr="0000442E">
        <w:trPr>
          <w:trHeight w:val="113"/>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6259E6" w:rsidRPr="0098297F" w:rsidRDefault="006259E6" w:rsidP="006259E6">
            <w:pPr>
              <w:textAlignment w:val="center"/>
              <w:rPr>
                <w:rFonts w:ascii="Segoe UI" w:eastAsia="Times New Roman" w:hAnsi="Segoe UI" w:cs="Segoe UI"/>
                <w:b/>
                <w:sz w:val="14"/>
                <w:szCs w:val="14"/>
                <w:lang w:eastAsia="el-GR"/>
              </w:rPr>
            </w:pPr>
            <w:r w:rsidRPr="0098297F">
              <w:rPr>
                <w:rFonts w:ascii="Segoe UI" w:eastAsia="Segoe UI" w:hAnsi="Segoe UI" w:cs="Segoe UI"/>
                <w:b/>
                <w:color w:val="000000"/>
                <w:kern w:val="24"/>
                <w:sz w:val="14"/>
                <w:szCs w:val="14"/>
                <w:lang w:eastAsia="el-GR"/>
              </w:rPr>
              <w:t>Κέρδη / (ζημίες) προ φόρων</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138 </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55 </w:t>
            </w:r>
          </w:p>
        </w:tc>
        <w:tc>
          <w:tcPr>
            <w:tcW w:w="480" w:type="pct"/>
            <w:tcBorders>
              <w:top w:val="nil"/>
              <w:left w:val="nil"/>
              <w:bottom w:val="nil"/>
            </w:tcBorders>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&gt;100%</w:t>
            </w:r>
          </w:p>
        </w:tc>
        <w:tc>
          <w:tcPr>
            <w:tcW w:w="480"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598 </w:t>
            </w:r>
          </w:p>
        </w:tc>
        <w:tc>
          <w:tcPr>
            <w:tcW w:w="480" w:type="pct"/>
            <w:tcBorders>
              <w:top w:val="nil"/>
              <w:left w:val="nil"/>
              <w:bottom w:val="nil"/>
              <w:right w:val="nil"/>
            </w:tcBorders>
            <w:shd w:val="clear" w:color="auto" w:fill="auto"/>
            <w:tcMar>
              <w:top w:w="15" w:type="dxa"/>
              <w:left w:w="15" w:type="dxa"/>
              <w:bottom w:w="0" w:type="dxa"/>
              <w:right w:w="78" w:type="dxa"/>
            </w:tcMar>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484 </w:t>
            </w:r>
          </w:p>
        </w:tc>
        <w:tc>
          <w:tcPr>
            <w:tcW w:w="478" w:type="pct"/>
            <w:tcBorders>
              <w:top w:val="nil"/>
              <w:left w:val="nil"/>
              <w:bottom w:val="nil"/>
              <w:right w:val="nil"/>
            </w:tcBorders>
            <w:shd w:val="clear" w:color="auto" w:fill="auto"/>
            <w:tcMar>
              <w:top w:w="15" w:type="dxa"/>
              <w:left w:w="15" w:type="dxa"/>
              <w:bottom w:w="0" w:type="dxa"/>
              <w:right w:w="84" w:type="dxa"/>
            </w:tcMar>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24%</w:t>
            </w:r>
          </w:p>
        </w:tc>
      </w:tr>
      <w:tr w:rsidR="006259E6" w:rsidRPr="0098297F" w:rsidTr="0000442E">
        <w:trPr>
          <w:trHeight w:val="113"/>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6259E6" w:rsidRPr="0098297F" w:rsidRDefault="006259E6" w:rsidP="006259E6">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 xml:space="preserve">Φόροι </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(2) </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(2) </w:t>
            </w:r>
          </w:p>
        </w:tc>
        <w:tc>
          <w:tcPr>
            <w:tcW w:w="480" w:type="pct"/>
            <w:tcBorders>
              <w:top w:val="nil"/>
              <w:left w:val="nil"/>
              <w:bottom w:val="nil"/>
            </w:tcBorders>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0%</w:t>
            </w:r>
          </w:p>
        </w:tc>
        <w:tc>
          <w:tcPr>
            <w:tcW w:w="480"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(5) </w:t>
            </w:r>
          </w:p>
        </w:tc>
        <w:tc>
          <w:tcPr>
            <w:tcW w:w="480" w:type="pct"/>
            <w:tcBorders>
              <w:top w:val="nil"/>
              <w:left w:val="nil"/>
              <w:bottom w:val="nil"/>
              <w:right w:val="nil"/>
            </w:tcBorders>
            <w:shd w:val="clear" w:color="auto" w:fill="auto"/>
            <w:tcMar>
              <w:top w:w="15" w:type="dxa"/>
              <w:left w:w="15" w:type="dxa"/>
              <w:bottom w:w="0" w:type="dxa"/>
              <w:right w:w="78" w:type="dxa"/>
            </w:tcMar>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(8) </w:t>
            </w:r>
          </w:p>
        </w:tc>
        <w:tc>
          <w:tcPr>
            <w:tcW w:w="478" w:type="pct"/>
            <w:tcBorders>
              <w:top w:val="nil"/>
              <w:left w:val="nil"/>
              <w:bottom w:val="nil"/>
              <w:right w:val="nil"/>
            </w:tcBorders>
            <w:shd w:val="clear" w:color="auto" w:fill="auto"/>
            <w:tcMar>
              <w:top w:w="15" w:type="dxa"/>
              <w:left w:w="15" w:type="dxa"/>
              <w:bottom w:w="0" w:type="dxa"/>
              <w:right w:w="84" w:type="dxa"/>
            </w:tcMar>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-40%</w:t>
            </w:r>
          </w:p>
        </w:tc>
      </w:tr>
      <w:tr w:rsidR="006259E6" w:rsidRPr="0098297F" w:rsidTr="0000442E">
        <w:trPr>
          <w:trHeight w:val="113"/>
        </w:trPr>
        <w:tc>
          <w:tcPr>
            <w:tcW w:w="2121" w:type="pct"/>
            <w:tcBorders>
              <w:top w:val="nil"/>
              <w:left w:val="nil"/>
              <w:bottom w:val="nil"/>
              <w:right w:val="nil"/>
            </w:tcBorders>
            <w:shd w:val="clear" w:color="auto" w:fill="F2F2F2"/>
            <w:tcMar>
              <w:top w:w="15" w:type="dxa"/>
              <w:left w:w="42" w:type="dxa"/>
              <w:bottom w:w="0" w:type="dxa"/>
              <w:right w:w="15" w:type="dxa"/>
            </w:tcMar>
            <w:vAlign w:val="center"/>
            <w:hideMark/>
          </w:tcPr>
          <w:p w:rsidR="006259E6" w:rsidRPr="0098297F" w:rsidRDefault="006259E6" w:rsidP="006259E6">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Κέρδη / (ζημίες) </w:t>
            </w:r>
            <w:r w:rsidRPr="00B4445A">
              <w:rPr>
                <w:rFonts w:ascii="Segoe UI" w:eastAsia="Segoe UI" w:hAnsi="Segoe UI" w:cs="Segoe UI"/>
                <w:b/>
                <w:bCs/>
                <w:color w:val="000000"/>
                <w:kern w:val="24"/>
                <w:sz w:val="14"/>
                <w:szCs w:val="14"/>
                <w:lang w:eastAsia="el-GR"/>
              </w:rPr>
              <w:t xml:space="preserve">μετά από φόρους </w:t>
            </w:r>
            <w:r w:rsidRPr="0098297F">
              <w:rPr>
                <w:rFonts w:ascii="Segoe UI" w:eastAsia="Segoe UI" w:hAnsi="Segoe UI" w:cs="Segoe UI"/>
                <w:b/>
                <w:bCs/>
                <w:color w:val="000000"/>
                <w:kern w:val="24"/>
                <w:sz w:val="14"/>
                <w:szCs w:val="14"/>
                <w:lang w:eastAsia="el-GR"/>
              </w:rPr>
              <w:t>(συνεχ</w:t>
            </w:r>
            <w:r>
              <w:rPr>
                <w:rFonts w:ascii="Segoe UI" w:eastAsia="Segoe UI" w:hAnsi="Segoe UI" w:cs="Segoe UI"/>
                <w:b/>
                <w:bCs/>
                <w:color w:val="000000"/>
                <w:kern w:val="24"/>
                <w:sz w:val="14"/>
                <w:szCs w:val="14"/>
                <w:lang w:eastAsia="el-GR"/>
              </w:rPr>
              <w:t>/μ</w:t>
            </w:r>
            <w:r w:rsidRPr="0098297F">
              <w:rPr>
                <w:rFonts w:ascii="Segoe UI" w:eastAsia="Segoe UI" w:hAnsi="Segoe UI" w:cs="Segoe UI"/>
                <w:b/>
                <w:bCs/>
                <w:color w:val="000000"/>
                <w:kern w:val="24"/>
                <w:sz w:val="14"/>
                <w:szCs w:val="14"/>
                <w:lang w:eastAsia="el-GR"/>
              </w:rPr>
              <w:t>ενες δραστ</w:t>
            </w:r>
            <w:r w:rsidRPr="00B473E6">
              <w:rPr>
                <w:rFonts w:ascii="Segoe UI" w:eastAsia="Segoe UI" w:hAnsi="Segoe UI" w:cs="Segoe UI"/>
                <w:b/>
                <w:bCs/>
                <w:color w:val="000000"/>
                <w:kern w:val="24"/>
                <w:sz w:val="14"/>
                <w:szCs w:val="14"/>
                <w:lang w:eastAsia="el-GR"/>
              </w:rPr>
              <w:t>/</w:t>
            </w:r>
            <w:r w:rsidRPr="0098297F">
              <w:rPr>
                <w:rFonts w:ascii="Segoe UI" w:eastAsia="Segoe UI" w:hAnsi="Segoe UI" w:cs="Segoe UI"/>
                <w:b/>
                <w:bCs/>
                <w:color w:val="000000"/>
                <w:kern w:val="24"/>
                <w:sz w:val="14"/>
                <w:szCs w:val="14"/>
                <w:lang w:eastAsia="el-GR"/>
              </w:rPr>
              <w:t>τητες)</w:t>
            </w:r>
          </w:p>
        </w:tc>
        <w:tc>
          <w:tcPr>
            <w:tcW w:w="480"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136 </w:t>
            </w:r>
          </w:p>
        </w:tc>
        <w:tc>
          <w:tcPr>
            <w:tcW w:w="480"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53 </w:t>
            </w:r>
          </w:p>
        </w:tc>
        <w:tc>
          <w:tcPr>
            <w:tcW w:w="480" w:type="pct"/>
            <w:tcBorders>
              <w:top w:val="nil"/>
              <w:left w:val="nil"/>
              <w:bottom w:val="nil"/>
            </w:tcBorders>
            <w:shd w:val="clear" w:color="000000" w:fill="F2F2F2"/>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&gt;100%</w:t>
            </w:r>
          </w:p>
        </w:tc>
        <w:tc>
          <w:tcPr>
            <w:tcW w:w="480" w:type="pct"/>
            <w:tcBorders>
              <w:top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594 </w:t>
            </w:r>
          </w:p>
        </w:tc>
        <w:tc>
          <w:tcPr>
            <w:tcW w:w="480" w:type="pct"/>
            <w:tcBorders>
              <w:top w:val="nil"/>
              <w:left w:val="nil"/>
              <w:bottom w:val="nil"/>
              <w:right w:val="nil"/>
            </w:tcBorders>
            <w:shd w:val="clear" w:color="000000" w:fill="F2F2F2"/>
            <w:tcMar>
              <w:top w:w="15" w:type="dxa"/>
              <w:left w:w="15" w:type="dxa"/>
              <w:bottom w:w="0" w:type="dxa"/>
              <w:right w:w="78" w:type="dxa"/>
            </w:tcMar>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476 </w:t>
            </w:r>
          </w:p>
        </w:tc>
        <w:tc>
          <w:tcPr>
            <w:tcW w:w="478" w:type="pct"/>
            <w:tcBorders>
              <w:top w:val="nil"/>
              <w:left w:val="nil"/>
              <w:bottom w:val="nil"/>
              <w:right w:val="nil"/>
            </w:tcBorders>
            <w:shd w:val="clear" w:color="000000" w:fill="F2F2F2"/>
            <w:tcMar>
              <w:top w:w="15" w:type="dxa"/>
              <w:left w:w="15" w:type="dxa"/>
              <w:bottom w:w="0" w:type="dxa"/>
              <w:right w:w="84" w:type="dxa"/>
            </w:tcMar>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25%</w:t>
            </w:r>
          </w:p>
        </w:tc>
      </w:tr>
      <w:tr w:rsidR="006259E6" w:rsidRPr="0098297F" w:rsidTr="0000442E">
        <w:trPr>
          <w:trHeight w:val="113"/>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6259E6" w:rsidRPr="0098297F" w:rsidRDefault="006259E6" w:rsidP="006259E6">
            <w:pPr>
              <w:textAlignment w:val="center"/>
              <w:rPr>
                <w:rFonts w:ascii="Segoe UI" w:eastAsia="Times New Roman" w:hAnsi="Segoe UI" w:cs="Segoe UI"/>
                <w:sz w:val="14"/>
                <w:szCs w:val="14"/>
                <w:lang w:eastAsia="el-GR"/>
              </w:rPr>
            </w:pPr>
            <w:r w:rsidRPr="0098297F">
              <w:rPr>
                <w:rFonts w:ascii="Segoe UI" w:eastAsia="Segoe UI" w:hAnsi="Segoe UI" w:cs="Segoe UI"/>
                <w:bCs/>
                <w:color w:val="000000"/>
                <w:kern w:val="24"/>
                <w:sz w:val="14"/>
                <w:szCs w:val="14"/>
                <w:lang w:eastAsia="el-GR"/>
              </w:rPr>
              <w:t xml:space="preserve">Κέρδη / (ζημίες) </w:t>
            </w:r>
            <w:r w:rsidRPr="00B4445A">
              <w:rPr>
                <w:rFonts w:ascii="Segoe UI" w:eastAsia="Segoe UI" w:hAnsi="Segoe UI" w:cs="Segoe UI"/>
                <w:bCs/>
                <w:color w:val="000000"/>
                <w:kern w:val="24"/>
                <w:sz w:val="14"/>
                <w:szCs w:val="14"/>
                <w:lang w:eastAsia="el-GR"/>
              </w:rPr>
              <w:t xml:space="preserve">μετά από φόρους </w:t>
            </w:r>
            <w:r w:rsidRPr="0098297F">
              <w:rPr>
                <w:rFonts w:ascii="Segoe UI" w:eastAsia="Segoe UI" w:hAnsi="Segoe UI" w:cs="Segoe UI"/>
                <w:bCs/>
                <w:color w:val="000000"/>
                <w:kern w:val="24"/>
                <w:sz w:val="14"/>
                <w:szCs w:val="14"/>
                <w:lang w:eastAsia="el-GR"/>
              </w:rPr>
              <w:t>(διακοπείσες δραστηριότητες)</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(20) </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14 </w:t>
            </w:r>
          </w:p>
        </w:tc>
        <w:tc>
          <w:tcPr>
            <w:tcW w:w="480" w:type="pct"/>
            <w:tcBorders>
              <w:top w:val="nil"/>
              <w:left w:val="nil"/>
              <w:bottom w:val="nil"/>
            </w:tcBorders>
            <w:vAlign w:val="bottom"/>
          </w:tcPr>
          <w:p w:rsidR="006259E6" w:rsidRPr="006259E6" w:rsidRDefault="007B197B" w:rsidP="006259E6">
            <w:pPr>
              <w:pStyle w:val="NormalWeb"/>
              <w:spacing w:before="0" w:beforeAutospacing="0" w:after="0" w:afterAutospacing="0"/>
              <w:ind w:right="148"/>
              <w:jc w:val="right"/>
              <w:textAlignment w:val="center"/>
              <w:rPr>
                <w:rFonts w:ascii="Segoe UI" w:hAnsi="Segoe UI" w:cs="Segoe UI"/>
                <w:i/>
                <w:sz w:val="14"/>
                <w:szCs w:val="16"/>
                <w:lang w:val="en-US"/>
              </w:rPr>
            </w:pPr>
            <w:r>
              <w:rPr>
                <w:rFonts w:ascii="Segoe UI" w:hAnsi="Segoe UI" w:cs="Segoe UI"/>
                <w:i/>
                <w:sz w:val="14"/>
                <w:szCs w:val="16"/>
                <w:lang w:val="en-US"/>
              </w:rPr>
              <w:t>--</w:t>
            </w:r>
          </w:p>
        </w:tc>
        <w:tc>
          <w:tcPr>
            <w:tcW w:w="480"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 </w:t>
            </w:r>
          </w:p>
        </w:tc>
        <w:tc>
          <w:tcPr>
            <w:tcW w:w="480" w:type="pct"/>
            <w:tcBorders>
              <w:top w:val="nil"/>
              <w:left w:val="nil"/>
              <w:bottom w:val="nil"/>
              <w:right w:val="nil"/>
            </w:tcBorders>
            <w:shd w:val="clear" w:color="auto" w:fill="auto"/>
            <w:tcMar>
              <w:top w:w="15" w:type="dxa"/>
              <w:left w:w="15" w:type="dxa"/>
              <w:bottom w:w="0" w:type="dxa"/>
              <w:right w:w="78" w:type="dxa"/>
            </w:tcMar>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105 </w:t>
            </w:r>
          </w:p>
        </w:tc>
        <w:tc>
          <w:tcPr>
            <w:tcW w:w="478" w:type="pct"/>
            <w:tcBorders>
              <w:top w:val="nil"/>
              <w:left w:val="nil"/>
              <w:bottom w:val="nil"/>
              <w:right w:val="nil"/>
            </w:tcBorders>
            <w:shd w:val="clear" w:color="auto" w:fill="auto"/>
            <w:tcMar>
              <w:top w:w="15" w:type="dxa"/>
              <w:left w:w="15" w:type="dxa"/>
              <w:bottom w:w="0" w:type="dxa"/>
              <w:right w:w="84" w:type="dxa"/>
            </w:tcMar>
            <w:vAlign w:val="bottom"/>
          </w:tcPr>
          <w:p w:rsidR="006259E6" w:rsidRPr="006259E6" w:rsidRDefault="007B197B" w:rsidP="006259E6">
            <w:pPr>
              <w:pStyle w:val="NormalWeb"/>
              <w:spacing w:before="0" w:beforeAutospacing="0" w:after="0" w:afterAutospacing="0"/>
              <w:ind w:right="148"/>
              <w:jc w:val="right"/>
              <w:textAlignment w:val="center"/>
              <w:rPr>
                <w:rFonts w:ascii="Segoe UI" w:hAnsi="Segoe UI" w:cs="Segoe UI"/>
                <w:i/>
                <w:sz w:val="14"/>
                <w:szCs w:val="16"/>
                <w:lang w:val="en-US"/>
              </w:rPr>
            </w:pPr>
            <w:r>
              <w:rPr>
                <w:rFonts w:ascii="Segoe UI" w:hAnsi="Segoe UI" w:cs="Segoe UI"/>
                <w:i/>
                <w:sz w:val="14"/>
                <w:szCs w:val="16"/>
                <w:lang w:val="en-US"/>
              </w:rPr>
              <w:t>--</w:t>
            </w:r>
          </w:p>
        </w:tc>
      </w:tr>
      <w:tr w:rsidR="006259E6" w:rsidRPr="0098297F" w:rsidTr="0000442E">
        <w:trPr>
          <w:trHeight w:val="113"/>
        </w:trPr>
        <w:tc>
          <w:tcPr>
            <w:tcW w:w="2121" w:type="pct"/>
            <w:tcBorders>
              <w:top w:val="nil"/>
              <w:left w:val="nil"/>
              <w:bottom w:val="nil"/>
              <w:right w:val="nil"/>
            </w:tcBorders>
            <w:shd w:val="clear" w:color="auto" w:fill="auto"/>
            <w:tcMar>
              <w:top w:w="15" w:type="dxa"/>
              <w:left w:w="42" w:type="dxa"/>
              <w:bottom w:w="0" w:type="dxa"/>
              <w:right w:w="15" w:type="dxa"/>
            </w:tcMar>
            <w:vAlign w:val="center"/>
          </w:tcPr>
          <w:p w:rsidR="006259E6" w:rsidRPr="0098297F" w:rsidRDefault="006259E6" w:rsidP="006259E6">
            <w:pPr>
              <w:textAlignment w:val="center"/>
              <w:rPr>
                <w:rFonts w:ascii="Segoe UI" w:eastAsia="Segoe UI" w:hAnsi="Segoe UI" w:cs="Segoe UI"/>
                <w:color w:val="000000"/>
                <w:kern w:val="24"/>
                <w:sz w:val="14"/>
                <w:szCs w:val="14"/>
                <w:lang w:eastAsia="el-GR"/>
              </w:rPr>
            </w:pPr>
            <w:r w:rsidRPr="0098297F">
              <w:rPr>
                <w:rFonts w:ascii="Segoe UI" w:eastAsia="Segoe UI" w:hAnsi="Segoe UI" w:cs="Segoe UI"/>
                <w:color w:val="000000"/>
                <w:kern w:val="24"/>
                <w:sz w:val="14"/>
                <w:szCs w:val="14"/>
                <w:lang w:eastAsia="el-GR"/>
              </w:rPr>
              <w:t>ΛΕΠΕΤΕ</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(9) </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(9) </w:t>
            </w:r>
          </w:p>
        </w:tc>
        <w:tc>
          <w:tcPr>
            <w:tcW w:w="480" w:type="pct"/>
            <w:tcBorders>
              <w:top w:val="nil"/>
              <w:left w:val="nil"/>
              <w:bottom w:val="nil"/>
            </w:tcBorders>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7%</w:t>
            </w:r>
          </w:p>
        </w:tc>
        <w:tc>
          <w:tcPr>
            <w:tcW w:w="480"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(28) </w:t>
            </w:r>
          </w:p>
        </w:tc>
        <w:tc>
          <w:tcPr>
            <w:tcW w:w="480" w:type="pct"/>
            <w:tcBorders>
              <w:top w:val="nil"/>
              <w:left w:val="nil"/>
              <w:bottom w:val="nil"/>
              <w:right w:val="nil"/>
            </w:tcBorders>
            <w:shd w:val="clear" w:color="auto" w:fill="auto"/>
            <w:tcMar>
              <w:top w:w="15" w:type="dxa"/>
              <w:left w:w="15" w:type="dxa"/>
              <w:bottom w:w="0" w:type="dxa"/>
              <w:right w:w="78" w:type="dxa"/>
            </w:tcMar>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(36) </w:t>
            </w:r>
          </w:p>
        </w:tc>
        <w:tc>
          <w:tcPr>
            <w:tcW w:w="478" w:type="pct"/>
            <w:tcBorders>
              <w:top w:val="nil"/>
              <w:left w:val="nil"/>
              <w:bottom w:val="nil"/>
              <w:right w:val="nil"/>
            </w:tcBorders>
            <w:shd w:val="clear" w:color="auto" w:fill="auto"/>
            <w:tcMar>
              <w:top w:w="15" w:type="dxa"/>
              <w:left w:w="15" w:type="dxa"/>
              <w:bottom w:w="0" w:type="dxa"/>
              <w:right w:w="84" w:type="dxa"/>
            </w:tcMar>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-22%</w:t>
            </w:r>
          </w:p>
        </w:tc>
      </w:tr>
      <w:tr w:rsidR="006259E6" w:rsidRPr="0098297F" w:rsidTr="0000442E">
        <w:trPr>
          <w:trHeight w:val="113"/>
        </w:trPr>
        <w:tc>
          <w:tcPr>
            <w:tcW w:w="2121" w:type="pct"/>
            <w:tcBorders>
              <w:top w:val="nil"/>
              <w:left w:val="nil"/>
              <w:bottom w:val="nil"/>
              <w:right w:val="nil"/>
            </w:tcBorders>
            <w:shd w:val="clear" w:color="auto" w:fill="auto"/>
            <w:tcMar>
              <w:top w:w="15" w:type="dxa"/>
              <w:left w:w="42" w:type="dxa"/>
              <w:bottom w:w="0" w:type="dxa"/>
              <w:right w:w="15" w:type="dxa"/>
            </w:tcMar>
            <w:vAlign w:val="center"/>
            <w:hideMark/>
          </w:tcPr>
          <w:p w:rsidR="006259E6" w:rsidRPr="0098297F" w:rsidRDefault="006259E6" w:rsidP="006259E6">
            <w:pPr>
              <w:textAlignment w:val="center"/>
              <w:rPr>
                <w:rFonts w:ascii="Segoe UI" w:eastAsia="Segoe UI" w:hAnsi="Segoe UI" w:cs="Segoe UI"/>
                <w:color w:val="000000"/>
                <w:kern w:val="24"/>
                <w:sz w:val="14"/>
                <w:szCs w:val="14"/>
                <w:lang w:eastAsia="el-GR"/>
              </w:rPr>
            </w:pPr>
            <w:r>
              <w:rPr>
                <w:rFonts w:ascii="Segoe UI" w:eastAsia="Segoe UI" w:hAnsi="Segoe UI" w:cs="Segoe UI"/>
                <w:color w:val="000000"/>
                <w:kern w:val="24"/>
                <w:sz w:val="14"/>
                <w:szCs w:val="14"/>
                <w:lang w:eastAsia="el-GR"/>
              </w:rPr>
              <w:t xml:space="preserve">Κόστος Εθελουσίας, </w:t>
            </w:r>
            <w:r w:rsidRPr="00E95FD5">
              <w:rPr>
                <w:rFonts w:ascii="Segoe UI" w:eastAsia="Segoe UI" w:hAnsi="Segoe UI" w:cs="Segoe UI"/>
                <w:color w:val="000000"/>
                <w:kern w:val="24"/>
                <w:sz w:val="14"/>
                <w:szCs w:val="14"/>
                <w:lang w:eastAsia="el-GR"/>
              </w:rPr>
              <w:t>κόστη αναδ</w:t>
            </w:r>
            <w:r>
              <w:rPr>
                <w:rFonts w:ascii="Segoe UI" w:eastAsia="Segoe UI" w:hAnsi="Segoe UI" w:cs="Segoe UI"/>
                <w:color w:val="000000"/>
                <w:kern w:val="24"/>
                <w:sz w:val="14"/>
                <w:szCs w:val="14"/>
                <w:lang w:eastAsia="el-GR"/>
              </w:rPr>
              <w:t>/σης κ λοιπά έκτακτα κόστη</w:t>
            </w:r>
            <w:r>
              <w:rPr>
                <w:rFonts w:ascii="Segoe UI" w:eastAsia="Segoe UI" w:hAnsi="Segoe UI" w:cs="Segoe UI"/>
                <w:color w:val="000000"/>
                <w:kern w:val="24"/>
                <w:sz w:val="14"/>
                <w:szCs w:val="14"/>
                <w:vertAlign w:val="superscript"/>
                <w:lang w:eastAsia="el-GR"/>
              </w:rPr>
              <w:t>3</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(15) </w:t>
            </w:r>
          </w:p>
        </w:tc>
        <w:tc>
          <w:tcPr>
            <w:tcW w:w="480"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(3) </w:t>
            </w:r>
          </w:p>
        </w:tc>
        <w:tc>
          <w:tcPr>
            <w:tcW w:w="480" w:type="pct"/>
            <w:tcBorders>
              <w:top w:val="nil"/>
              <w:left w:val="nil"/>
              <w:bottom w:val="nil"/>
            </w:tcBorders>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93%</w:t>
            </w:r>
          </w:p>
        </w:tc>
        <w:tc>
          <w:tcPr>
            <w:tcW w:w="480"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(103) </w:t>
            </w:r>
          </w:p>
        </w:tc>
        <w:tc>
          <w:tcPr>
            <w:tcW w:w="480" w:type="pct"/>
            <w:tcBorders>
              <w:top w:val="nil"/>
              <w:left w:val="nil"/>
              <w:bottom w:val="nil"/>
              <w:right w:val="nil"/>
            </w:tcBorders>
            <w:shd w:val="clear" w:color="auto" w:fill="auto"/>
            <w:tcMar>
              <w:top w:w="15" w:type="dxa"/>
              <w:left w:w="15" w:type="dxa"/>
              <w:bottom w:w="0" w:type="dxa"/>
              <w:right w:w="78" w:type="dxa"/>
            </w:tcMar>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(110) </w:t>
            </w:r>
          </w:p>
        </w:tc>
        <w:tc>
          <w:tcPr>
            <w:tcW w:w="478" w:type="pct"/>
            <w:tcBorders>
              <w:top w:val="nil"/>
              <w:left w:val="nil"/>
              <w:bottom w:val="nil"/>
              <w:right w:val="nil"/>
            </w:tcBorders>
            <w:shd w:val="clear" w:color="auto" w:fill="auto"/>
            <w:tcMar>
              <w:top w:w="15" w:type="dxa"/>
              <w:left w:w="15" w:type="dxa"/>
              <w:bottom w:w="0" w:type="dxa"/>
              <w:right w:w="84" w:type="dxa"/>
            </w:tcMar>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-6%</w:t>
            </w:r>
          </w:p>
        </w:tc>
      </w:tr>
      <w:tr w:rsidR="006259E6" w:rsidRPr="0098297F" w:rsidTr="0000442E">
        <w:trPr>
          <w:trHeight w:val="113"/>
        </w:trPr>
        <w:tc>
          <w:tcPr>
            <w:tcW w:w="2121" w:type="pct"/>
            <w:tcBorders>
              <w:top w:val="nil"/>
              <w:left w:val="nil"/>
              <w:right w:val="nil"/>
            </w:tcBorders>
            <w:shd w:val="clear" w:color="auto" w:fill="auto"/>
            <w:tcMar>
              <w:top w:w="15" w:type="dxa"/>
              <w:left w:w="42" w:type="dxa"/>
              <w:bottom w:w="0" w:type="dxa"/>
              <w:right w:w="15" w:type="dxa"/>
            </w:tcMar>
            <w:vAlign w:val="center"/>
          </w:tcPr>
          <w:p w:rsidR="006259E6" w:rsidRPr="0098297F" w:rsidRDefault="006259E6" w:rsidP="006259E6">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Δικαιώματα μειοψηφίας</w:t>
            </w:r>
          </w:p>
        </w:tc>
        <w:tc>
          <w:tcPr>
            <w:tcW w:w="480" w:type="pct"/>
            <w:tcBorders>
              <w:top w:val="nil"/>
              <w:left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 </w:t>
            </w:r>
          </w:p>
        </w:tc>
        <w:tc>
          <w:tcPr>
            <w:tcW w:w="480" w:type="pct"/>
            <w:tcBorders>
              <w:top w:val="nil"/>
              <w:left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 </w:t>
            </w:r>
          </w:p>
        </w:tc>
        <w:tc>
          <w:tcPr>
            <w:tcW w:w="480" w:type="pct"/>
            <w:tcBorders>
              <w:top w:val="nil"/>
              <w:left w:val="nil"/>
            </w:tcBorders>
            <w:vAlign w:val="bottom"/>
          </w:tcPr>
          <w:p w:rsidR="006259E6" w:rsidRPr="006259E6" w:rsidRDefault="007B197B" w:rsidP="006259E6">
            <w:pPr>
              <w:pStyle w:val="NormalWeb"/>
              <w:spacing w:before="0" w:beforeAutospacing="0" w:after="0" w:afterAutospacing="0"/>
              <w:ind w:right="148"/>
              <w:jc w:val="right"/>
              <w:textAlignment w:val="center"/>
              <w:rPr>
                <w:rFonts w:ascii="Segoe UI" w:hAnsi="Segoe UI" w:cs="Segoe UI"/>
                <w:i/>
                <w:sz w:val="14"/>
                <w:szCs w:val="16"/>
                <w:lang w:val="en-US"/>
              </w:rPr>
            </w:pPr>
            <w:r>
              <w:rPr>
                <w:rFonts w:ascii="Segoe UI" w:hAnsi="Segoe UI" w:cs="Segoe UI"/>
                <w:i/>
                <w:sz w:val="14"/>
                <w:szCs w:val="16"/>
                <w:lang w:val="en-US"/>
              </w:rPr>
              <w:t>--</w:t>
            </w:r>
          </w:p>
        </w:tc>
        <w:tc>
          <w:tcPr>
            <w:tcW w:w="480"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 </w:t>
            </w:r>
          </w:p>
        </w:tc>
        <w:tc>
          <w:tcPr>
            <w:tcW w:w="480" w:type="pct"/>
            <w:tcBorders>
              <w:top w:val="nil"/>
              <w:left w:val="nil"/>
              <w:bottom w:val="nil"/>
              <w:right w:val="nil"/>
            </w:tcBorders>
            <w:shd w:val="clear" w:color="auto" w:fill="auto"/>
            <w:tcMar>
              <w:top w:w="15" w:type="dxa"/>
              <w:left w:w="15" w:type="dxa"/>
              <w:bottom w:w="0" w:type="dxa"/>
              <w:right w:w="78" w:type="dxa"/>
            </w:tcMar>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(17) </w:t>
            </w:r>
          </w:p>
        </w:tc>
        <w:tc>
          <w:tcPr>
            <w:tcW w:w="478" w:type="pct"/>
            <w:tcBorders>
              <w:top w:val="nil"/>
              <w:left w:val="nil"/>
              <w:bottom w:val="nil"/>
              <w:right w:val="nil"/>
            </w:tcBorders>
            <w:shd w:val="clear" w:color="auto" w:fill="auto"/>
            <w:tcMar>
              <w:top w:w="15" w:type="dxa"/>
              <w:left w:w="15" w:type="dxa"/>
              <w:bottom w:w="0" w:type="dxa"/>
              <w:right w:w="84" w:type="dxa"/>
            </w:tcMar>
            <w:vAlign w:val="bottom"/>
          </w:tcPr>
          <w:p w:rsidR="006259E6" w:rsidRPr="006259E6" w:rsidRDefault="007B197B" w:rsidP="006259E6">
            <w:pPr>
              <w:pStyle w:val="NormalWeb"/>
              <w:spacing w:before="0" w:beforeAutospacing="0" w:after="0" w:afterAutospacing="0"/>
              <w:ind w:right="148"/>
              <w:jc w:val="right"/>
              <w:textAlignment w:val="center"/>
              <w:rPr>
                <w:rFonts w:ascii="Segoe UI" w:hAnsi="Segoe UI" w:cs="Segoe UI"/>
                <w:i/>
                <w:sz w:val="14"/>
                <w:szCs w:val="16"/>
                <w:lang w:val="en-US"/>
              </w:rPr>
            </w:pPr>
            <w:r>
              <w:rPr>
                <w:rFonts w:ascii="Segoe UI" w:hAnsi="Segoe UI" w:cs="Segoe UI"/>
                <w:i/>
                <w:sz w:val="14"/>
                <w:szCs w:val="16"/>
                <w:lang w:val="en-US"/>
              </w:rPr>
              <w:t>--</w:t>
            </w:r>
          </w:p>
        </w:tc>
      </w:tr>
      <w:tr w:rsidR="006259E6" w:rsidRPr="0098297F" w:rsidTr="0000442E">
        <w:trPr>
          <w:trHeight w:val="113"/>
        </w:trPr>
        <w:tc>
          <w:tcPr>
            <w:tcW w:w="2121" w:type="pct"/>
            <w:tcBorders>
              <w:top w:val="nil"/>
              <w:left w:val="nil"/>
              <w:bottom w:val="single" w:sz="12" w:space="0" w:color="000000"/>
              <w:right w:val="nil"/>
            </w:tcBorders>
            <w:shd w:val="clear" w:color="auto" w:fill="F2F2F2" w:themeFill="background1" w:themeFillShade="F2"/>
            <w:tcMar>
              <w:top w:w="15" w:type="dxa"/>
              <w:left w:w="42" w:type="dxa"/>
              <w:bottom w:w="0" w:type="dxa"/>
              <w:right w:w="15" w:type="dxa"/>
            </w:tcMar>
            <w:vAlign w:val="center"/>
          </w:tcPr>
          <w:p w:rsidR="006259E6" w:rsidRPr="0098297F" w:rsidRDefault="006259E6" w:rsidP="006259E6">
            <w:pPr>
              <w:jc w:val="both"/>
              <w:textAlignment w:val="center"/>
              <w:rPr>
                <w:rFonts w:ascii="Segoe UI" w:eastAsia="Segoe UI" w:hAnsi="Segoe UI" w:cs="Segoe UI"/>
                <w:color w:val="000000"/>
                <w:kern w:val="24"/>
                <w:sz w:val="14"/>
                <w:szCs w:val="14"/>
                <w:lang w:eastAsia="el-GR"/>
              </w:rPr>
            </w:pPr>
            <w:r w:rsidRPr="0098297F">
              <w:rPr>
                <w:rFonts w:ascii="Segoe UI" w:eastAsia="Segoe UI" w:hAnsi="Segoe UI" w:cs="Segoe UI"/>
                <w:b/>
                <w:color w:val="000000"/>
                <w:kern w:val="24"/>
                <w:sz w:val="14"/>
                <w:szCs w:val="14"/>
                <w:lang w:eastAsia="el-GR"/>
              </w:rPr>
              <w:t xml:space="preserve">Κέρδη / (ζημίες) μετά </w:t>
            </w:r>
            <w:r w:rsidRPr="00976026">
              <w:rPr>
                <w:rFonts w:ascii="Segoe UI" w:eastAsia="Segoe UI" w:hAnsi="Segoe UI" w:cs="Segoe UI"/>
                <w:b/>
                <w:color w:val="000000"/>
                <w:kern w:val="24"/>
                <w:sz w:val="14"/>
                <w:szCs w:val="14"/>
                <w:lang w:eastAsia="el-GR"/>
              </w:rPr>
              <w:t xml:space="preserve">από φόρους </w:t>
            </w:r>
            <w:r w:rsidRPr="0098297F">
              <w:rPr>
                <w:rFonts w:ascii="Segoe UI" w:eastAsia="Segoe UI" w:hAnsi="Segoe UI" w:cs="Segoe UI"/>
                <w:b/>
                <w:color w:val="000000"/>
                <w:kern w:val="24"/>
                <w:sz w:val="14"/>
                <w:szCs w:val="14"/>
                <w:lang w:eastAsia="el-GR"/>
              </w:rPr>
              <w:t>περιόδου</w:t>
            </w:r>
          </w:p>
        </w:tc>
        <w:tc>
          <w:tcPr>
            <w:tcW w:w="480" w:type="pct"/>
            <w:tcBorders>
              <w:top w:val="nil"/>
              <w:left w:val="nil"/>
              <w:bottom w:val="single" w:sz="12" w:space="0" w:color="000000"/>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102 </w:t>
            </w:r>
          </w:p>
        </w:tc>
        <w:tc>
          <w:tcPr>
            <w:tcW w:w="480" w:type="pct"/>
            <w:tcBorders>
              <w:top w:val="nil"/>
              <w:left w:val="nil"/>
              <w:bottom w:val="single" w:sz="12" w:space="0" w:color="000000"/>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55 </w:t>
            </w:r>
          </w:p>
        </w:tc>
        <w:tc>
          <w:tcPr>
            <w:tcW w:w="480" w:type="pct"/>
            <w:tcBorders>
              <w:top w:val="nil"/>
              <w:left w:val="nil"/>
              <w:bottom w:val="single" w:sz="12" w:space="0" w:color="000000"/>
            </w:tcBorders>
            <w:shd w:val="clear" w:color="000000" w:fill="F2F2F2"/>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85%</w:t>
            </w:r>
          </w:p>
        </w:tc>
        <w:tc>
          <w:tcPr>
            <w:tcW w:w="480" w:type="pct"/>
            <w:tcBorders>
              <w:top w:val="nil"/>
              <w:bottom w:val="single" w:sz="12" w:space="0" w:color="auto"/>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461 </w:t>
            </w:r>
          </w:p>
        </w:tc>
        <w:tc>
          <w:tcPr>
            <w:tcW w:w="480" w:type="pct"/>
            <w:tcBorders>
              <w:top w:val="nil"/>
              <w:left w:val="nil"/>
              <w:bottom w:val="single" w:sz="12" w:space="0" w:color="auto"/>
              <w:right w:val="nil"/>
            </w:tcBorders>
            <w:shd w:val="clear" w:color="000000" w:fill="F2F2F2"/>
            <w:tcMar>
              <w:top w:w="15" w:type="dxa"/>
              <w:left w:w="15" w:type="dxa"/>
              <w:bottom w:w="0" w:type="dxa"/>
              <w:right w:w="78" w:type="dxa"/>
            </w:tcMar>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419 </w:t>
            </w:r>
          </w:p>
        </w:tc>
        <w:tc>
          <w:tcPr>
            <w:tcW w:w="478" w:type="pct"/>
            <w:tcBorders>
              <w:top w:val="nil"/>
              <w:left w:val="nil"/>
              <w:bottom w:val="single" w:sz="12" w:space="0" w:color="auto"/>
              <w:right w:val="nil"/>
            </w:tcBorders>
            <w:shd w:val="clear" w:color="000000" w:fill="F2F2F2"/>
            <w:tcMar>
              <w:top w:w="15" w:type="dxa"/>
              <w:left w:w="15" w:type="dxa"/>
              <w:bottom w:w="0" w:type="dxa"/>
              <w:right w:w="84" w:type="dxa"/>
            </w:tcMar>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10%</w:t>
            </w:r>
          </w:p>
        </w:tc>
      </w:tr>
    </w:tbl>
    <w:p w:rsidR="00683A2B" w:rsidRPr="00F73358" w:rsidRDefault="00132FA3" w:rsidP="00E55AED">
      <w:pPr>
        <w:textAlignment w:val="baseline"/>
        <w:rPr>
          <w:rFonts w:ascii="Segoe UI" w:hAnsi="Segoe UI" w:cs="Segoe UI"/>
          <w:color w:val="000000" w:themeColor="text1"/>
          <w:kern w:val="24"/>
          <w:sz w:val="7"/>
          <w:szCs w:val="7"/>
        </w:rPr>
      </w:pPr>
      <w:r w:rsidRPr="00F73358">
        <w:rPr>
          <w:rFonts w:ascii="Segoe UI" w:hAnsi="Segoe UI" w:cs="Segoe UI"/>
          <w:color w:val="000000" w:themeColor="text1"/>
          <w:kern w:val="24"/>
          <w:sz w:val="7"/>
          <w:szCs w:val="7"/>
          <w:vertAlign w:val="superscript"/>
        </w:rPr>
        <w:t>1</w:t>
      </w:r>
      <w:r w:rsidR="005315A3" w:rsidRPr="00F73358">
        <w:rPr>
          <w:rFonts w:ascii="Segoe UI" w:hAnsi="Segoe UI" w:cs="Segoe UI"/>
          <w:color w:val="000000" w:themeColor="text1"/>
          <w:kern w:val="24"/>
          <w:sz w:val="7"/>
          <w:szCs w:val="7"/>
          <w:vertAlign w:val="superscript"/>
        </w:rPr>
        <w:t xml:space="preserve"> </w:t>
      </w:r>
      <w:r w:rsidR="005315A3" w:rsidRPr="00F73358">
        <w:rPr>
          <w:rFonts w:ascii="Segoe UI" w:hAnsi="Segoe UI" w:cs="Segoe UI"/>
          <w:color w:val="000000" w:themeColor="text1"/>
          <w:kern w:val="24"/>
          <w:sz w:val="7"/>
          <w:szCs w:val="7"/>
        </w:rPr>
        <w:t xml:space="preserve">Περιλαμβάνουν μη επαναλαμβανόμενα κέρδη σχετιζόμενα με (α) την ανταλλαγή τριών υφιστάμενων ΟΕΔ που κατείχε η ΕΤΕ με ένα νέο ΟΕΔ ύψους €515 εκατ. και την πώληση ΟΕΔ στο χαρτοφυλάκιο «διακρατούμενων για την είσπραξη συμβατικών ταμειακών ροών και για ενδεχόμενη πώληση» (HTCS) ύψους €264 εκατ. το Α΄ τρίμηνο 2020 και (β) την αντικατάσταση της Συμφωνίας Ανταλλαγής Επιτοκίων με ΟΕΔ ύψους €65 εκατ. Α’ τρίμηνο 2019, την πώληση του ξενοδοχείου “Grand Hotel” ύψους €30 εκατ. το Β’ τρίμηνο 2019, καθώς και την πώληση κρατικών ομολόγων το Γ’ τρίμηνο 2019 (€118 εκατ.) / </w:t>
      </w:r>
      <w:r w:rsidR="005315A3" w:rsidRPr="00F73358">
        <w:rPr>
          <w:rFonts w:ascii="Segoe UI" w:hAnsi="Segoe UI" w:cs="Segoe UI"/>
          <w:color w:val="000000" w:themeColor="text1"/>
          <w:kern w:val="24"/>
          <w:sz w:val="7"/>
          <w:szCs w:val="7"/>
          <w:vertAlign w:val="superscript"/>
        </w:rPr>
        <w:t xml:space="preserve">2 </w:t>
      </w:r>
      <w:r w:rsidR="005315A3" w:rsidRPr="00F73358">
        <w:rPr>
          <w:rFonts w:ascii="Segoe UI" w:hAnsi="Segoe UI" w:cs="Segoe UI"/>
          <w:color w:val="000000" w:themeColor="text1"/>
          <w:kern w:val="24"/>
          <w:sz w:val="7"/>
          <w:szCs w:val="7"/>
        </w:rPr>
        <w:t xml:space="preserve">Εξαιρούν τα έσοδα από χρηματοοικονομικές πράξεις και λοιπά έσοδα και τις προβλέψεις σχετιζόμενες με την πανδημία του κορωνοϊού ύψους €416 εκατ. το Α’ τρίμηνο 2020, €10 εκατ. το Β’ τρίμηνο 2020 και €3 εκατ. το Γ’ τρίμηνο 2020  / </w:t>
      </w:r>
      <w:r w:rsidR="005315A3" w:rsidRPr="00F73358">
        <w:rPr>
          <w:rFonts w:ascii="Segoe UI" w:hAnsi="Segoe UI" w:cs="Segoe UI"/>
          <w:color w:val="000000" w:themeColor="text1"/>
          <w:kern w:val="24"/>
          <w:sz w:val="7"/>
          <w:szCs w:val="7"/>
          <w:vertAlign w:val="superscript"/>
        </w:rPr>
        <w:t xml:space="preserve">3 </w:t>
      </w:r>
      <w:r w:rsidR="005315A3" w:rsidRPr="00F73358">
        <w:rPr>
          <w:rFonts w:ascii="Segoe UI" w:hAnsi="Segoe UI" w:cs="Segoe UI"/>
          <w:color w:val="000000" w:themeColor="text1"/>
          <w:kern w:val="24"/>
          <w:sz w:val="7"/>
          <w:szCs w:val="7"/>
        </w:rPr>
        <w:t>Κόστος Εθελουσίας Εξόδου Προσωπικού (€90 εκατ.), κόστη αναδιάρθρωσης (€8 εκατ.) και λοιπές μη επαναλαμβανόμενες δαπάνες (€5 εκατ.) το Εννεάμηνο 2020 &amp; κόστος Εθελουσίας Εξόδου Προσωπικού (€94 εκατ.) και κόστη αναδιάρθρωσης (€14 εκατ.) και λοιπές μη επαναλαμβανόμενες δαπάνες (€2 εκατ.) το Εννεάμηνο 2019</w:t>
      </w:r>
    </w:p>
    <w:p w:rsidR="00C1497D" w:rsidRDefault="00C1497D" w:rsidP="00E55AED">
      <w:pPr>
        <w:textAlignment w:val="baseline"/>
        <w:rPr>
          <w:rFonts w:ascii="Segoe UI" w:hAnsi="Segoe UI" w:cs="Segoe UI"/>
          <w:color w:val="000000" w:themeColor="text1"/>
          <w:kern w:val="24"/>
          <w:sz w:val="8"/>
          <w:szCs w:val="10"/>
        </w:rPr>
      </w:pPr>
    </w:p>
    <w:p w:rsidR="00C1497D" w:rsidRPr="00D26A04" w:rsidRDefault="00810B16" w:rsidP="00E55AED">
      <w:pPr>
        <w:textAlignment w:val="baseline"/>
        <w:rPr>
          <w:rFonts w:ascii="Segoe UI" w:hAnsi="Segoe UI" w:cs="Segoe UI"/>
          <w:color w:val="000000" w:themeColor="text1"/>
          <w:kern w:val="24"/>
          <w:sz w:val="8"/>
          <w:szCs w:val="10"/>
        </w:rPr>
      </w:pPr>
      <w:r>
        <w:rPr>
          <w:rFonts w:ascii="Segoe UI" w:hAnsi="Segoe UI" w:cs="Segoe UI"/>
          <w:noProof/>
          <w:sz w:val="28"/>
          <w:vertAlign w:val="superscript"/>
          <w:lang w:eastAsia="el-GR"/>
        </w:rPr>
        <mc:AlternateContent>
          <mc:Choice Requires="wps">
            <w:drawing>
              <wp:anchor distT="0" distB="0" distL="114300" distR="114300" simplePos="0" relativeHeight="251657728" behindDoc="0" locked="0" layoutInCell="1" allowOverlap="1" wp14:anchorId="4529919F" wp14:editId="66C46563">
                <wp:simplePos x="0" y="0"/>
                <wp:positionH relativeFrom="column">
                  <wp:posOffset>-45291</wp:posOffset>
                </wp:positionH>
                <wp:positionV relativeFrom="paragraph">
                  <wp:posOffset>55245</wp:posOffset>
                </wp:positionV>
                <wp:extent cx="4274185" cy="329565"/>
                <wp:effectExtent l="0" t="0" r="0" b="0"/>
                <wp:wrapNone/>
                <wp:docPr id="750847106" name="Rectangle 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274185" cy="329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F56" w:rsidRPr="00705BB6" w:rsidRDefault="00D95F56" w:rsidP="00E55AED">
                            <w:pPr>
                              <w:kinsoku w:val="0"/>
                              <w:overflowPunct w:val="0"/>
                              <w:spacing w:before="40"/>
                              <w:ind w:left="547" w:hanging="547"/>
                              <w:textAlignment w:val="baseline"/>
                              <w:rPr>
                                <w:rFonts w:ascii="Segoe UI" w:eastAsia="Segoe UI" w:hAnsi="Segoe UI" w:cs="Segoe UI"/>
                                <w:b/>
                                <w:color w:val="008080"/>
                                <w:kern w:val="24"/>
                                <w:sz w:val="20"/>
                                <w:u w:val="single"/>
                                <w:lang w:val="en-US"/>
                              </w:rPr>
                            </w:pPr>
                            <w:r w:rsidRPr="00793815">
                              <w:rPr>
                                <w:rFonts w:ascii="Segoe UI" w:eastAsia="Segoe UI" w:hAnsi="Segoe UI" w:cs="Segoe UI"/>
                                <w:b/>
                                <w:color w:val="008080"/>
                                <w:kern w:val="24"/>
                                <w:sz w:val="20"/>
                              </w:rPr>
                              <w:t xml:space="preserve">Κατάσταση Αποτελεσμάτων </w:t>
                            </w:r>
                            <w:r w:rsidRPr="00DE335A">
                              <w:rPr>
                                <w:rFonts w:ascii="Segoe UI" w:eastAsia="Segoe UI" w:hAnsi="Segoe UI" w:cs="Segoe UI"/>
                                <w:b/>
                                <w:color w:val="008080"/>
                                <w:kern w:val="24"/>
                                <w:sz w:val="20"/>
                              </w:rPr>
                              <w:t xml:space="preserve">| </w:t>
                            </w:r>
                            <w:r>
                              <w:rPr>
                                <w:rFonts w:ascii="Segoe UI" w:eastAsia="Segoe UI" w:hAnsi="Segoe UI" w:cs="Segoe UI"/>
                                <w:b/>
                                <w:color w:val="008080"/>
                                <w:kern w:val="24"/>
                                <w:sz w:val="20"/>
                              </w:rPr>
                              <w:t>Δ</w:t>
                            </w:r>
                            <w:r w:rsidRPr="00DE335A">
                              <w:rPr>
                                <w:rFonts w:ascii="Segoe UI" w:eastAsia="Segoe UI" w:hAnsi="Segoe UI" w:cs="Segoe UI"/>
                                <w:b/>
                                <w:color w:val="008080"/>
                                <w:kern w:val="24"/>
                                <w:sz w:val="20"/>
                              </w:rPr>
                              <w:t>ιεθνείς δραστηριότητες</w:t>
                            </w:r>
                            <w:r w:rsidRPr="00705BB6">
                              <w:rPr>
                                <w:rFonts w:ascii="Segoe UI" w:eastAsia="Segoe UI" w:hAnsi="Segoe UI" w:cs="Segoe UI"/>
                                <w:b/>
                                <w:color w:val="008080"/>
                                <w:kern w:val="24"/>
                                <w:sz w:val="20"/>
                                <w:vertAlign w:val="superscript"/>
                                <w:lang w:val="en-US"/>
                              </w:rPr>
                              <w:t>1</w:t>
                            </w:r>
                          </w:p>
                          <w:p w:rsidR="00D95F56" w:rsidRPr="00DE335A" w:rsidRDefault="00D95F56" w:rsidP="00E55AED">
                            <w:pPr>
                              <w:kinsoku w:val="0"/>
                              <w:overflowPunct w:val="0"/>
                              <w:spacing w:before="40"/>
                              <w:ind w:left="547" w:hanging="547"/>
                              <w:textAlignment w:val="baseline"/>
                              <w:rPr>
                                <w:rFonts w:ascii="Segoe UI" w:eastAsia="Segoe UI" w:hAnsi="Segoe UI" w:cs="Segoe UI"/>
                                <w:b/>
                                <w:color w:val="008080"/>
                                <w:kern w:val="24"/>
                                <w:sz w:val="18"/>
                              </w:rPr>
                            </w:pPr>
                          </w:p>
                          <w:p w:rsidR="00D95F56" w:rsidRPr="00DE335A" w:rsidRDefault="00D95F56" w:rsidP="00E55AED">
                            <w:pPr>
                              <w:kinsoku w:val="0"/>
                              <w:overflowPunct w:val="0"/>
                              <w:spacing w:before="40"/>
                              <w:ind w:left="547" w:hanging="547"/>
                              <w:textAlignment w:val="baseline"/>
                              <w:rPr>
                                <w:rFonts w:ascii="Segoe UI" w:eastAsia="Segoe UI" w:hAnsi="Segoe UI" w:cs="Segoe UI"/>
                                <w:b/>
                                <w:color w:val="008080"/>
                                <w:kern w:val="24"/>
                                <w:sz w:val="18"/>
                              </w:rPr>
                            </w:pPr>
                          </w:p>
                          <w:p w:rsidR="00D95F56" w:rsidRPr="00DE335A" w:rsidRDefault="00D95F56" w:rsidP="00E55AED">
                            <w:pPr>
                              <w:kinsoku w:val="0"/>
                              <w:overflowPunct w:val="0"/>
                              <w:spacing w:before="40"/>
                              <w:ind w:left="547" w:hanging="547"/>
                              <w:textAlignment w:val="baseline"/>
                              <w:rPr>
                                <w:rFonts w:ascii="Segoe UI" w:eastAsia="Segoe UI" w:hAnsi="Segoe UI" w:cs="Segoe UI"/>
                                <w:b/>
                                <w:color w:val="008080"/>
                                <w:kern w:val="24"/>
                                <w:sz w:val="18"/>
                              </w:rPr>
                            </w:pP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FE1137" w:rsidRDefault="00D95F56"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529919F" id="Rectangle 7" o:spid="_x0000_s1035" style="position:absolute;margin-left:-3.55pt;margin-top:4.35pt;width:336.55pt;height:2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" filled="f" stroked="f">
                <v:path arrowok="t"/>
                <o:lock v:ext="edit" grouping="t"/>
                <v:textbox inset="1.2699mm,1.2699mm,1.2699mm,1.2699mm">
                  <w:txbxContent>
                    <w:p w:rsidR="00D95F56" w:rsidRPr="00705BB6" w:rsidRDefault="00D95F56" w:rsidP="00E55AED">
                      <w:pPr>
                        <w:kinsoku w:val="0"/>
                        <w:overflowPunct w:val="0"/>
                        <w:spacing w:before="40"/>
                        <w:ind w:left="547" w:hanging="547"/>
                        <w:textAlignment w:val="baseline"/>
                        <w:rPr>
                          <w:rFonts w:ascii="Segoe UI" w:eastAsia="Segoe UI" w:hAnsi="Segoe UI" w:cs="Segoe UI"/>
                          <w:b/>
                          <w:color w:val="008080"/>
                          <w:kern w:val="24"/>
                          <w:sz w:val="20"/>
                          <w:u w:val="single"/>
                          <w:lang w:val="en-US"/>
                        </w:rPr>
                      </w:pPr>
                      <w:r w:rsidRPr="00793815">
                        <w:rPr>
                          <w:rFonts w:ascii="Segoe UI" w:eastAsia="Segoe UI" w:hAnsi="Segoe UI" w:cs="Segoe UI"/>
                          <w:b/>
                          <w:color w:val="008080"/>
                          <w:kern w:val="24"/>
                          <w:sz w:val="20"/>
                        </w:rPr>
                        <w:t xml:space="preserve">Κατάσταση Αποτελεσμάτων </w:t>
                      </w:r>
                      <w:r w:rsidRPr="00DE335A">
                        <w:rPr>
                          <w:rFonts w:ascii="Segoe UI" w:eastAsia="Segoe UI" w:hAnsi="Segoe UI" w:cs="Segoe UI"/>
                          <w:b/>
                          <w:color w:val="008080"/>
                          <w:kern w:val="24"/>
                          <w:sz w:val="20"/>
                        </w:rPr>
                        <w:t xml:space="preserve">| </w:t>
                      </w:r>
                      <w:r>
                        <w:rPr>
                          <w:rFonts w:ascii="Segoe UI" w:eastAsia="Segoe UI" w:hAnsi="Segoe UI" w:cs="Segoe UI"/>
                          <w:b/>
                          <w:color w:val="008080"/>
                          <w:kern w:val="24"/>
                          <w:sz w:val="20"/>
                        </w:rPr>
                        <w:t>Δ</w:t>
                      </w:r>
                      <w:r w:rsidRPr="00DE335A">
                        <w:rPr>
                          <w:rFonts w:ascii="Segoe UI" w:eastAsia="Segoe UI" w:hAnsi="Segoe UI" w:cs="Segoe UI"/>
                          <w:b/>
                          <w:color w:val="008080"/>
                          <w:kern w:val="24"/>
                          <w:sz w:val="20"/>
                        </w:rPr>
                        <w:t>ιεθνείς δραστηριότητες</w:t>
                      </w:r>
                      <w:r w:rsidRPr="00705BB6">
                        <w:rPr>
                          <w:rFonts w:ascii="Segoe UI" w:eastAsia="Segoe UI" w:hAnsi="Segoe UI" w:cs="Segoe UI"/>
                          <w:b/>
                          <w:color w:val="008080"/>
                          <w:kern w:val="24"/>
                          <w:sz w:val="20"/>
                          <w:vertAlign w:val="superscript"/>
                          <w:lang w:val="en-US"/>
                        </w:rPr>
                        <w:t>1</w:t>
                      </w:r>
                    </w:p>
                    <w:p w:rsidR="00D95F56" w:rsidRPr="00DE335A" w:rsidRDefault="00D95F56" w:rsidP="00E55AED">
                      <w:pPr>
                        <w:kinsoku w:val="0"/>
                        <w:overflowPunct w:val="0"/>
                        <w:spacing w:before="40"/>
                        <w:ind w:left="547" w:hanging="547"/>
                        <w:textAlignment w:val="baseline"/>
                        <w:rPr>
                          <w:rFonts w:ascii="Segoe UI" w:eastAsia="Segoe UI" w:hAnsi="Segoe UI" w:cs="Segoe UI"/>
                          <w:b/>
                          <w:color w:val="008080"/>
                          <w:kern w:val="24"/>
                          <w:sz w:val="18"/>
                        </w:rPr>
                      </w:pPr>
                    </w:p>
                    <w:p w:rsidR="00D95F56" w:rsidRPr="00DE335A" w:rsidRDefault="00D95F56" w:rsidP="00E55AED">
                      <w:pPr>
                        <w:kinsoku w:val="0"/>
                        <w:overflowPunct w:val="0"/>
                        <w:spacing w:before="40"/>
                        <w:ind w:left="547" w:hanging="547"/>
                        <w:textAlignment w:val="baseline"/>
                        <w:rPr>
                          <w:rFonts w:ascii="Segoe UI" w:eastAsia="Segoe UI" w:hAnsi="Segoe UI" w:cs="Segoe UI"/>
                          <w:b/>
                          <w:color w:val="008080"/>
                          <w:kern w:val="24"/>
                          <w:sz w:val="18"/>
                        </w:rPr>
                      </w:pPr>
                    </w:p>
                    <w:p w:rsidR="00D95F56" w:rsidRPr="00DE335A" w:rsidRDefault="00D95F56" w:rsidP="00E55AED">
                      <w:pPr>
                        <w:kinsoku w:val="0"/>
                        <w:overflowPunct w:val="0"/>
                        <w:spacing w:before="40"/>
                        <w:ind w:left="547" w:hanging="547"/>
                        <w:textAlignment w:val="baseline"/>
                        <w:rPr>
                          <w:rFonts w:ascii="Segoe UI" w:eastAsia="Segoe UI" w:hAnsi="Segoe UI" w:cs="Segoe UI"/>
                          <w:b/>
                          <w:color w:val="008080"/>
                          <w:kern w:val="24"/>
                          <w:sz w:val="18"/>
                        </w:rPr>
                      </w:pP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D46FEC" w:rsidRDefault="00D95F56" w:rsidP="00E55AED">
                      <w:pPr>
                        <w:kinsoku w:val="0"/>
                        <w:overflowPunct w:val="0"/>
                        <w:spacing w:before="40"/>
                        <w:ind w:left="547" w:hanging="547"/>
                        <w:textAlignment w:val="baseline"/>
                        <w:rPr>
                          <w:rFonts w:ascii="Segoe UI" w:eastAsia="Segoe UI" w:hAnsi="Segoe UI" w:cs="Segoe UI"/>
                          <w:b/>
                          <w:color w:val="008080"/>
                          <w:kern w:val="24"/>
                          <w:sz w:val="16"/>
                        </w:rPr>
                      </w:pPr>
                    </w:p>
                    <w:p w:rsidR="00D95F56" w:rsidRPr="00FE1137" w:rsidRDefault="00D95F56" w:rsidP="00E55AED">
                      <w:pPr>
                        <w:kinsoku w:val="0"/>
                        <w:overflowPunct w:val="0"/>
                        <w:spacing w:before="40"/>
                        <w:ind w:left="547" w:hanging="547"/>
                        <w:textAlignment w:val="baseline"/>
                        <w:rPr>
                          <w:b/>
                          <w:color w:val="008080"/>
                          <w:sz w:val="16"/>
                        </w:rPr>
                      </w:pPr>
                    </w:p>
                  </w:txbxContent>
                </v:textbox>
              </v:rect>
            </w:pict>
          </mc:Fallback>
        </mc:AlternateContent>
      </w:r>
    </w:p>
    <w:p w:rsidR="00E55AED" w:rsidRPr="00D26A04" w:rsidRDefault="00E55AED" w:rsidP="00E55AED">
      <w:pPr>
        <w:textAlignment w:val="baseline"/>
        <w:rPr>
          <w:rFonts w:ascii="Segoe UI" w:eastAsia="Times New Roman" w:hAnsi="Segoe UI" w:cs="Segoe UI"/>
          <w:color w:val="000000" w:themeColor="text1"/>
          <w:kern w:val="24"/>
          <w:sz w:val="16"/>
          <w:szCs w:val="10"/>
          <w:lang w:eastAsia="el-GR"/>
        </w:rPr>
      </w:pPr>
    </w:p>
    <w:p w:rsidR="00E55AED" w:rsidRPr="0098297F" w:rsidRDefault="00346A53" w:rsidP="00E55AED">
      <w:pPr>
        <w:textAlignment w:val="baseline"/>
        <w:rPr>
          <w:rFonts w:ascii="Segoe UI" w:eastAsia="Times New Roman" w:hAnsi="Segoe UI" w:cs="Segoe UI"/>
          <w:color w:val="000000" w:themeColor="text1"/>
          <w:kern w:val="24"/>
          <w:sz w:val="12"/>
          <w:szCs w:val="10"/>
          <w:lang w:eastAsia="el-GR"/>
        </w:rPr>
      </w:pPr>
      <w:r>
        <w:rPr>
          <w:rFonts w:ascii="Segoe UI" w:hAnsi="Segoe UI" w:cs="Segoe UI"/>
          <w:noProof/>
          <w:lang w:eastAsia="el-GR"/>
        </w:rPr>
        <mc:AlternateContent>
          <mc:Choice Requires="wps">
            <w:drawing>
              <wp:anchor distT="0" distB="0" distL="114300" distR="114300" simplePos="0" relativeHeight="251658752" behindDoc="0" locked="0" layoutInCell="1" allowOverlap="1" wp14:anchorId="7BCFF7FD" wp14:editId="7469ABA1">
                <wp:simplePos x="0" y="0"/>
                <wp:positionH relativeFrom="column">
                  <wp:posOffset>2735580</wp:posOffset>
                </wp:positionH>
                <wp:positionV relativeFrom="paragraph">
                  <wp:posOffset>98507</wp:posOffset>
                </wp:positionV>
                <wp:extent cx="612000" cy="2592000"/>
                <wp:effectExtent l="0" t="0" r="17145" b="18415"/>
                <wp:wrapNone/>
                <wp:docPr id="49"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00" cy="259200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0014F5B2" id="Rounded Rectangle 18" o:spid="_x0000_s1026" style="position:absolute;margin-left:215.4pt;margin-top:7.75pt;width:48.2pt;height:20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" filled="f" strokecolor="#ff7415">
                <v:path arrowok="t"/>
              </v:roundrect>
            </w:pict>
          </mc:Fallback>
        </mc:AlternateContent>
      </w:r>
    </w:p>
    <w:tbl>
      <w:tblPr>
        <w:tblW w:w="4998" w:type="pct"/>
        <w:tblCellMar>
          <w:left w:w="0" w:type="dxa"/>
          <w:right w:w="0" w:type="dxa"/>
        </w:tblCellMar>
        <w:tblLook w:val="0420" w:firstRow="1" w:lastRow="0" w:firstColumn="0" w:lastColumn="0" w:noHBand="0" w:noVBand="1"/>
      </w:tblPr>
      <w:tblGrid>
        <w:gridCol w:w="4310"/>
        <w:gridCol w:w="981"/>
        <w:gridCol w:w="981"/>
        <w:gridCol w:w="981"/>
        <w:gridCol w:w="981"/>
        <w:gridCol w:w="981"/>
        <w:gridCol w:w="979"/>
      </w:tblGrid>
      <w:tr w:rsidR="00FB7108" w:rsidRPr="0098297F" w:rsidTr="0000442E">
        <w:trPr>
          <w:trHeight w:val="289"/>
        </w:trPr>
        <w:tc>
          <w:tcPr>
            <w:tcW w:w="2114"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FB7108" w:rsidRPr="0098297F" w:rsidRDefault="00FB7108" w:rsidP="00FB7108">
            <w:pPr>
              <w:spacing w:before="38"/>
              <w:textAlignment w:val="baseline"/>
              <w:rPr>
                <w:rFonts w:ascii="Segoe UI" w:eastAsia="Times New Roman" w:hAnsi="Segoe UI" w:cs="Segoe UI"/>
                <w:sz w:val="14"/>
                <w:szCs w:val="16"/>
                <w:lang w:eastAsia="el-GR"/>
              </w:rPr>
            </w:pPr>
            <w:r w:rsidRPr="0098297F">
              <w:rPr>
                <w:rFonts w:ascii="Segoe UI" w:eastAsia="Segoe UI" w:hAnsi="Segoe UI" w:cs="Segoe UI"/>
                <w:b/>
                <w:bCs/>
                <w:color w:val="000000"/>
                <w:kern w:val="24"/>
                <w:sz w:val="14"/>
                <w:szCs w:val="16"/>
                <w:lang w:eastAsia="el-GR"/>
              </w:rPr>
              <w:t xml:space="preserve">€ </w:t>
            </w:r>
            <w:r>
              <w:rPr>
                <w:rFonts w:ascii="Segoe UI" w:eastAsia="Segoe UI" w:hAnsi="Segoe UI" w:cs="Segoe UI"/>
                <w:b/>
                <w:bCs/>
                <w:color w:val="000000"/>
                <w:kern w:val="24"/>
                <w:sz w:val="14"/>
                <w:szCs w:val="16"/>
                <w:lang w:eastAsia="el-GR"/>
              </w:rPr>
              <w:t>εκατ.</w:t>
            </w:r>
          </w:p>
        </w:tc>
        <w:tc>
          <w:tcPr>
            <w:tcW w:w="481" w:type="pct"/>
            <w:tcBorders>
              <w:top w:val="single" w:sz="8" w:space="0" w:color="000000"/>
              <w:left w:val="nil"/>
              <w:bottom w:val="single" w:sz="8" w:space="0" w:color="000000"/>
              <w:right w:val="nil"/>
            </w:tcBorders>
            <w:vAlign w:val="center"/>
          </w:tcPr>
          <w:p w:rsidR="00FB7108" w:rsidRPr="00E95FD5" w:rsidRDefault="00FB7108" w:rsidP="00FB7108">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Γ</w:t>
            </w:r>
            <w:r w:rsidRPr="00E95FD5">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r w:rsidRPr="00E95FD5">
              <w:rPr>
                <w:rFonts w:ascii="Segoe UI" w:eastAsia="Times New Roman" w:hAnsi="Segoe UI" w:cs="Segoe UI"/>
                <w:b/>
                <w:bCs/>
                <w:color w:val="000000" w:themeColor="text1"/>
                <w:kern w:val="24"/>
                <w:sz w:val="14"/>
                <w:szCs w:val="14"/>
                <w:lang w:eastAsia="el-GR"/>
              </w:rPr>
              <w:t xml:space="preserve"> </w:t>
            </w:r>
          </w:p>
        </w:tc>
        <w:tc>
          <w:tcPr>
            <w:tcW w:w="481" w:type="pct"/>
            <w:tcBorders>
              <w:top w:val="single" w:sz="8" w:space="0" w:color="000000"/>
              <w:left w:val="nil"/>
              <w:bottom w:val="single" w:sz="8" w:space="0" w:color="000000"/>
              <w:right w:val="nil"/>
            </w:tcBorders>
            <w:vAlign w:val="center"/>
          </w:tcPr>
          <w:p w:rsidR="00FB7108" w:rsidRPr="00E95FD5" w:rsidRDefault="00FB7108" w:rsidP="00FB7108">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Β</w:t>
            </w:r>
            <w:r w:rsidRPr="00E95FD5">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r w:rsidRPr="00E95FD5">
              <w:rPr>
                <w:rFonts w:ascii="Segoe UI" w:eastAsia="Times New Roman" w:hAnsi="Segoe UI" w:cs="Segoe UI"/>
                <w:b/>
                <w:bCs/>
                <w:color w:val="000000" w:themeColor="text1"/>
                <w:kern w:val="24"/>
                <w:sz w:val="14"/>
                <w:szCs w:val="14"/>
                <w:lang w:eastAsia="el-GR"/>
              </w:rPr>
              <w:t xml:space="preserve"> </w:t>
            </w:r>
          </w:p>
        </w:tc>
        <w:tc>
          <w:tcPr>
            <w:tcW w:w="481" w:type="pct"/>
            <w:tcBorders>
              <w:top w:val="single" w:sz="8" w:space="0" w:color="000000"/>
              <w:left w:val="nil"/>
              <w:bottom w:val="single" w:sz="8" w:space="0" w:color="000000"/>
              <w:right w:val="nil"/>
            </w:tcBorders>
            <w:vAlign w:val="center"/>
          </w:tcPr>
          <w:p w:rsidR="00FB7108" w:rsidRPr="00E95FD5" w:rsidRDefault="00FB7108" w:rsidP="00FB7108">
            <w:pPr>
              <w:spacing w:before="38"/>
              <w:ind w:right="142"/>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c>
          <w:tcPr>
            <w:tcW w:w="481" w:type="pct"/>
            <w:tcBorders>
              <w:top w:val="single" w:sz="8" w:space="0" w:color="000000"/>
              <w:left w:val="nil"/>
              <w:bottom w:val="single" w:sz="8" w:space="0" w:color="000000"/>
              <w:right w:val="nil"/>
            </w:tcBorders>
            <w:vAlign w:val="center"/>
          </w:tcPr>
          <w:p w:rsidR="00FB7108" w:rsidRPr="00E95FD5" w:rsidRDefault="00FB7108" w:rsidP="00FB7108">
            <w:pPr>
              <w:ind w:right="148"/>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Εννεάμηνο</w:t>
            </w:r>
            <w:r w:rsidRPr="0077020D">
              <w:rPr>
                <w:rFonts w:ascii="Segoe UI" w:eastAsia="Times New Roman" w:hAnsi="Segoe UI" w:cs="Segoe UI"/>
                <w:b/>
                <w:bCs/>
                <w:color w:val="000000" w:themeColor="text1"/>
                <w:kern w:val="24"/>
                <w:sz w:val="14"/>
                <w:szCs w:val="14"/>
                <w:lang w:eastAsia="el-GR"/>
              </w:rPr>
              <w:t xml:space="preserve"> 20</w:t>
            </w:r>
            <w:r>
              <w:rPr>
                <w:rFonts w:ascii="Segoe UI" w:eastAsia="Times New Roman" w:hAnsi="Segoe UI" w:cs="Segoe UI"/>
                <w:b/>
                <w:bCs/>
                <w:color w:val="000000" w:themeColor="text1"/>
                <w:kern w:val="24"/>
                <w:sz w:val="14"/>
                <w:szCs w:val="14"/>
                <w:lang w:eastAsia="el-GR"/>
              </w:rPr>
              <w:t>20</w:t>
            </w:r>
          </w:p>
        </w:tc>
        <w:tc>
          <w:tcPr>
            <w:tcW w:w="481" w:type="pct"/>
            <w:tcBorders>
              <w:top w:val="single" w:sz="8" w:space="0" w:color="000000"/>
              <w:left w:val="nil"/>
              <w:bottom w:val="single" w:sz="8" w:space="0" w:color="000000"/>
              <w:right w:val="nil"/>
            </w:tcBorders>
            <w:vAlign w:val="center"/>
          </w:tcPr>
          <w:p w:rsidR="00FB7108" w:rsidRPr="00E95FD5" w:rsidRDefault="00FB7108" w:rsidP="00FB7108">
            <w:pPr>
              <w:ind w:right="148"/>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Εννεάμηνο</w:t>
            </w:r>
            <w:r w:rsidRPr="0077020D">
              <w:rPr>
                <w:rFonts w:ascii="Segoe UI" w:eastAsia="Times New Roman" w:hAnsi="Segoe UI" w:cs="Segoe UI"/>
                <w:b/>
                <w:bCs/>
                <w:color w:val="000000" w:themeColor="text1"/>
                <w:kern w:val="24"/>
                <w:sz w:val="14"/>
                <w:szCs w:val="14"/>
                <w:lang w:eastAsia="el-GR"/>
              </w:rPr>
              <w:t xml:space="preserve"> </w:t>
            </w:r>
            <w:r w:rsidRPr="00E95FD5">
              <w:rPr>
                <w:rFonts w:ascii="Segoe UI" w:eastAsia="Times New Roman" w:hAnsi="Segoe UI" w:cs="Segoe UI"/>
                <w:b/>
                <w:bCs/>
                <w:color w:val="000000" w:themeColor="text1"/>
                <w:kern w:val="24"/>
                <w:sz w:val="14"/>
                <w:szCs w:val="14"/>
                <w:lang w:eastAsia="el-GR"/>
              </w:rPr>
              <w:t>2019</w:t>
            </w:r>
          </w:p>
        </w:tc>
        <w:tc>
          <w:tcPr>
            <w:tcW w:w="480"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FB7108" w:rsidRPr="00E95FD5" w:rsidRDefault="00FB7108" w:rsidP="00FB7108">
            <w:pPr>
              <w:spacing w:before="38"/>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r>
      <w:tr w:rsidR="006259E6" w:rsidRPr="0098297F" w:rsidTr="0000442E">
        <w:trPr>
          <w:trHeight w:val="113"/>
        </w:trPr>
        <w:tc>
          <w:tcPr>
            <w:tcW w:w="2114"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6259E6" w:rsidRPr="00C62FEB" w:rsidRDefault="006259E6" w:rsidP="006259E6">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Καθαρά έσοδα από τόκους</w:t>
            </w:r>
          </w:p>
        </w:tc>
        <w:tc>
          <w:tcPr>
            <w:tcW w:w="481"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15 </w:t>
            </w:r>
          </w:p>
        </w:tc>
        <w:tc>
          <w:tcPr>
            <w:tcW w:w="481"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14 </w:t>
            </w:r>
          </w:p>
        </w:tc>
        <w:tc>
          <w:tcPr>
            <w:tcW w:w="481" w:type="pct"/>
            <w:tcBorders>
              <w:top w:val="nil"/>
              <w:left w:val="nil"/>
              <w:bottom w:val="nil"/>
            </w:tcBorders>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7%</w:t>
            </w:r>
          </w:p>
        </w:tc>
        <w:tc>
          <w:tcPr>
            <w:tcW w:w="481"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44 </w:t>
            </w:r>
          </w:p>
        </w:tc>
        <w:tc>
          <w:tcPr>
            <w:tcW w:w="481" w:type="pct"/>
            <w:tcBorders>
              <w:top w:val="nil"/>
              <w:left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50 </w:t>
            </w:r>
          </w:p>
        </w:tc>
        <w:tc>
          <w:tcPr>
            <w:tcW w:w="480" w:type="pct"/>
            <w:tcBorders>
              <w:top w:val="single" w:sz="4" w:space="0" w:color="auto"/>
              <w:left w:val="nil"/>
              <w:bottom w:val="nil"/>
              <w:right w:val="nil"/>
            </w:tcBorders>
            <w:shd w:val="clear" w:color="auto" w:fill="auto"/>
            <w:tcMar>
              <w:top w:w="15" w:type="dxa"/>
              <w:left w:w="15" w:type="dxa"/>
              <w:bottom w:w="0" w:type="dxa"/>
              <w:right w:w="78" w:type="dxa"/>
            </w:tcMar>
            <w:vAlign w:val="bottom"/>
            <w:hideMark/>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-12%</w:t>
            </w:r>
          </w:p>
        </w:tc>
      </w:tr>
      <w:tr w:rsidR="006259E6" w:rsidRPr="0098297F" w:rsidTr="0000442E">
        <w:trPr>
          <w:trHeight w:val="113"/>
        </w:trPr>
        <w:tc>
          <w:tcPr>
            <w:tcW w:w="2114" w:type="pct"/>
            <w:tcBorders>
              <w:top w:val="nil"/>
              <w:left w:val="nil"/>
              <w:bottom w:val="nil"/>
              <w:right w:val="nil"/>
            </w:tcBorders>
            <w:shd w:val="clear" w:color="auto" w:fill="auto"/>
            <w:tcMar>
              <w:top w:w="15" w:type="dxa"/>
              <w:left w:w="42" w:type="dxa"/>
              <w:bottom w:w="0" w:type="dxa"/>
              <w:right w:w="15" w:type="dxa"/>
            </w:tcMar>
            <w:vAlign w:val="center"/>
            <w:hideMark/>
          </w:tcPr>
          <w:p w:rsidR="006259E6" w:rsidRPr="00C62FEB" w:rsidRDefault="006259E6" w:rsidP="006259E6">
            <w:pPr>
              <w:textAlignment w:val="center"/>
              <w:rPr>
                <w:rFonts w:ascii="Segoe UI" w:eastAsia="Times New Roman" w:hAnsi="Segoe UI" w:cs="Segoe UI"/>
                <w:sz w:val="14"/>
                <w:szCs w:val="14"/>
                <w:lang w:eastAsia="el-GR"/>
              </w:rPr>
            </w:pPr>
            <w:r w:rsidRPr="00C62FEB">
              <w:rPr>
                <w:rFonts w:ascii="Segoe UI" w:eastAsia="Segoe UI" w:hAnsi="Segoe UI" w:cs="Segoe UI"/>
                <w:color w:val="000000" w:themeColor="text1"/>
                <w:kern w:val="24"/>
                <w:sz w:val="14"/>
                <w:szCs w:val="14"/>
                <w:lang w:eastAsia="el-GR"/>
              </w:rPr>
              <w:t>Καθαρά έσοδα από προμήθειες</w:t>
            </w:r>
          </w:p>
        </w:tc>
        <w:tc>
          <w:tcPr>
            <w:tcW w:w="481"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3 </w:t>
            </w:r>
          </w:p>
        </w:tc>
        <w:tc>
          <w:tcPr>
            <w:tcW w:w="481"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3 </w:t>
            </w:r>
          </w:p>
        </w:tc>
        <w:tc>
          <w:tcPr>
            <w:tcW w:w="481" w:type="pct"/>
            <w:tcBorders>
              <w:top w:val="nil"/>
              <w:left w:val="nil"/>
              <w:bottom w:val="nil"/>
            </w:tcBorders>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23%</w:t>
            </w:r>
          </w:p>
        </w:tc>
        <w:tc>
          <w:tcPr>
            <w:tcW w:w="481"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9 </w:t>
            </w:r>
          </w:p>
        </w:tc>
        <w:tc>
          <w:tcPr>
            <w:tcW w:w="481" w:type="pct"/>
            <w:tcBorders>
              <w:top w:val="nil"/>
              <w:left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11 </w:t>
            </w:r>
          </w:p>
        </w:tc>
        <w:tc>
          <w:tcPr>
            <w:tcW w:w="480" w:type="pct"/>
            <w:tcBorders>
              <w:top w:val="nil"/>
              <w:left w:val="nil"/>
              <w:bottom w:val="nil"/>
              <w:right w:val="nil"/>
            </w:tcBorders>
            <w:shd w:val="clear" w:color="auto" w:fill="auto"/>
            <w:tcMar>
              <w:top w:w="15" w:type="dxa"/>
              <w:left w:w="15" w:type="dxa"/>
              <w:bottom w:w="0" w:type="dxa"/>
              <w:right w:w="78" w:type="dxa"/>
            </w:tcMar>
            <w:vAlign w:val="bottom"/>
            <w:hideMark/>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-17%</w:t>
            </w:r>
          </w:p>
        </w:tc>
      </w:tr>
      <w:tr w:rsidR="006259E6" w:rsidRPr="0098297F" w:rsidTr="0000442E">
        <w:trPr>
          <w:trHeight w:val="113"/>
        </w:trPr>
        <w:tc>
          <w:tcPr>
            <w:tcW w:w="2114" w:type="pct"/>
            <w:tcBorders>
              <w:top w:val="nil"/>
              <w:left w:val="nil"/>
              <w:bottom w:val="nil"/>
              <w:right w:val="nil"/>
            </w:tcBorders>
            <w:shd w:val="clear" w:color="auto" w:fill="F2F2F2"/>
            <w:tcMar>
              <w:top w:w="15" w:type="dxa"/>
              <w:left w:w="42" w:type="dxa"/>
              <w:bottom w:w="0" w:type="dxa"/>
              <w:right w:w="15" w:type="dxa"/>
            </w:tcMar>
            <w:vAlign w:val="center"/>
            <w:hideMark/>
          </w:tcPr>
          <w:p w:rsidR="006259E6" w:rsidRPr="00C62FEB" w:rsidRDefault="006259E6" w:rsidP="006259E6">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themeColor="text1"/>
                <w:kern w:val="24"/>
                <w:sz w:val="14"/>
                <w:szCs w:val="14"/>
                <w:lang w:eastAsia="el-GR"/>
              </w:rPr>
              <w:t>Οργανικά έσοδα</w:t>
            </w:r>
          </w:p>
        </w:tc>
        <w:tc>
          <w:tcPr>
            <w:tcW w:w="481"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18 </w:t>
            </w:r>
          </w:p>
        </w:tc>
        <w:tc>
          <w:tcPr>
            <w:tcW w:w="481"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16 </w:t>
            </w:r>
          </w:p>
        </w:tc>
        <w:tc>
          <w:tcPr>
            <w:tcW w:w="481" w:type="pct"/>
            <w:tcBorders>
              <w:top w:val="nil"/>
              <w:left w:val="nil"/>
              <w:bottom w:val="nil"/>
            </w:tcBorders>
            <w:shd w:val="clear" w:color="000000" w:fill="F2F2F2"/>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9%</w:t>
            </w:r>
          </w:p>
        </w:tc>
        <w:tc>
          <w:tcPr>
            <w:tcW w:w="481" w:type="pct"/>
            <w:tcBorders>
              <w:top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53 </w:t>
            </w:r>
          </w:p>
        </w:tc>
        <w:tc>
          <w:tcPr>
            <w:tcW w:w="481"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61 </w:t>
            </w:r>
          </w:p>
        </w:tc>
        <w:tc>
          <w:tcPr>
            <w:tcW w:w="480" w:type="pct"/>
            <w:tcBorders>
              <w:top w:val="nil"/>
              <w:left w:val="nil"/>
              <w:bottom w:val="nil"/>
              <w:right w:val="nil"/>
            </w:tcBorders>
            <w:shd w:val="clear" w:color="000000" w:fill="F2F2F2"/>
            <w:tcMar>
              <w:top w:w="15" w:type="dxa"/>
              <w:left w:w="15" w:type="dxa"/>
              <w:bottom w:w="0" w:type="dxa"/>
              <w:right w:w="78" w:type="dxa"/>
            </w:tcMar>
            <w:vAlign w:val="bottom"/>
            <w:hideMark/>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-13%</w:t>
            </w:r>
          </w:p>
        </w:tc>
      </w:tr>
      <w:tr w:rsidR="006259E6" w:rsidRPr="0098297F" w:rsidTr="0000442E">
        <w:trPr>
          <w:trHeight w:val="113"/>
        </w:trPr>
        <w:tc>
          <w:tcPr>
            <w:tcW w:w="2114" w:type="pct"/>
            <w:tcBorders>
              <w:top w:val="nil"/>
              <w:left w:val="nil"/>
              <w:bottom w:val="nil"/>
              <w:right w:val="nil"/>
            </w:tcBorders>
            <w:shd w:val="clear" w:color="auto" w:fill="auto"/>
            <w:tcMar>
              <w:top w:w="15" w:type="dxa"/>
              <w:left w:w="42" w:type="dxa"/>
              <w:bottom w:w="0" w:type="dxa"/>
              <w:right w:w="15" w:type="dxa"/>
            </w:tcMar>
            <w:vAlign w:val="center"/>
            <w:hideMark/>
          </w:tcPr>
          <w:p w:rsidR="006259E6" w:rsidRPr="00C62FEB" w:rsidRDefault="006259E6" w:rsidP="006259E6">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 xml:space="preserve">Έσοδα από </w:t>
            </w:r>
            <w:r w:rsidRPr="00286F74">
              <w:rPr>
                <w:rFonts w:ascii="Segoe UI" w:eastAsia="Segoe UI" w:hAnsi="Segoe UI" w:cs="Segoe UI"/>
                <w:color w:val="000000"/>
                <w:kern w:val="24"/>
                <w:sz w:val="14"/>
                <w:szCs w:val="14"/>
                <w:lang w:eastAsia="el-GR"/>
              </w:rPr>
              <w:t xml:space="preserve">χρηματοοικονομικές </w:t>
            </w:r>
            <w:r w:rsidRPr="00C62FEB">
              <w:rPr>
                <w:rFonts w:ascii="Segoe UI" w:eastAsia="Segoe UI" w:hAnsi="Segoe UI" w:cs="Segoe UI"/>
                <w:color w:val="000000"/>
                <w:kern w:val="24"/>
                <w:sz w:val="14"/>
                <w:szCs w:val="14"/>
                <w:lang w:eastAsia="el-GR"/>
              </w:rPr>
              <w:t>πράξεις και λοιπά έσοδα</w:t>
            </w:r>
          </w:p>
        </w:tc>
        <w:tc>
          <w:tcPr>
            <w:tcW w:w="481"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(2) </w:t>
            </w:r>
          </w:p>
        </w:tc>
        <w:tc>
          <w:tcPr>
            <w:tcW w:w="481"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3 </w:t>
            </w:r>
          </w:p>
        </w:tc>
        <w:tc>
          <w:tcPr>
            <w:tcW w:w="481" w:type="pct"/>
            <w:tcBorders>
              <w:top w:val="nil"/>
              <w:left w:val="nil"/>
              <w:bottom w:val="nil"/>
            </w:tcBorders>
            <w:vAlign w:val="bottom"/>
          </w:tcPr>
          <w:p w:rsidR="006259E6" w:rsidRPr="006259E6" w:rsidRDefault="007B197B" w:rsidP="006259E6">
            <w:pPr>
              <w:pStyle w:val="NormalWeb"/>
              <w:spacing w:before="0" w:beforeAutospacing="0" w:after="0" w:afterAutospacing="0"/>
              <w:ind w:right="148"/>
              <w:jc w:val="right"/>
              <w:textAlignment w:val="center"/>
              <w:rPr>
                <w:rFonts w:ascii="Segoe UI" w:hAnsi="Segoe UI" w:cs="Segoe UI"/>
                <w:i/>
                <w:sz w:val="14"/>
                <w:szCs w:val="16"/>
                <w:lang w:val="en-US"/>
              </w:rPr>
            </w:pPr>
            <w:r>
              <w:rPr>
                <w:rFonts w:ascii="Segoe UI" w:hAnsi="Segoe UI" w:cs="Segoe UI"/>
                <w:i/>
                <w:sz w:val="14"/>
                <w:szCs w:val="16"/>
                <w:lang w:val="en-US"/>
              </w:rPr>
              <w:t>--</w:t>
            </w:r>
          </w:p>
        </w:tc>
        <w:tc>
          <w:tcPr>
            <w:tcW w:w="481"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0 </w:t>
            </w:r>
          </w:p>
        </w:tc>
        <w:tc>
          <w:tcPr>
            <w:tcW w:w="481" w:type="pct"/>
            <w:tcBorders>
              <w:top w:val="nil"/>
              <w:left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(4) </w:t>
            </w:r>
          </w:p>
        </w:tc>
        <w:tc>
          <w:tcPr>
            <w:tcW w:w="480" w:type="pct"/>
            <w:tcBorders>
              <w:top w:val="nil"/>
              <w:left w:val="nil"/>
              <w:bottom w:val="nil"/>
              <w:right w:val="nil"/>
            </w:tcBorders>
            <w:shd w:val="clear" w:color="auto" w:fill="auto"/>
            <w:tcMar>
              <w:top w:w="15" w:type="dxa"/>
              <w:left w:w="15" w:type="dxa"/>
              <w:bottom w:w="0" w:type="dxa"/>
              <w:right w:w="78" w:type="dxa"/>
            </w:tcMar>
            <w:vAlign w:val="bottom"/>
            <w:hideMark/>
          </w:tcPr>
          <w:p w:rsidR="006259E6" w:rsidRPr="006259E6" w:rsidRDefault="007B197B" w:rsidP="006259E6">
            <w:pPr>
              <w:pStyle w:val="NormalWeb"/>
              <w:spacing w:before="0" w:beforeAutospacing="0" w:after="0" w:afterAutospacing="0"/>
              <w:ind w:right="148"/>
              <w:jc w:val="right"/>
              <w:textAlignment w:val="center"/>
              <w:rPr>
                <w:rFonts w:ascii="Segoe UI" w:hAnsi="Segoe UI" w:cs="Segoe UI"/>
                <w:i/>
                <w:sz w:val="14"/>
                <w:szCs w:val="16"/>
                <w:lang w:val="en-US"/>
              </w:rPr>
            </w:pPr>
            <w:r>
              <w:rPr>
                <w:rFonts w:ascii="Segoe UI" w:hAnsi="Segoe UI" w:cs="Segoe UI"/>
                <w:i/>
                <w:sz w:val="14"/>
                <w:szCs w:val="16"/>
                <w:lang w:val="en-US"/>
              </w:rPr>
              <w:t>--</w:t>
            </w:r>
          </w:p>
        </w:tc>
      </w:tr>
      <w:tr w:rsidR="006259E6" w:rsidRPr="0098297F" w:rsidTr="0000442E">
        <w:trPr>
          <w:trHeight w:val="113"/>
        </w:trPr>
        <w:tc>
          <w:tcPr>
            <w:tcW w:w="2114" w:type="pct"/>
            <w:tcBorders>
              <w:top w:val="nil"/>
              <w:left w:val="nil"/>
              <w:bottom w:val="nil"/>
              <w:right w:val="nil"/>
            </w:tcBorders>
            <w:shd w:val="clear" w:color="auto" w:fill="F2F2F2"/>
            <w:tcMar>
              <w:top w:w="15" w:type="dxa"/>
              <w:left w:w="42" w:type="dxa"/>
              <w:bottom w:w="0" w:type="dxa"/>
              <w:right w:w="15" w:type="dxa"/>
            </w:tcMar>
            <w:vAlign w:val="center"/>
            <w:hideMark/>
          </w:tcPr>
          <w:p w:rsidR="006259E6" w:rsidRPr="00C62FEB" w:rsidRDefault="006259E6" w:rsidP="006259E6">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Καθαρά λειτουργικά έσοδα </w:t>
            </w:r>
          </w:p>
        </w:tc>
        <w:tc>
          <w:tcPr>
            <w:tcW w:w="481"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16 </w:t>
            </w:r>
          </w:p>
        </w:tc>
        <w:tc>
          <w:tcPr>
            <w:tcW w:w="481"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19 </w:t>
            </w:r>
          </w:p>
        </w:tc>
        <w:tc>
          <w:tcPr>
            <w:tcW w:w="481" w:type="pct"/>
            <w:tcBorders>
              <w:top w:val="nil"/>
              <w:left w:val="nil"/>
              <w:bottom w:val="nil"/>
            </w:tcBorders>
            <w:shd w:val="clear" w:color="000000" w:fill="F2F2F2"/>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-16%</w:t>
            </w:r>
          </w:p>
        </w:tc>
        <w:tc>
          <w:tcPr>
            <w:tcW w:w="481" w:type="pct"/>
            <w:tcBorders>
              <w:top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53 </w:t>
            </w:r>
          </w:p>
        </w:tc>
        <w:tc>
          <w:tcPr>
            <w:tcW w:w="481"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56 </w:t>
            </w:r>
          </w:p>
        </w:tc>
        <w:tc>
          <w:tcPr>
            <w:tcW w:w="480" w:type="pct"/>
            <w:tcBorders>
              <w:top w:val="nil"/>
              <w:left w:val="nil"/>
              <w:bottom w:val="nil"/>
              <w:right w:val="nil"/>
            </w:tcBorders>
            <w:shd w:val="clear" w:color="000000" w:fill="F2F2F2"/>
            <w:tcMar>
              <w:top w:w="15" w:type="dxa"/>
              <w:left w:w="15" w:type="dxa"/>
              <w:bottom w:w="0" w:type="dxa"/>
              <w:right w:w="78" w:type="dxa"/>
            </w:tcMar>
            <w:vAlign w:val="bottom"/>
            <w:hideMark/>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-6%</w:t>
            </w:r>
          </w:p>
        </w:tc>
      </w:tr>
      <w:tr w:rsidR="006259E6" w:rsidRPr="0098297F" w:rsidTr="0000442E">
        <w:trPr>
          <w:trHeight w:val="113"/>
        </w:trPr>
        <w:tc>
          <w:tcPr>
            <w:tcW w:w="2114" w:type="pct"/>
            <w:tcBorders>
              <w:top w:val="nil"/>
              <w:left w:val="nil"/>
              <w:right w:val="nil"/>
            </w:tcBorders>
            <w:shd w:val="clear" w:color="auto" w:fill="auto"/>
            <w:tcMar>
              <w:top w:w="15" w:type="dxa"/>
              <w:left w:w="42" w:type="dxa"/>
              <w:bottom w:w="0" w:type="dxa"/>
              <w:right w:w="15" w:type="dxa"/>
            </w:tcMar>
            <w:vAlign w:val="center"/>
            <w:hideMark/>
          </w:tcPr>
          <w:p w:rsidR="006259E6" w:rsidRPr="00C62FEB" w:rsidRDefault="006259E6" w:rsidP="006259E6">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Λειτουργικές δαπάνες</w:t>
            </w:r>
          </w:p>
        </w:tc>
        <w:tc>
          <w:tcPr>
            <w:tcW w:w="481" w:type="pct"/>
            <w:tcBorders>
              <w:top w:val="nil"/>
              <w:left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(11) </w:t>
            </w:r>
          </w:p>
        </w:tc>
        <w:tc>
          <w:tcPr>
            <w:tcW w:w="481" w:type="pct"/>
            <w:tcBorders>
              <w:top w:val="nil"/>
              <w:left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(13) </w:t>
            </w:r>
          </w:p>
        </w:tc>
        <w:tc>
          <w:tcPr>
            <w:tcW w:w="481" w:type="pct"/>
            <w:tcBorders>
              <w:top w:val="nil"/>
              <w:left w:val="nil"/>
            </w:tcBorders>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-15%</w:t>
            </w:r>
          </w:p>
        </w:tc>
        <w:tc>
          <w:tcPr>
            <w:tcW w:w="481" w:type="pct"/>
            <w:tcBorders>
              <w:top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(35) </w:t>
            </w:r>
          </w:p>
        </w:tc>
        <w:tc>
          <w:tcPr>
            <w:tcW w:w="481" w:type="pct"/>
            <w:tcBorders>
              <w:top w:val="nil"/>
              <w:left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(32) </w:t>
            </w:r>
          </w:p>
        </w:tc>
        <w:tc>
          <w:tcPr>
            <w:tcW w:w="480" w:type="pct"/>
            <w:tcBorders>
              <w:top w:val="nil"/>
              <w:left w:val="nil"/>
              <w:bottom w:val="nil"/>
              <w:right w:val="nil"/>
            </w:tcBorders>
            <w:shd w:val="clear" w:color="auto" w:fill="auto"/>
            <w:tcMar>
              <w:top w:w="15" w:type="dxa"/>
              <w:left w:w="15" w:type="dxa"/>
              <w:bottom w:w="0" w:type="dxa"/>
              <w:right w:w="78" w:type="dxa"/>
            </w:tcMar>
            <w:vAlign w:val="bottom"/>
            <w:hideMark/>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8%</w:t>
            </w:r>
          </w:p>
        </w:tc>
      </w:tr>
      <w:tr w:rsidR="006259E6" w:rsidRPr="0098297F" w:rsidTr="0000442E">
        <w:trPr>
          <w:trHeight w:val="113"/>
        </w:trPr>
        <w:tc>
          <w:tcPr>
            <w:tcW w:w="2114"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6259E6" w:rsidRPr="00C62FEB" w:rsidRDefault="006259E6" w:rsidP="006259E6">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Οργανικά κέρδη / (ζημίες) προ προβλέψεων </w:t>
            </w:r>
          </w:p>
        </w:tc>
        <w:tc>
          <w:tcPr>
            <w:tcW w:w="481"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7 </w:t>
            </w:r>
          </w:p>
        </w:tc>
        <w:tc>
          <w:tcPr>
            <w:tcW w:w="481"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3 </w:t>
            </w:r>
          </w:p>
        </w:tc>
        <w:tc>
          <w:tcPr>
            <w:tcW w:w="481" w:type="pct"/>
            <w:tcBorders>
              <w:top w:val="nil"/>
              <w:left w:val="nil"/>
              <w:bottom w:val="nil"/>
            </w:tcBorders>
            <w:shd w:val="clear" w:color="000000" w:fill="F2F2F2"/>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&gt;100%</w:t>
            </w:r>
          </w:p>
        </w:tc>
        <w:tc>
          <w:tcPr>
            <w:tcW w:w="481" w:type="pct"/>
            <w:tcBorders>
              <w:top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18 </w:t>
            </w:r>
          </w:p>
        </w:tc>
        <w:tc>
          <w:tcPr>
            <w:tcW w:w="481"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29 </w:t>
            </w:r>
          </w:p>
        </w:tc>
        <w:tc>
          <w:tcPr>
            <w:tcW w:w="480" w:type="pct"/>
            <w:tcBorders>
              <w:top w:val="nil"/>
              <w:left w:val="nil"/>
              <w:bottom w:val="nil"/>
              <w:right w:val="nil"/>
            </w:tcBorders>
            <w:shd w:val="clear" w:color="000000" w:fill="F2F2F2"/>
            <w:tcMar>
              <w:top w:w="15" w:type="dxa"/>
              <w:left w:w="15" w:type="dxa"/>
              <w:bottom w:w="0" w:type="dxa"/>
              <w:right w:w="78" w:type="dxa"/>
            </w:tcMar>
            <w:vAlign w:val="bottom"/>
            <w:hideMark/>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-36%</w:t>
            </w:r>
          </w:p>
        </w:tc>
      </w:tr>
      <w:tr w:rsidR="006259E6" w:rsidRPr="0098297F" w:rsidTr="0000442E">
        <w:trPr>
          <w:trHeight w:val="113"/>
        </w:trPr>
        <w:tc>
          <w:tcPr>
            <w:tcW w:w="2114"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6259E6" w:rsidRPr="00C62FEB" w:rsidRDefault="006259E6" w:rsidP="006259E6">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Κέρδη / (ζημίες) προ προβλέψεων</w:t>
            </w:r>
          </w:p>
        </w:tc>
        <w:tc>
          <w:tcPr>
            <w:tcW w:w="481"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5 </w:t>
            </w:r>
          </w:p>
        </w:tc>
        <w:tc>
          <w:tcPr>
            <w:tcW w:w="481"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6 </w:t>
            </w:r>
          </w:p>
        </w:tc>
        <w:tc>
          <w:tcPr>
            <w:tcW w:w="481" w:type="pct"/>
            <w:tcBorders>
              <w:top w:val="nil"/>
              <w:left w:val="nil"/>
              <w:bottom w:val="nil"/>
            </w:tcBorders>
            <w:shd w:val="clear" w:color="000000" w:fill="F2F2F2"/>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-16%</w:t>
            </w:r>
          </w:p>
        </w:tc>
        <w:tc>
          <w:tcPr>
            <w:tcW w:w="481" w:type="pct"/>
            <w:tcBorders>
              <w:top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18 </w:t>
            </w:r>
          </w:p>
        </w:tc>
        <w:tc>
          <w:tcPr>
            <w:tcW w:w="481"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24 </w:t>
            </w:r>
          </w:p>
        </w:tc>
        <w:tc>
          <w:tcPr>
            <w:tcW w:w="480" w:type="pct"/>
            <w:tcBorders>
              <w:top w:val="nil"/>
              <w:left w:val="nil"/>
              <w:bottom w:val="nil"/>
              <w:right w:val="nil"/>
            </w:tcBorders>
            <w:shd w:val="clear" w:color="000000" w:fill="F2F2F2"/>
            <w:tcMar>
              <w:top w:w="15" w:type="dxa"/>
              <w:left w:w="15" w:type="dxa"/>
              <w:bottom w:w="0" w:type="dxa"/>
              <w:right w:w="78" w:type="dxa"/>
            </w:tcMar>
            <w:vAlign w:val="bottom"/>
            <w:hideMark/>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-24%</w:t>
            </w:r>
          </w:p>
        </w:tc>
      </w:tr>
      <w:tr w:rsidR="006259E6" w:rsidRPr="0098297F" w:rsidTr="0000442E">
        <w:trPr>
          <w:trHeight w:val="113"/>
        </w:trPr>
        <w:tc>
          <w:tcPr>
            <w:tcW w:w="2114" w:type="pct"/>
            <w:tcBorders>
              <w:top w:val="nil"/>
              <w:left w:val="nil"/>
              <w:right w:val="nil"/>
            </w:tcBorders>
            <w:shd w:val="clear" w:color="auto" w:fill="auto"/>
            <w:tcMar>
              <w:top w:w="15" w:type="dxa"/>
              <w:left w:w="42" w:type="dxa"/>
              <w:bottom w:w="0" w:type="dxa"/>
              <w:right w:w="15" w:type="dxa"/>
            </w:tcMar>
            <w:vAlign w:val="center"/>
            <w:hideMark/>
          </w:tcPr>
          <w:p w:rsidR="006259E6" w:rsidRPr="00C62FEB" w:rsidRDefault="006259E6" w:rsidP="006259E6">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Προβλέψεις για επισφαλή δάνεια</w:t>
            </w:r>
          </w:p>
        </w:tc>
        <w:tc>
          <w:tcPr>
            <w:tcW w:w="481" w:type="pct"/>
            <w:tcBorders>
              <w:top w:val="nil"/>
              <w:left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(3) </w:t>
            </w:r>
          </w:p>
        </w:tc>
        <w:tc>
          <w:tcPr>
            <w:tcW w:w="481" w:type="pct"/>
            <w:tcBorders>
              <w:top w:val="nil"/>
              <w:left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(2) </w:t>
            </w:r>
          </w:p>
        </w:tc>
        <w:tc>
          <w:tcPr>
            <w:tcW w:w="481" w:type="pct"/>
            <w:tcBorders>
              <w:top w:val="nil"/>
              <w:left w:val="nil"/>
            </w:tcBorders>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&gt;100%</w:t>
            </w:r>
          </w:p>
        </w:tc>
        <w:tc>
          <w:tcPr>
            <w:tcW w:w="481"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(5) </w:t>
            </w:r>
          </w:p>
        </w:tc>
        <w:tc>
          <w:tcPr>
            <w:tcW w:w="481" w:type="pct"/>
            <w:tcBorders>
              <w:top w:val="nil"/>
              <w:left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(37) </w:t>
            </w:r>
          </w:p>
        </w:tc>
        <w:tc>
          <w:tcPr>
            <w:tcW w:w="480" w:type="pct"/>
            <w:tcBorders>
              <w:top w:val="nil"/>
              <w:left w:val="nil"/>
              <w:bottom w:val="nil"/>
              <w:right w:val="nil"/>
            </w:tcBorders>
            <w:shd w:val="clear" w:color="auto" w:fill="auto"/>
            <w:tcMar>
              <w:top w:w="15" w:type="dxa"/>
              <w:left w:w="15" w:type="dxa"/>
              <w:bottom w:w="0" w:type="dxa"/>
              <w:right w:w="78" w:type="dxa"/>
            </w:tcMar>
            <w:vAlign w:val="bottom"/>
            <w:hideMark/>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-88%</w:t>
            </w:r>
          </w:p>
        </w:tc>
      </w:tr>
      <w:tr w:rsidR="006259E6" w:rsidRPr="0098297F" w:rsidTr="0000442E">
        <w:trPr>
          <w:trHeight w:val="113"/>
        </w:trPr>
        <w:tc>
          <w:tcPr>
            <w:tcW w:w="2114" w:type="pct"/>
            <w:tcBorders>
              <w:top w:val="nil"/>
              <w:left w:val="nil"/>
              <w:bottom w:val="nil"/>
              <w:right w:val="nil"/>
            </w:tcBorders>
            <w:shd w:val="clear" w:color="auto" w:fill="auto"/>
            <w:tcMar>
              <w:top w:w="15" w:type="dxa"/>
              <w:left w:w="42" w:type="dxa"/>
              <w:bottom w:w="0" w:type="dxa"/>
              <w:right w:w="15" w:type="dxa"/>
            </w:tcMar>
            <w:vAlign w:val="center"/>
            <w:hideMark/>
          </w:tcPr>
          <w:p w:rsidR="006259E6" w:rsidRPr="00C62FEB" w:rsidRDefault="006259E6" w:rsidP="006259E6">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Λειτουργικά κέρδη / (ζημίες)</w:t>
            </w:r>
          </w:p>
        </w:tc>
        <w:tc>
          <w:tcPr>
            <w:tcW w:w="481" w:type="pct"/>
            <w:tcBorders>
              <w:top w:val="nil"/>
              <w:left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2 </w:t>
            </w:r>
          </w:p>
        </w:tc>
        <w:tc>
          <w:tcPr>
            <w:tcW w:w="481" w:type="pct"/>
            <w:tcBorders>
              <w:top w:val="nil"/>
              <w:left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5 </w:t>
            </w:r>
          </w:p>
        </w:tc>
        <w:tc>
          <w:tcPr>
            <w:tcW w:w="481" w:type="pct"/>
            <w:tcBorders>
              <w:top w:val="nil"/>
              <w:left w:val="nil"/>
            </w:tcBorders>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-57%</w:t>
            </w:r>
          </w:p>
        </w:tc>
        <w:tc>
          <w:tcPr>
            <w:tcW w:w="481" w:type="pct"/>
            <w:tcBorders>
              <w:top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14 </w:t>
            </w:r>
          </w:p>
        </w:tc>
        <w:tc>
          <w:tcPr>
            <w:tcW w:w="481" w:type="pct"/>
            <w:tcBorders>
              <w:top w:val="nil"/>
              <w:left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(13) </w:t>
            </w:r>
          </w:p>
        </w:tc>
        <w:tc>
          <w:tcPr>
            <w:tcW w:w="480" w:type="pct"/>
            <w:tcBorders>
              <w:top w:val="nil"/>
              <w:left w:val="nil"/>
              <w:right w:val="nil"/>
            </w:tcBorders>
            <w:shd w:val="clear" w:color="auto" w:fill="auto"/>
            <w:tcMar>
              <w:top w:w="15" w:type="dxa"/>
              <w:left w:w="15" w:type="dxa"/>
              <w:bottom w:w="0" w:type="dxa"/>
              <w:right w:w="78" w:type="dxa"/>
            </w:tcMar>
            <w:vAlign w:val="bottom"/>
            <w:hideMark/>
          </w:tcPr>
          <w:p w:rsidR="006259E6" w:rsidRPr="006259E6" w:rsidRDefault="007B197B" w:rsidP="006259E6">
            <w:pPr>
              <w:pStyle w:val="NormalWeb"/>
              <w:spacing w:before="0" w:beforeAutospacing="0" w:after="0" w:afterAutospacing="0"/>
              <w:ind w:right="148"/>
              <w:jc w:val="right"/>
              <w:textAlignment w:val="center"/>
              <w:rPr>
                <w:rFonts w:ascii="Segoe UI" w:hAnsi="Segoe UI" w:cs="Segoe UI"/>
                <w:b/>
                <w:i/>
                <w:sz w:val="14"/>
                <w:szCs w:val="16"/>
                <w:lang w:val="en-US"/>
              </w:rPr>
            </w:pPr>
            <w:r>
              <w:rPr>
                <w:rFonts w:ascii="Segoe UI" w:hAnsi="Segoe UI" w:cs="Segoe UI"/>
                <w:b/>
                <w:i/>
                <w:sz w:val="14"/>
                <w:szCs w:val="16"/>
                <w:lang w:val="en-US"/>
              </w:rPr>
              <w:t>--</w:t>
            </w:r>
          </w:p>
        </w:tc>
      </w:tr>
      <w:tr w:rsidR="006259E6" w:rsidRPr="0098297F" w:rsidTr="0000442E">
        <w:trPr>
          <w:trHeight w:val="113"/>
        </w:trPr>
        <w:tc>
          <w:tcPr>
            <w:tcW w:w="2114" w:type="pct"/>
            <w:tcBorders>
              <w:top w:val="nil"/>
              <w:left w:val="nil"/>
              <w:bottom w:val="nil"/>
              <w:right w:val="nil"/>
            </w:tcBorders>
            <w:shd w:val="clear" w:color="auto" w:fill="auto"/>
            <w:tcMar>
              <w:top w:w="15" w:type="dxa"/>
              <w:left w:w="42" w:type="dxa"/>
              <w:bottom w:w="0" w:type="dxa"/>
              <w:right w:w="15" w:type="dxa"/>
            </w:tcMar>
            <w:vAlign w:val="center"/>
          </w:tcPr>
          <w:p w:rsidR="006259E6" w:rsidRPr="00C62FEB" w:rsidRDefault="006259E6" w:rsidP="006259E6">
            <w:pPr>
              <w:textAlignment w:val="center"/>
              <w:rPr>
                <w:rFonts w:ascii="Segoe UI" w:eastAsia="Segoe UI" w:hAnsi="Segoe UI" w:cs="Segoe UI"/>
                <w:b/>
                <w:bCs/>
                <w:color w:val="000000"/>
                <w:kern w:val="24"/>
                <w:sz w:val="14"/>
                <w:szCs w:val="14"/>
                <w:lang w:eastAsia="el-GR"/>
              </w:rPr>
            </w:pPr>
            <w:r w:rsidRPr="00AF683D">
              <w:rPr>
                <w:rFonts w:ascii="Segoe UI" w:eastAsia="Segoe UI" w:hAnsi="Segoe UI" w:cs="Segoe UI"/>
                <w:b/>
                <w:bCs/>
                <w:color w:val="000000"/>
                <w:kern w:val="24"/>
                <w:sz w:val="14"/>
                <w:szCs w:val="14"/>
                <w:lang w:eastAsia="el-GR"/>
              </w:rPr>
              <w:t>Οργανικά κέρδη / (ζημίες)</w:t>
            </w:r>
          </w:p>
        </w:tc>
        <w:tc>
          <w:tcPr>
            <w:tcW w:w="481" w:type="pct"/>
            <w:tcBorders>
              <w:top w:val="nil"/>
              <w:bottom w:val="nil"/>
            </w:tcBorders>
            <w:shd w:val="clear" w:color="auto" w:fill="F2F2F2" w:themeFill="background1" w:themeFillShade="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4 </w:t>
            </w:r>
          </w:p>
        </w:tc>
        <w:tc>
          <w:tcPr>
            <w:tcW w:w="481" w:type="pct"/>
            <w:tcBorders>
              <w:top w:val="nil"/>
              <w:bottom w:val="nil"/>
            </w:tcBorders>
            <w:shd w:val="clear" w:color="auto" w:fill="F2F2F2" w:themeFill="background1" w:themeFillShade="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2 </w:t>
            </w:r>
          </w:p>
        </w:tc>
        <w:tc>
          <w:tcPr>
            <w:tcW w:w="481" w:type="pct"/>
            <w:tcBorders>
              <w:top w:val="nil"/>
              <w:bottom w:val="nil"/>
            </w:tcBorders>
            <w:shd w:val="clear" w:color="auto" w:fill="F2F2F2" w:themeFill="background1" w:themeFillShade="F2"/>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&gt;100%</w:t>
            </w:r>
          </w:p>
        </w:tc>
        <w:tc>
          <w:tcPr>
            <w:tcW w:w="481" w:type="pct"/>
            <w:tcBorders>
              <w:top w:val="nil"/>
              <w:bottom w:val="nil"/>
            </w:tcBorders>
            <w:shd w:val="clear" w:color="auto" w:fill="F2F2F2" w:themeFill="background1" w:themeFillShade="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(5) </w:t>
            </w:r>
          </w:p>
        </w:tc>
        <w:tc>
          <w:tcPr>
            <w:tcW w:w="481" w:type="pct"/>
            <w:tcBorders>
              <w:top w:val="nil"/>
              <w:bottom w:val="nil"/>
            </w:tcBorders>
            <w:shd w:val="clear" w:color="auto" w:fill="F2F2F2" w:themeFill="background1" w:themeFillShade="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(69) </w:t>
            </w:r>
          </w:p>
        </w:tc>
        <w:tc>
          <w:tcPr>
            <w:tcW w:w="480" w:type="pct"/>
            <w:tcBorders>
              <w:top w:val="nil"/>
              <w:bottom w:val="nil"/>
              <w:right w:val="nil"/>
            </w:tcBorders>
            <w:shd w:val="clear" w:color="auto" w:fill="F2F2F2" w:themeFill="background1" w:themeFillShade="F2"/>
            <w:tcMar>
              <w:top w:w="15" w:type="dxa"/>
              <w:left w:w="15" w:type="dxa"/>
              <w:bottom w:w="0" w:type="dxa"/>
              <w:right w:w="78" w:type="dxa"/>
            </w:tcMar>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-93%</w:t>
            </w:r>
          </w:p>
        </w:tc>
      </w:tr>
      <w:tr w:rsidR="006259E6" w:rsidRPr="0098297F" w:rsidTr="0000442E">
        <w:trPr>
          <w:trHeight w:val="113"/>
        </w:trPr>
        <w:tc>
          <w:tcPr>
            <w:tcW w:w="2114" w:type="pct"/>
            <w:tcBorders>
              <w:top w:val="nil"/>
              <w:left w:val="nil"/>
              <w:bottom w:val="nil"/>
              <w:right w:val="nil"/>
            </w:tcBorders>
            <w:shd w:val="clear" w:color="auto" w:fill="auto"/>
            <w:tcMar>
              <w:top w:w="15" w:type="dxa"/>
              <w:left w:w="42" w:type="dxa"/>
              <w:bottom w:w="0" w:type="dxa"/>
              <w:right w:w="15" w:type="dxa"/>
            </w:tcMar>
            <w:vAlign w:val="center"/>
            <w:hideMark/>
          </w:tcPr>
          <w:p w:rsidR="006259E6" w:rsidRPr="00C62FEB" w:rsidRDefault="008F3901" w:rsidP="006259E6">
            <w:pPr>
              <w:textAlignment w:val="center"/>
              <w:rPr>
                <w:rFonts w:ascii="Segoe UI" w:eastAsia="Times New Roman" w:hAnsi="Segoe UI" w:cs="Segoe UI"/>
                <w:sz w:val="14"/>
                <w:szCs w:val="14"/>
                <w:lang w:eastAsia="el-GR"/>
              </w:rPr>
            </w:pPr>
            <w:r w:rsidRPr="008F3901">
              <w:rPr>
                <w:rFonts w:ascii="Segoe UI" w:eastAsia="Segoe UI" w:hAnsi="Segoe UI" w:cs="Segoe UI"/>
                <w:color w:val="000000"/>
                <w:kern w:val="24"/>
                <w:sz w:val="14"/>
                <w:szCs w:val="14"/>
                <w:lang w:eastAsia="el-GR"/>
              </w:rPr>
              <w:t>Λοιπές προβλέψεις / αντιλογισμός προβλέψεων</w:t>
            </w:r>
          </w:p>
        </w:tc>
        <w:tc>
          <w:tcPr>
            <w:tcW w:w="481"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(0) </w:t>
            </w:r>
          </w:p>
        </w:tc>
        <w:tc>
          <w:tcPr>
            <w:tcW w:w="481"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2 </w:t>
            </w:r>
          </w:p>
        </w:tc>
        <w:tc>
          <w:tcPr>
            <w:tcW w:w="481" w:type="pct"/>
            <w:tcBorders>
              <w:top w:val="nil"/>
              <w:left w:val="nil"/>
              <w:bottom w:val="nil"/>
            </w:tcBorders>
            <w:vAlign w:val="bottom"/>
          </w:tcPr>
          <w:p w:rsidR="006259E6" w:rsidRPr="006259E6" w:rsidRDefault="003351B7" w:rsidP="006259E6">
            <w:pPr>
              <w:pStyle w:val="NormalWeb"/>
              <w:spacing w:before="0" w:beforeAutospacing="0" w:after="0" w:afterAutospacing="0"/>
              <w:ind w:right="148"/>
              <w:jc w:val="right"/>
              <w:textAlignment w:val="center"/>
              <w:rPr>
                <w:rFonts w:ascii="Segoe UI" w:hAnsi="Segoe UI" w:cs="Segoe UI"/>
                <w:i/>
                <w:sz w:val="14"/>
                <w:szCs w:val="16"/>
                <w:lang w:val="en-US"/>
              </w:rPr>
            </w:pPr>
            <w:r>
              <w:rPr>
                <w:rFonts w:ascii="Segoe UI" w:hAnsi="Segoe UI" w:cs="Segoe UI"/>
                <w:i/>
                <w:sz w:val="14"/>
                <w:szCs w:val="16"/>
                <w:lang w:val="en-US"/>
              </w:rPr>
              <w:t>--</w:t>
            </w:r>
          </w:p>
        </w:tc>
        <w:tc>
          <w:tcPr>
            <w:tcW w:w="481"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 </w:t>
            </w:r>
          </w:p>
        </w:tc>
        <w:tc>
          <w:tcPr>
            <w:tcW w:w="481" w:type="pct"/>
            <w:tcBorders>
              <w:top w:val="nil"/>
              <w:left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(8) </w:t>
            </w:r>
          </w:p>
        </w:tc>
        <w:tc>
          <w:tcPr>
            <w:tcW w:w="480" w:type="pct"/>
            <w:tcBorders>
              <w:top w:val="nil"/>
              <w:left w:val="nil"/>
              <w:bottom w:val="nil"/>
              <w:right w:val="nil"/>
            </w:tcBorders>
            <w:shd w:val="clear" w:color="auto" w:fill="auto"/>
            <w:tcMar>
              <w:top w:w="15" w:type="dxa"/>
              <w:left w:w="15" w:type="dxa"/>
              <w:bottom w:w="0" w:type="dxa"/>
              <w:right w:w="84" w:type="dxa"/>
            </w:tcMar>
            <w:vAlign w:val="bottom"/>
            <w:hideMark/>
          </w:tcPr>
          <w:p w:rsidR="006259E6" w:rsidRPr="006259E6" w:rsidRDefault="007B197B" w:rsidP="006259E6">
            <w:pPr>
              <w:pStyle w:val="NormalWeb"/>
              <w:spacing w:before="0" w:beforeAutospacing="0" w:after="0" w:afterAutospacing="0"/>
              <w:ind w:right="148"/>
              <w:jc w:val="right"/>
              <w:textAlignment w:val="center"/>
              <w:rPr>
                <w:rFonts w:ascii="Segoe UI" w:hAnsi="Segoe UI" w:cs="Segoe UI"/>
                <w:i/>
                <w:sz w:val="14"/>
                <w:szCs w:val="16"/>
                <w:lang w:val="en-US"/>
              </w:rPr>
            </w:pPr>
            <w:r>
              <w:rPr>
                <w:rFonts w:ascii="Segoe UI" w:hAnsi="Segoe UI" w:cs="Segoe UI"/>
                <w:i/>
                <w:sz w:val="14"/>
                <w:szCs w:val="16"/>
                <w:lang w:val="en-US"/>
              </w:rPr>
              <w:t>--</w:t>
            </w:r>
          </w:p>
        </w:tc>
      </w:tr>
      <w:tr w:rsidR="006259E6" w:rsidRPr="0098297F" w:rsidTr="0000442E">
        <w:trPr>
          <w:trHeight w:val="113"/>
        </w:trPr>
        <w:tc>
          <w:tcPr>
            <w:tcW w:w="2114" w:type="pct"/>
            <w:tcBorders>
              <w:top w:val="nil"/>
              <w:left w:val="nil"/>
              <w:bottom w:val="nil"/>
              <w:right w:val="nil"/>
            </w:tcBorders>
            <w:shd w:val="clear" w:color="auto" w:fill="auto"/>
            <w:tcMar>
              <w:top w:w="15" w:type="dxa"/>
              <w:left w:w="42" w:type="dxa"/>
              <w:bottom w:w="0" w:type="dxa"/>
              <w:right w:w="15" w:type="dxa"/>
            </w:tcMar>
            <w:vAlign w:val="center"/>
            <w:hideMark/>
          </w:tcPr>
          <w:p w:rsidR="006259E6" w:rsidRPr="00C1153F" w:rsidRDefault="006259E6" w:rsidP="006259E6">
            <w:pPr>
              <w:textAlignment w:val="center"/>
              <w:rPr>
                <w:rFonts w:ascii="Segoe UI" w:eastAsia="Times New Roman" w:hAnsi="Segoe UI" w:cs="Segoe UI"/>
                <w:b/>
                <w:sz w:val="14"/>
                <w:szCs w:val="14"/>
                <w:lang w:eastAsia="el-GR"/>
              </w:rPr>
            </w:pPr>
            <w:r w:rsidRPr="00C1153F">
              <w:rPr>
                <w:rFonts w:ascii="Segoe UI" w:eastAsia="Segoe UI" w:hAnsi="Segoe UI" w:cs="Segoe UI"/>
                <w:b/>
                <w:color w:val="000000"/>
                <w:kern w:val="24"/>
                <w:sz w:val="14"/>
                <w:szCs w:val="14"/>
                <w:lang w:eastAsia="el-GR"/>
              </w:rPr>
              <w:t>Κέρδη / (ζημίες) προ φόρων</w:t>
            </w:r>
          </w:p>
        </w:tc>
        <w:tc>
          <w:tcPr>
            <w:tcW w:w="481"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2 </w:t>
            </w:r>
          </w:p>
        </w:tc>
        <w:tc>
          <w:tcPr>
            <w:tcW w:w="481"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7 </w:t>
            </w:r>
          </w:p>
        </w:tc>
        <w:tc>
          <w:tcPr>
            <w:tcW w:w="481" w:type="pct"/>
            <w:tcBorders>
              <w:top w:val="nil"/>
              <w:left w:val="nil"/>
              <w:bottom w:val="nil"/>
            </w:tcBorders>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-74%</w:t>
            </w:r>
          </w:p>
        </w:tc>
        <w:tc>
          <w:tcPr>
            <w:tcW w:w="481"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14 </w:t>
            </w:r>
          </w:p>
        </w:tc>
        <w:tc>
          <w:tcPr>
            <w:tcW w:w="481" w:type="pct"/>
            <w:tcBorders>
              <w:top w:val="nil"/>
              <w:left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(21) </w:t>
            </w:r>
          </w:p>
        </w:tc>
        <w:tc>
          <w:tcPr>
            <w:tcW w:w="480" w:type="pct"/>
            <w:tcBorders>
              <w:top w:val="nil"/>
              <w:left w:val="nil"/>
              <w:bottom w:val="nil"/>
              <w:right w:val="nil"/>
            </w:tcBorders>
            <w:shd w:val="clear" w:color="auto" w:fill="auto"/>
            <w:tcMar>
              <w:top w:w="15" w:type="dxa"/>
              <w:left w:w="15" w:type="dxa"/>
              <w:bottom w:w="0" w:type="dxa"/>
              <w:right w:w="84" w:type="dxa"/>
            </w:tcMar>
            <w:vAlign w:val="bottom"/>
            <w:hideMark/>
          </w:tcPr>
          <w:p w:rsidR="006259E6" w:rsidRPr="006259E6" w:rsidRDefault="007B197B" w:rsidP="006259E6">
            <w:pPr>
              <w:pStyle w:val="NormalWeb"/>
              <w:spacing w:before="0" w:beforeAutospacing="0" w:after="0" w:afterAutospacing="0"/>
              <w:ind w:right="148"/>
              <w:jc w:val="right"/>
              <w:textAlignment w:val="center"/>
              <w:rPr>
                <w:rFonts w:ascii="Segoe UI" w:hAnsi="Segoe UI" w:cs="Segoe UI"/>
                <w:b/>
                <w:i/>
                <w:sz w:val="14"/>
                <w:szCs w:val="16"/>
                <w:lang w:val="en-US"/>
              </w:rPr>
            </w:pPr>
            <w:r>
              <w:rPr>
                <w:rFonts w:ascii="Segoe UI" w:hAnsi="Segoe UI" w:cs="Segoe UI"/>
                <w:b/>
                <w:i/>
                <w:sz w:val="14"/>
                <w:szCs w:val="16"/>
                <w:lang w:val="en-US"/>
              </w:rPr>
              <w:t>--</w:t>
            </w:r>
          </w:p>
        </w:tc>
      </w:tr>
      <w:tr w:rsidR="006259E6" w:rsidRPr="0098297F" w:rsidTr="0000442E">
        <w:trPr>
          <w:trHeight w:val="113"/>
        </w:trPr>
        <w:tc>
          <w:tcPr>
            <w:tcW w:w="2114" w:type="pct"/>
            <w:tcBorders>
              <w:top w:val="nil"/>
              <w:left w:val="nil"/>
              <w:bottom w:val="nil"/>
              <w:right w:val="nil"/>
            </w:tcBorders>
            <w:shd w:val="clear" w:color="auto" w:fill="auto"/>
            <w:tcMar>
              <w:top w:w="15" w:type="dxa"/>
              <w:left w:w="42" w:type="dxa"/>
              <w:bottom w:w="0" w:type="dxa"/>
              <w:right w:w="15" w:type="dxa"/>
            </w:tcMar>
            <w:vAlign w:val="center"/>
            <w:hideMark/>
          </w:tcPr>
          <w:p w:rsidR="006259E6" w:rsidRPr="00C62FEB" w:rsidRDefault="006259E6" w:rsidP="006259E6">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 xml:space="preserve">Φόροι </w:t>
            </w:r>
          </w:p>
        </w:tc>
        <w:tc>
          <w:tcPr>
            <w:tcW w:w="481"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 </w:t>
            </w:r>
          </w:p>
        </w:tc>
        <w:tc>
          <w:tcPr>
            <w:tcW w:w="481"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 </w:t>
            </w:r>
          </w:p>
        </w:tc>
        <w:tc>
          <w:tcPr>
            <w:tcW w:w="481" w:type="pct"/>
            <w:tcBorders>
              <w:top w:val="nil"/>
              <w:left w:val="nil"/>
              <w:bottom w:val="nil"/>
            </w:tcBorders>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-21%</w:t>
            </w:r>
          </w:p>
        </w:tc>
        <w:tc>
          <w:tcPr>
            <w:tcW w:w="481"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(6) </w:t>
            </w:r>
          </w:p>
        </w:tc>
        <w:tc>
          <w:tcPr>
            <w:tcW w:w="481" w:type="pct"/>
            <w:tcBorders>
              <w:top w:val="nil"/>
              <w:left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(3) </w:t>
            </w:r>
          </w:p>
        </w:tc>
        <w:tc>
          <w:tcPr>
            <w:tcW w:w="480" w:type="pct"/>
            <w:tcBorders>
              <w:top w:val="nil"/>
              <w:left w:val="nil"/>
              <w:bottom w:val="nil"/>
              <w:right w:val="nil"/>
            </w:tcBorders>
            <w:shd w:val="clear" w:color="auto" w:fill="auto"/>
            <w:tcMar>
              <w:top w:w="15" w:type="dxa"/>
              <w:left w:w="15" w:type="dxa"/>
              <w:bottom w:w="0" w:type="dxa"/>
              <w:right w:w="84" w:type="dxa"/>
            </w:tcMar>
            <w:vAlign w:val="bottom"/>
            <w:hideMark/>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84%</w:t>
            </w:r>
          </w:p>
        </w:tc>
      </w:tr>
      <w:tr w:rsidR="006259E6" w:rsidRPr="0098297F" w:rsidTr="0000442E">
        <w:trPr>
          <w:trHeight w:val="113"/>
        </w:trPr>
        <w:tc>
          <w:tcPr>
            <w:tcW w:w="2114" w:type="pct"/>
            <w:tcBorders>
              <w:top w:val="nil"/>
              <w:left w:val="nil"/>
              <w:bottom w:val="nil"/>
              <w:right w:val="nil"/>
            </w:tcBorders>
            <w:shd w:val="clear" w:color="auto" w:fill="F2F2F2"/>
            <w:tcMar>
              <w:top w:w="15" w:type="dxa"/>
              <w:left w:w="42" w:type="dxa"/>
              <w:bottom w:w="0" w:type="dxa"/>
              <w:right w:w="15" w:type="dxa"/>
            </w:tcMar>
            <w:vAlign w:val="center"/>
            <w:hideMark/>
          </w:tcPr>
          <w:p w:rsidR="006259E6" w:rsidRPr="00C62FEB" w:rsidRDefault="006259E6" w:rsidP="006259E6">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Κέρδη / (ζημίες) </w:t>
            </w:r>
            <w:r w:rsidRPr="00F5406B">
              <w:rPr>
                <w:rFonts w:ascii="Segoe UI" w:eastAsia="Segoe UI" w:hAnsi="Segoe UI" w:cs="Segoe UI"/>
                <w:b/>
                <w:bCs/>
                <w:color w:val="000000"/>
                <w:kern w:val="24"/>
                <w:sz w:val="14"/>
                <w:szCs w:val="14"/>
                <w:lang w:eastAsia="el-GR"/>
              </w:rPr>
              <w:t xml:space="preserve">μετά από φόρους </w:t>
            </w:r>
            <w:r w:rsidRPr="00C62FEB">
              <w:rPr>
                <w:rFonts w:ascii="Segoe UI" w:eastAsia="Segoe UI" w:hAnsi="Segoe UI" w:cs="Segoe UI"/>
                <w:b/>
                <w:bCs/>
                <w:color w:val="000000"/>
                <w:kern w:val="24"/>
                <w:sz w:val="14"/>
                <w:szCs w:val="14"/>
                <w:lang w:eastAsia="el-GR"/>
              </w:rPr>
              <w:t>(συνεχ</w:t>
            </w:r>
            <w:r>
              <w:rPr>
                <w:rFonts w:ascii="Segoe UI" w:eastAsia="Segoe UI" w:hAnsi="Segoe UI" w:cs="Segoe UI"/>
                <w:b/>
                <w:bCs/>
                <w:color w:val="000000"/>
                <w:kern w:val="24"/>
                <w:sz w:val="14"/>
                <w:szCs w:val="14"/>
                <w:lang w:eastAsia="el-GR"/>
              </w:rPr>
              <w:t>/</w:t>
            </w:r>
            <w:r w:rsidRPr="00C62FEB">
              <w:rPr>
                <w:rFonts w:ascii="Segoe UI" w:eastAsia="Segoe UI" w:hAnsi="Segoe UI" w:cs="Segoe UI"/>
                <w:b/>
                <w:bCs/>
                <w:color w:val="000000"/>
                <w:kern w:val="24"/>
                <w:sz w:val="14"/>
                <w:szCs w:val="14"/>
                <w:lang w:eastAsia="el-GR"/>
              </w:rPr>
              <w:t>μενες δραστ/τητες)</w:t>
            </w:r>
          </w:p>
        </w:tc>
        <w:tc>
          <w:tcPr>
            <w:tcW w:w="481"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1 </w:t>
            </w:r>
          </w:p>
        </w:tc>
        <w:tc>
          <w:tcPr>
            <w:tcW w:w="481"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5 </w:t>
            </w:r>
          </w:p>
        </w:tc>
        <w:tc>
          <w:tcPr>
            <w:tcW w:w="481" w:type="pct"/>
            <w:tcBorders>
              <w:top w:val="nil"/>
              <w:left w:val="nil"/>
              <w:bottom w:val="nil"/>
            </w:tcBorders>
            <w:shd w:val="clear" w:color="000000" w:fill="F2F2F2"/>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6259E6">
              <w:rPr>
                <w:rFonts w:ascii="Segoe UI" w:hAnsi="Segoe UI" w:cs="Segoe UI"/>
                <w:b/>
                <w:i/>
                <w:sz w:val="14"/>
                <w:szCs w:val="16"/>
                <w:lang w:val="en-US"/>
              </w:rPr>
              <w:t>-87%</w:t>
            </w:r>
          </w:p>
        </w:tc>
        <w:tc>
          <w:tcPr>
            <w:tcW w:w="481" w:type="pct"/>
            <w:tcBorders>
              <w:top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8 </w:t>
            </w:r>
          </w:p>
        </w:tc>
        <w:tc>
          <w:tcPr>
            <w:tcW w:w="481" w:type="pct"/>
            <w:tcBorders>
              <w:top w:val="nil"/>
              <w:left w:val="nil"/>
              <w:bottom w:val="nil"/>
              <w:right w:val="nil"/>
            </w:tcBorders>
            <w:shd w:val="clear" w:color="000000" w:fill="F2F2F2"/>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6259E6">
              <w:rPr>
                <w:rFonts w:ascii="Segoe UI" w:hAnsi="Segoe UI" w:cs="Segoe UI"/>
                <w:b/>
                <w:sz w:val="14"/>
                <w:szCs w:val="16"/>
                <w:lang w:val="en-US"/>
              </w:rPr>
              <w:t xml:space="preserve">(24) </w:t>
            </w:r>
          </w:p>
        </w:tc>
        <w:tc>
          <w:tcPr>
            <w:tcW w:w="480" w:type="pct"/>
            <w:tcBorders>
              <w:top w:val="nil"/>
              <w:left w:val="nil"/>
              <w:bottom w:val="nil"/>
              <w:right w:val="nil"/>
            </w:tcBorders>
            <w:shd w:val="clear" w:color="000000" w:fill="F2F2F2"/>
            <w:tcMar>
              <w:top w:w="15" w:type="dxa"/>
              <w:left w:w="15" w:type="dxa"/>
              <w:bottom w:w="0" w:type="dxa"/>
              <w:right w:w="84" w:type="dxa"/>
            </w:tcMar>
            <w:vAlign w:val="bottom"/>
            <w:hideMark/>
          </w:tcPr>
          <w:p w:rsidR="006259E6" w:rsidRPr="006259E6" w:rsidRDefault="007B197B" w:rsidP="006259E6">
            <w:pPr>
              <w:pStyle w:val="NormalWeb"/>
              <w:spacing w:before="0" w:beforeAutospacing="0" w:after="0" w:afterAutospacing="0"/>
              <w:ind w:right="148"/>
              <w:jc w:val="right"/>
              <w:textAlignment w:val="center"/>
              <w:rPr>
                <w:rFonts w:ascii="Segoe UI" w:hAnsi="Segoe UI" w:cs="Segoe UI"/>
                <w:b/>
                <w:i/>
                <w:sz w:val="14"/>
                <w:szCs w:val="16"/>
                <w:lang w:val="en-US"/>
              </w:rPr>
            </w:pPr>
            <w:r>
              <w:rPr>
                <w:rFonts w:ascii="Segoe UI" w:hAnsi="Segoe UI" w:cs="Segoe UI"/>
                <w:b/>
                <w:i/>
                <w:sz w:val="14"/>
                <w:szCs w:val="16"/>
                <w:lang w:val="en-US"/>
              </w:rPr>
              <w:t>--</w:t>
            </w:r>
          </w:p>
        </w:tc>
      </w:tr>
      <w:tr w:rsidR="006259E6" w:rsidRPr="0098297F" w:rsidTr="0000442E">
        <w:trPr>
          <w:trHeight w:val="113"/>
        </w:trPr>
        <w:tc>
          <w:tcPr>
            <w:tcW w:w="2114" w:type="pct"/>
            <w:tcBorders>
              <w:top w:val="nil"/>
              <w:left w:val="nil"/>
              <w:bottom w:val="nil"/>
              <w:right w:val="nil"/>
            </w:tcBorders>
            <w:shd w:val="clear" w:color="auto" w:fill="auto"/>
            <w:tcMar>
              <w:top w:w="15" w:type="dxa"/>
              <w:left w:w="42" w:type="dxa"/>
              <w:bottom w:w="0" w:type="dxa"/>
              <w:right w:w="15" w:type="dxa"/>
            </w:tcMar>
            <w:vAlign w:val="center"/>
            <w:hideMark/>
          </w:tcPr>
          <w:p w:rsidR="006259E6" w:rsidRPr="00C62FEB" w:rsidRDefault="006259E6" w:rsidP="006259E6">
            <w:pPr>
              <w:textAlignment w:val="center"/>
              <w:rPr>
                <w:rFonts w:ascii="Segoe UI" w:eastAsia="Times New Roman" w:hAnsi="Segoe UI" w:cs="Segoe UI"/>
                <w:sz w:val="14"/>
                <w:szCs w:val="14"/>
                <w:lang w:eastAsia="el-GR"/>
              </w:rPr>
            </w:pPr>
            <w:r w:rsidRPr="00C62FEB">
              <w:rPr>
                <w:rFonts w:ascii="Segoe UI" w:eastAsia="Segoe UI" w:hAnsi="Segoe UI" w:cs="Segoe UI"/>
                <w:bCs/>
                <w:color w:val="000000"/>
                <w:kern w:val="24"/>
                <w:sz w:val="14"/>
                <w:szCs w:val="14"/>
                <w:lang w:eastAsia="el-GR"/>
              </w:rPr>
              <w:t xml:space="preserve">Κέρδη / (ζημίες) </w:t>
            </w:r>
            <w:r w:rsidRPr="00F5406B">
              <w:rPr>
                <w:rFonts w:ascii="Segoe UI" w:eastAsia="Segoe UI" w:hAnsi="Segoe UI" w:cs="Segoe UI"/>
                <w:bCs/>
                <w:color w:val="000000"/>
                <w:kern w:val="24"/>
                <w:sz w:val="14"/>
                <w:szCs w:val="14"/>
                <w:lang w:eastAsia="el-GR"/>
              </w:rPr>
              <w:t xml:space="preserve">μετά από φόρους </w:t>
            </w:r>
            <w:r w:rsidRPr="00C62FEB">
              <w:rPr>
                <w:rFonts w:ascii="Segoe UI" w:eastAsia="Segoe UI" w:hAnsi="Segoe UI" w:cs="Segoe UI"/>
                <w:bCs/>
                <w:color w:val="000000"/>
                <w:kern w:val="24"/>
                <w:sz w:val="14"/>
                <w:szCs w:val="14"/>
                <w:lang w:eastAsia="el-GR"/>
              </w:rPr>
              <w:t>(διακοπείσες δραστηριότητες)</w:t>
            </w:r>
            <w:r>
              <w:rPr>
                <w:rFonts w:ascii="Segoe UI" w:eastAsia="Segoe UI" w:hAnsi="Segoe UI" w:cs="Segoe UI"/>
                <w:bCs/>
                <w:color w:val="000000"/>
                <w:kern w:val="24"/>
                <w:sz w:val="14"/>
                <w:szCs w:val="14"/>
                <w:vertAlign w:val="superscript"/>
                <w:lang w:eastAsia="el-GR"/>
              </w:rPr>
              <w:t>2</w:t>
            </w:r>
          </w:p>
        </w:tc>
        <w:tc>
          <w:tcPr>
            <w:tcW w:w="481"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(2) </w:t>
            </w:r>
          </w:p>
        </w:tc>
        <w:tc>
          <w:tcPr>
            <w:tcW w:w="481" w:type="pct"/>
            <w:tcBorders>
              <w:top w:val="nil"/>
              <w:left w:val="nil"/>
              <w:bottom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(4) </w:t>
            </w:r>
          </w:p>
        </w:tc>
        <w:tc>
          <w:tcPr>
            <w:tcW w:w="481" w:type="pct"/>
            <w:tcBorders>
              <w:top w:val="nil"/>
              <w:left w:val="nil"/>
              <w:bottom w:val="nil"/>
            </w:tcBorders>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-49%</w:t>
            </w:r>
          </w:p>
        </w:tc>
        <w:tc>
          <w:tcPr>
            <w:tcW w:w="481"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(7) </w:t>
            </w:r>
          </w:p>
        </w:tc>
        <w:tc>
          <w:tcPr>
            <w:tcW w:w="481" w:type="pct"/>
            <w:tcBorders>
              <w:top w:val="nil"/>
              <w:left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(15) </w:t>
            </w:r>
          </w:p>
        </w:tc>
        <w:tc>
          <w:tcPr>
            <w:tcW w:w="480" w:type="pct"/>
            <w:tcBorders>
              <w:top w:val="nil"/>
              <w:left w:val="nil"/>
              <w:bottom w:val="nil"/>
              <w:right w:val="nil"/>
            </w:tcBorders>
            <w:shd w:val="clear" w:color="auto" w:fill="auto"/>
            <w:tcMar>
              <w:top w:w="15" w:type="dxa"/>
              <w:left w:w="15" w:type="dxa"/>
              <w:bottom w:w="0" w:type="dxa"/>
              <w:right w:w="84" w:type="dxa"/>
            </w:tcMar>
            <w:vAlign w:val="bottom"/>
            <w:hideMark/>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-55%</w:t>
            </w:r>
          </w:p>
        </w:tc>
      </w:tr>
      <w:tr w:rsidR="006259E6" w:rsidRPr="0098297F" w:rsidTr="0000442E">
        <w:trPr>
          <w:trHeight w:val="113"/>
        </w:trPr>
        <w:tc>
          <w:tcPr>
            <w:tcW w:w="2114" w:type="pct"/>
            <w:tcBorders>
              <w:top w:val="nil"/>
              <w:left w:val="nil"/>
              <w:right w:val="nil"/>
            </w:tcBorders>
            <w:shd w:val="clear" w:color="auto" w:fill="auto"/>
            <w:tcMar>
              <w:top w:w="15" w:type="dxa"/>
              <w:left w:w="42" w:type="dxa"/>
              <w:bottom w:w="0" w:type="dxa"/>
              <w:right w:w="15" w:type="dxa"/>
            </w:tcMar>
            <w:vAlign w:val="center"/>
            <w:hideMark/>
          </w:tcPr>
          <w:p w:rsidR="006259E6" w:rsidRPr="00C62FEB" w:rsidRDefault="006259E6" w:rsidP="006259E6">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Δικαιώματα μειοψηφίας</w:t>
            </w:r>
          </w:p>
        </w:tc>
        <w:tc>
          <w:tcPr>
            <w:tcW w:w="481" w:type="pct"/>
            <w:tcBorders>
              <w:top w:val="nil"/>
              <w:left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(0) </w:t>
            </w:r>
          </w:p>
        </w:tc>
        <w:tc>
          <w:tcPr>
            <w:tcW w:w="481" w:type="pct"/>
            <w:tcBorders>
              <w:top w:val="nil"/>
              <w:left w:val="nil"/>
              <w:right w:val="nil"/>
            </w:tcBorders>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(0) </w:t>
            </w:r>
          </w:p>
        </w:tc>
        <w:tc>
          <w:tcPr>
            <w:tcW w:w="481" w:type="pct"/>
            <w:tcBorders>
              <w:top w:val="nil"/>
              <w:left w:val="nil"/>
            </w:tcBorders>
            <w:vAlign w:val="bottom"/>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0%</w:t>
            </w:r>
          </w:p>
        </w:tc>
        <w:tc>
          <w:tcPr>
            <w:tcW w:w="481" w:type="pct"/>
            <w:tcBorders>
              <w:top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(1) </w:t>
            </w:r>
          </w:p>
        </w:tc>
        <w:tc>
          <w:tcPr>
            <w:tcW w:w="481" w:type="pct"/>
            <w:tcBorders>
              <w:top w:val="nil"/>
              <w:left w:val="nil"/>
              <w:bottom w:val="nil"/>
              <w:right w:val="nil"/>
            </w:tcBorders>
            <w:shd w:val="clear" w:color="auto" w:fill="auto"/>
            <w:vAlign w:val="center"/>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sz w:val="14"/>
                <w:szCs w:val="16"/>
                <w:lang w:val="en-US"/>
              </w:rPr>
            </w:pPr>
            <w:r w:rsidRPr="006259E6">
              <w:rPr>
                <w:rFonts w:ascii="Segoe UI" w:hAnsi="Segoe UI" w:cs="Segoe UI"/>
                <w:sz w:val="14"/>
                <w:szCs w:val="16"/>
                <w:lang w:val="en-US"/>
              </w:rPr>
              <w:t xml:space="preserve">(2) </w:t>
            </w:r>
          </w:p>
        </w:tc>
        <w:tc>
          <w:tcPr>
            <w:tcW w:w="480" w:type="pct"/>
            <w:tcBorders>
              <w:top w:val="nil"/>
              <w:left w:val="nil"/>
              <w:bottom w:val="nil"/>
              <w:right w:val="nil"/>
            </w:tcBorders>
            <w:shd w:val="clear" w:color="auto" w:fill="auto"/>
            <w:tcMar>
              <w:top w:w="15" w:type="dxa"/>
              <w:left w:w="15" w:type="dxa"/>
              <w:bottom w:w="0" w:type="dxa"/>
              <w:right w:w="84" w:type="dxa"/>
            </w:tcMar>
            <w:vAlign w:val="bottom"/>
            <w:hideMark/>
          </w:tcPr>
          <w:p w:rsidR="006259E6" w:rsidRPr="006259E6" w:rsidRDefault="006259E6" w:rsidP="006259E6">
            <w:pPr>
              <w:pStyle w:val="NormalWeb"/>
              <w:spacing w:before="0" w:beforeAutospacing="0" w:after="0" w:afterAutospacing="0"/>
              <w:ind w:right="148"/>
              <w:jc w:val="right"/>
              <w:textAlignment w:val="center"/>
              <w:rPr>
                <w:rFonts w:ascii="Segoe UI" w:hAnsi="Segoe UI" w:cs="Segoe UI"/>
                <w:i/>
                <w:sz w:val="14"/>
                <w:szCs w:val="16"/>
                <w:lang w:val="en-US"/>
              </w:rPr>
            </w:pPr>
            <w:r w:rsidRPr="006259E6">
              <w:rPr>
                <w:rFonts w:ascii="Segoe UI" w:hAnsi="Segoe UI" w:cs="Segoe UI"/>
                <w:i/>
                <w:sz w:val="14"/>
                <w:szCs w:val="16"/>
                <w:lang w:val="en-US"/>
              </w:rPr>
              <w:t>-13%</w:t>
            </w:r>
          </w:p>
        </w:tc>
      </w:tr>
      <w:tr w:rsidR="006259E6" w:rsidRPr="0098297F" w:rsidTr="0000442E">
        <w:trPr>
          <w:trHeight w:val="113"/>
        </w:trPr>
        <w:tc>
          <w:tcPr>
            <w:tcW w:w="2114" w:type="pct"/>
            <w:tcBorders>
              <w:top w:val="nil"/>
              <w:left w:val="nil"/>
              <w:bottom w:val="single" w:sz="12" w:space="0" w:color="auto"/>
              <w:right w:val="nil"/>
            </w:tcBorders>
            <w:shd w:val="clear" w:color="auto" w:fill="F2F2F2" w:themeFill="background1" w:themeFillShade="F2"/>
            <w:tcMar>
              <w:top w:w="15" w:type="dxa"/>
              <w:left w:w="42" w:type="dxa"/>
              <w:bottom w:w="0" w:type="dxa"/>
              <w:right w:w="15" w:type="dxa"/>
            </w:tcMar>
            <w:vAlign w:val="center"/>
          </w:tcPr>
          <w:p w:rsidR="006259E6" w:rsidRPr="00AB591B" w:rsidRDefault="006259E6" w:rsidP="006259E6">
            <w:pPr>
              <w:jc w:val="both"/>
              <w:textAlignment w:val="center"/>
              <w:rPr>
                <w:rFonts w:ascii="Segoe UI" w:eastAsia="Segoe UI" w:hAnsi="Segoe UI" w:cs="Segoe UI"/>
                <w:color w:val="000000"/>
                <w:kern w:val="24"/>
                <w:sz w:val="14"/>
                <w:szCs w:val="14"/>
                <w:lang w:eastAsia="el-GR"/>
              </w:rPr>
            </w:pPr>
            <w:r w:rsidRPr="00AB591B">
              <w:rPr>
                <w:rFonts w:ascii="Segoe UI" w:eastAsia="Segoe UI" w:hAnsi="Segoe UI" w:cs="Segoe UI"/>
                <w:b/>
                <w:color w:val="000000"/>
                <w:kern w:val="24"/>
                <w:sz w:val="14"/>
                <w:szCs w:val="14"/>
                <w:lang w:eastAsia="el-GR"/>
              </w:rPr>
              <w:t xml:space="preserve">Κέρδη / (ζημίες) </w:t>
            </w:r>
            <w:r>
              <w:rPr>
                <w:rFonts w:ascii="Segoe UI" w:eastAsia="Segoe UI" w:hAnsi="Segoe UI" w:cs="Segoe UI"/>
                <w:b/>
                <w:color w:val="000000"/>
                <w:kern w:val="24"/>
                <w:sz w:val="14"/>
                <w:szCs w:val="14"/>
                <w:lang w:eastAsia="el-GR"/>
              </w:rPr>
              <w:t xml:space="preserve">μετά </w:t>
            </w:r>
            <w:r w:rsidRPr="00976026">
              <w:rPr>
                <w:rFonts w:ascii="Segoe UI" w:eastAsia="Segoe UI" w:hAnsi="Segoe UI" w:cs="Segoe UI"/>
                <w:b/>
                <w:color w:val="000000"/>
                <w:kern w:val="24"/>
                <w:sz w:val="14"/>
                <w:szCs w:val="14"/>
                <w:lang w:eastAsia="el-GR"/>
              </w:rPr>
              <w:t xml:space="preserve">από φόρους </w:t>
            </w:r>
            <w:r w:rsidRPr="00AB591B">
              <w:rPr>
                <w:rFonts w:ascii="Segoe UI" w:eastAsia="Segoe UI" w:hAnsi="Segoe UI" w:cs="Segoe UI"/>
                <w:b/>
                <w:color w:val="000000"/>
                <w:kern w:val="24"/>
                <w:sz w:val="14"/>
                <w:szCs w:val="14"/>
                <w:lang w:eastAsia="el-GR"/>
              </w:rPr>
              <w:t>περιόδου</w:t>
            </w:r>
          </w:p>
        </w:tc>
        <w:tc>
          <w:tcPr>
            <w:tcW w:w="481" w:type="pct"/>
            <w:tcBorders>
              <w:top w:val="nil"/>
              <w:left w:val="nil"/>
              <w:bottom w:val="single" w:sz="12" w:space="0" w:color="000000"/>
              <w:right w:val="nil"/>
            </w:tcBorders>
            <w:shd w:val="clear" w:color="000000" w:fill="F2F2F2"/>
            <w:vAlign w:val="center"/>
          </w:tcPr>
          <w:p w:rsidR="006259E6" w:rsidRPr="00024327"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024327">
              <w:rPr>
                <w:rFonts w:ascii="Segoe UI" w:hAnsi="Segoe UI" w:cs="Segoe UI"/>
                <w:b/>
                <w:sz w:val="14"/>
                <w:szCs w:val="16"/>
                <w:lang w:val="en-US"/>
              </w:rPr>
              <w:t xml:space="preserve">(2) </w:t>
            </w:r>
          </w:p>
        </w:tc>
        <w:tc>
          <w:tcPr>
            <w:tcW w:w="481" w:type="pct"/>
            <w:tcBorders>
              <w:top w:val="nil"/>
              <w:left w:val="nil"/>
              <w:bottom w:val="single" w:sz="12" w:space="0" w:color="000000"/>
              <w:right w:val="nil"/>
            </w:tcBorders>
            <w:shd w:val="clear" w:color="000000" w:fill="F2F2F2"/>
            <w:vAlign w:val="center"/>
          </w:tcPr>
          <w:p w:rsidR="006259E6" w:rsidRPr="00024327"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024327">
              <w:rPr>
                <w:rFonts w:ascii="Segoe UI" w:hAnsi="Segoe UI" w:cs="Segoe UI"/>
                <w:b/>
                <w:sz w:val="14"/>
                <w:szCs w:val="16"/>
                <w:lang w:val="en-US"/>
              </w:rPr>
              <w:t xml:space="preserve">1 </w:t>
            </w:r>
          </w:p>
        </w:tc>
        <w:tc>
          <w:tcPr>
            <w:tcW w:w="481" w:type="pct"/>
            <w:tcBorders>
              <w:top w:val="nil"/>
              <w:left w:val="nil"/>
              <w:bottom w:val="single" w:sz="12" w:space="0" w:color="000000"/>
            </w:tcBorders>
            <w:shd w:val="clear" w:color="000000" w:fill="F2F2F2"/>
            <w:vAlign w:val="bottom"/>
          </w:tcPr>
          <w:p w:rsidR="006259E6" w:rsidRPr="00024327" w:rsidRDefault="007B197B"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024327">
              <w:rPr>
                <w:rFonts w:ascii="Segoe UI" w:hAnsi="Segoe UI" w:cs="Segoe UI"/>
                <w:b/>
                <w:i/>
                <w:sz w:val="14"/>
                <w:szCs w:val="16"/>
                <w:lang w:val="en-US"/>
              </w:rPr>
              <w:t>--</w:t>
            </w:r>
          </w:p>
        </w:tc>
        <w:tc>
          <w:tcPr>
            <w:tcW w:w="481" w:type="pct"/>
            <w:tcBorders>
              <w:top w:val="nil"/>
              <w:bottom w:val="single" w:sz="12" w:space="0" w:color="auto"/>
              <w:right w:val="nil"/>
            </w:tcBorders>
            <w:shd w:val="clear" w:color="000000" w:fill="F2F2F2"/>
            <w:vAlign w:val="center"/>
          </w:tcPr>
          <w:p w:rsidR="006259E6" w:rsidRPr="00024327"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024327">
              <w:rPr>
                <w:rFonts w:ascii="Segoe UI" w:hAnsi="Segoe UI" w:cs="Segoe UI"/>
                <w:b/>
                <w:sz w:val="14"/>
                <w:szCs w:val="16"/>
                <w:lang w:val="en-US"/>
              </w:rPr>
              <w:t xml:space="preserve">0 </w:t>
            </w:r>
          </w:p>
        </w:tc>
        <w:tc>
          <w:tcPr>
            <w:tcW w:w="481" w:type="pct"/>
            <w:tcBorders>
              <w:top w:val="nil"/>
              <w:left w:val="nil"/>
              <w:bottom w:val="single" w:sz="12" w:space="0" w:color="auto"/>
              <w:right w:val="nil"/>
            </w:tcBorders>
            <w:shd w:val="clear" w:color="000000" w:fill="F2F2F2"/>
            <w:vAlign w:val="center"/>
          </w:tcPr>
          <w:p w:rsidR="006259E6" w:rsidRPr="00024327" w:rsidRDefault="006259E6" w:rsidP="006259E6">
            <w:pPr>
              <w:pStyle w:val="NormalWeb"/>
              <w:spacing w:before="0" w:beforeAutospacing="0" w:after="0" w:afterAutospacing="0"/>
              <w:ind w:right="148"/>
              <w:jc w:val="right"/>
              <w:textAlignment w:val="center"/>
              <w:rPr>
                <w:rFonts w:ascii="Segoe UI" w:hAnsi="Segoe UI" w:cs="Segoe UI"/>
                <w:b/>
                <w:sz w:val="14"/>
                <w:szCs w:val="16"/>
                <w:lang w:val="en-US"/>
              </w:rPr>
            </w:pPr>
            <w:r w:rsidRPr="00024327">
              <w:rPr>
                <w:rFonts w:ascii="Segoe UI" w:hAnsi="Segoe UI" w:cs="Segoe UI"/>
                <w:b/>
                <w:sz w:val="14"/>
                <w:szCs w:val="16"/>
                <w:lang w:val="en-US"/>
              </w:rPr>
              <w:t xml:space="preserve">(40) </w:t>
            </w:r>
          </w:p>
        </w:tc>
        <w:tc>
          <w:tcPr>
            <w:tcW w:w="480" w:type="pct"/>
            <w:tcBorders>
              <w:top w:val="nil"/>
              <w:left w:val="nil"/>
              <w:bottom w:val="single" w:sz="12" w:space="0" w:color="auto"/>
              <w:right w:val="nil"/>
            </w:tcBorders>
            <w:shd w:val="clear" w:color="000000" w:fill="F2F2F2"/>
            <w:tcMar>
              <w:top w:w="15" w:type="dxa"/>
              <w:left w:w="15" w:type="dxa"/>
              <w:bottom w:w="0" w:type="dxa"/>
              <w:right w:w="84" w:type="dxa"/>
            </w:tcMar>
            <w:vAlign w:val="bottom"/>
          </w:tcPr>
          <w:p w:rsidR="006259E6" w:rsidRPr="00024327" w:rsidRDefault="007B197B" w:rsidP="006259E6">
            <w:pPr>
              <w:pStyle w:val="NormalWeb"/>
              <w:spacing w:before="0" w:beforeAutospacing="0" w:after="0" w:afterAutospacing="0"/>
              <w:ind w:right="148"/>
              <w:jc w:val="right"/>
              <w:textAlignment w:val="center"/>
              <w:rPr>
                <w:rFonts w:ascii="Segoe UI" w:hAnsi="Segoe UI" w:cs="Segoe UI"/>
                <w:b/>
                <w:i/>
                <w:sz w:val="14"/>
                <w:szCs w:val="16"/>
                <w:lang w:val="en-US"/>
              </w:rPr>
            </w:pPr>
            <w:r w:rsidRPr="00024327">
              <w:rPr>
                <w:rFonts w:ascii="Segoe UI" w:hAnsi="Segoe UI" w:cs="Segoe UI"/>
                <w:b/>
                <w:i/>
                <w:sz w:val="14"/>
                <w:szCs w:val="16"/>
                <w:lang w:val="en-US"/>
              </w:rPr>
              <w:t>--</w:t>
            </w:r>
          </w:p>
        </w:tc>
      </w:tr>
    </w:tbl>
    <w:p w:rsidR="00E55AED" w:rsidRPr="00F73358" w:rsidRDefault="00DE335A" w:rsidP="00E55AED">
      <w:pPr>
        <w:jc w:val="both"/>
        <w:textAlignment w:val="baseline"/>
        <w:rPr>
          <w:rFonts w:ascii="Segoe UI" w:hAnsi="Segoe UI" w:cs="Segoe UI"/>
          <w:color w:val="000000" w:themeColor="text1"/>
          <w:kern w:val="24"/>
          <w:sz w:val="7"/>
          <w:szCs w:val="7"/>
        </w:rPr>
      </w:pPr>
      <w:r w:rsidRPr="00F73358">
        <w:rPr>
          <w:rFonts w:ascii="Segoe UI" w:hAnsi="Segoe UI" w:cs="Segoe UI"/>
          <w:color w:val="000000" w:themeColor="text1"/>
          <w:kern w:val="24"/>
          <w:sz w:val="7"/>
          <w:szCs w:val="7"/>
          <w:vertAlign w:val="superscript"/>
        </w:rPr>
        <w:t>1</w:t>
      </w:r>
      <w:r w:rsidR="00767DA0" w:rsidRPr="00F73358">
        <w:rPr>
          <w:rFonts w:ascii="Segoe UI" w:hAnsi="Segoe UI" w:cs="Segoe UI"/>
          <w:color w:val="000000" w:themeColor="text1"/>
          <w:kern w:val="24"/>
          <w:sz w:val="7"/>
          <w:szCs w:val="7"/>
        </w:rPr>
        <w:t xml:space="preserve">Οι διεθνείς (συνεχιζόμενες) δραστηριότητες </w:t>
      </w:r>
      <w:r w:rsidR="000F1FBE" w:rsidRPr="00F73358">
        <w:rPr>
          <w:rFonts w:ascii="Segoe UI" w:hAnsi="Segoe UI" w:cs="Segoe UI"/>
          <w:color w:val="000000" w:themeColor="text1"/>
          <w:kern w:val="24"/>
          <w:sz w:val="7"/>
          <w:szCs w:val="7"/>
        </w:rPr>
        <w:t>περιλαμβάνουν</w:t>
      </w:r>
      <w:r w:rsidRPr="00F73358">
        <w:rPr>
          <w:rFonts w:ascii="Segoe UI" w:hAnsi="Segoe UI" w:cs="Segoe UI"/>
          <w:color w:val="000000" w:themeColor="text1"/>
          <w:kern w:val="24"/>
          <w:sz w:val="7"/>
          <w:szCs w:val="7"/>
        </w:rPr>
        <w:t xml:space="preserve"> τις δραστηριότητες του Ομίλου στη Βόρεια Μακεδονία (Stopanska)</w:t>
      </w:r>
      <w:r w:rsidR="007870D7" w:rsidRPr="00F73358">
        <w:rPr>
          <w:rFonts w:ascii="Segoe UI" w:hAnsi="Segoe UI" w:cs="Segoe UI"/>
          <w:color w:val="000000" w:themeColor="text1"/>
          <w:kern w:val="24"/>
          <w:sz w:val="7"/>
          <w:szCs w:val="7"/>
        </w:rPr>
        <w:t xml:space="preserve">, </w:t>
      </w:r>
      <w:r w:rsidRPr="00F73358">
        <w:rPr>
          <w:rFonts w:ascii="Segoe UI" w:hAnsi="Segoe UI" w:cs="Segoe UI"/>
          <w:color w:val="000000" w:themeColor="text1"/>
          <w:kern w:val="24"/>
          <w:sz w:val="7"/>
          <w:szCs w:val="7"/>
        </w:rPr>
        <w:t>Μάλτα (NBG Malta)</w:t>
      </w:r>
      <w:r w:rsidR="007870D7" w:rsidRPr="00F73358">
        <w:rPr>
          <w:rFonts w:ascii="Segoe UI" w:hAnsi="Segoe UI" w:cs="Segoe UI"/>
          <w:color w:val="000000" w:themeColor="text1"/>
          <w:kern w:val="24"/>
          <w:sz w:val="7"/>
          <w:szCs w:val="7"/>
        </w:rPr>
        <w:t xml:space="preserve"> και Αίγυπτο (</w:t>
      </w:r>
      <w:r w:rsidR="00DA7E35" w:rsidRPr="00F73358">
        <w:rPr>
          <w:rFonts w:ascii="Segoe UI" w:hAnsi="Segoe UI" w:cs="Segoe UI"/>
          <w:color w:val="000000" w:themeColor="text1"/>
          <w:kern w:val="24"/>
          <w:sz w:val="7"/>
          <w:szCs w:val="7"/>
          <w:lang w:val="en-GB"/>
        </w:rPr>
        <w:t>ETE</w:t>
      </w:r>
      <w:r w:rsidR="00DA7E35" w:rsidRPr="00F73358">
        <w:rPr>
          <w:rFonts w:ascii="Segoe UI" w:hAnsi="Segoe UI" w:cs="Segoe UI"/>
          <w:color w:val="000000" w:themeColor="text1"/>
          <w:kern w:val="24"/>
          <w:sz w:val="7"/>
          <w:szCs w:val="7"/>
        </w:rPr>
        <w:t xml:space="preserve"> Αιγύπτου</w:t>
      </w:r>
      <w:r w:rsidR="007870D7" w:rsidRPr="00F73358">
        <w:rPr>
          <w:rFonts w:ascii="Segoe UI" w:hAnsi="Segoe UI" w:cs="Segoe UI"/>
          <w:color w:val="000000" w:themeColor="text1"/>
          <w:kern w:val="24"/>
          <w:sz w:val="7"/>
          <w:szCs w:val="7"/>
        </w:rPr>
        <w:t>)</w:t>
      </w:r>
      <w:r w:rsidR="00767DA0" w:rsidRPr="00F73358">
        <w:rPr>
          <w:rFonts w:ascii="Segoe UI" w:hAnsi="Segoe UI" w:cs="Segoe UI"/>
          <w:color w:val="000000" w:themeColor="text1"/>
          <w:kern w:val="24"/>
          <w:sz w:val="7"/>
          <w:szCs w:val="7"/>
        </w:rPr>
        <w:t xml:space="preserve"> </w:t>
      </w:r>
      <w:r w:rsidR="00E55AED" w:rsidRPr="00F73358">
        <w:rPr>
          <w:rFonts w:ascii="Segoe UI" w:hAnsi="Segoe UI" w:cs="Segoe UI"/>
          <w:color w:val="000000" w:themeColor="text1"/>
          <w:kern w:val="24"/>
          <w:sz w:val="7"/>
          <w:szCs w:val="7"/>
        </w:rPr>
        <w:br w:type="page"/>
      </w:r>
    </w:p>
    <w:p w:rsidR="00EE40A0" w:rsidRPr="009733C4" w:rsidRDefault="009733C4" w:rsidP="00EE40A0">
      <w:pPr>
        <w:pStyle w:val="TITLEINBODY"/>
        <w:rPr>
          <w:rFonts w:ascii="Segoe UI" w:hAnsi="Segoe UI" w:cs="Segoe UI"/>
          <w:lang w:val="el-GR"/>
        </w:rPr>
      </w:pPr>
      <w:r>
        <w:rPr>
          <w:rFonts w:ascii="Segoe UI" w:hAnsi="Segoe UI" w:cs="Segoe UI"/>
          <w:lang w:val="el-GR"/>
        </w:rPr>
        <w:lastRenderedPageBreak/>
        <w:t>Κερδοφορία</w:t>
      </w:r>
    </w:p>
    <w:p w:rsidR="00EE40A0" w:rsidRPr="009733C4" w:rsidRDefault="009733C4" w:rsidP="00EE40A0">
      <w:pPr>
        <w:pStyle w:val="TITLE2"/>
        <w:rPr>
          <w:sz w:val="24"/>
          <w:szCs w:val="24"/>
          <w:lang w:val="el-GR"/>
        </w:rPr>
      </w:pPr>
      <w:r>
        <w:rPr>
          <w:sz w:val="24"/>
          <w:szCs w:val="24"/>
          <w:lang w:val="el-GR"/>
        </w:rPr>
        <w:t>Ελλάδα</w:t>
      </w:r>
    </w:p>
    <w:p w:rsidR="00DD00CD" w:rsidRDefault="00DD00CD" w:rsidP="00DD00CD">
      <w:pPr>
        <w:autoSpaceDE w:val="0"/>
        <w:autoSpaceDN w:val="0"/>
        <w:adjustRightInd w:val="0"/>
        <w:spacing w:after="160" w:line="320" w:lineRule="atLeast"/>
        <w:jc w:val="both"/>
        <w:rPr>
          <w:rFonts w:ascii="Segoe UI" w:hAnsi="Segoe UI" w:cs="Segoe UI"/>
          <w:sz w:val="20"/>
        </w:rPr>
      </w:pPr>
      <w:r w:rsidRPr="0089052B">
        <w:rPr>
          <w:rFonts w:ascii="Segoe UI" w:hAnsi="Segoe UI" w:cs="Segoe UI"/>
          <w:sz w:val="20"/>
        </w:rPr>
        <w:t xml:space="preserve">Τα </w:t>
      </w:r>
      <w:r>
        <w:rPr>
          <w:rFonts w:ascii="Segoe UI" w:hAnsi="Segoe UI" w:cs="Segoe UI"/>
          <w:b/>
          <w:sz w:val="20"/>
        </w:rPr>
        <w:t xml:space="preserve">κέρδη μετά </w:t>
      </w:r>
      <w:r w:rsidRPr="006F2A9C">
        <w:rPr>
          <w:rFonts w:ascii="Segoe UI" w:hAnsi="Segoe UI" w:cs="Segoe UI"/>
          <w:b/>
          <w:sz w:val="20"/>
        </w:rPr>
        <w:t xml:space="preserve">από φόρους </w:t>
      </w:r>
      <w:r>
        <w:rPr>
          <w:rFonts w:ascii="Segoe UI" w:hAnsi="Segoe UI" w:cs="Segoe UI"/>
          <w:b/>
          <w:sz w:val="20"/>
        </w:rPr>
        <w:t xml:space="preserve">από συνεχιζόμενες δραστηριότητες </w:t>
      </w:r>
      <w:r w:rsidRPr="0089052B">
        <w:rPr>
          <w:rFonts w:ascii="Segoe UI" w:hAnsi="Segoe UI" w:cs="Segoe UI"/>
          <w:sz w:val="20"/>
        </w:rPr>
        <w:t>ανήλθαν σε €</w:t>
      </w:r>
      <w:r w:rsidRPr="00DD00CD">
        <w:rPr>
          <w:rFonts w:ascii="Segoe UI" w:hAnsi="Segoe UI" w:cs="Segoe UI"/>
          <w:sz w:val="20"/>
        </w:rPr>
        <w:t>136</w:t>
      </w:r>
      <w:r w:rsidRPr="0089052B">
        <w:rPr>
          <w:rFonts w:ascii="Segoe UI" w:hAnsi="Segoe UI" w:cs="Segoe UI"/>
          <w:sz w:val="20"/>
        </w:rPr>
        <w:t xml:space="preserve"> εκατ. το </w:t>
      </w:r>
      <w:r>
        <w:rPr>
          <w:rFonts w:ascii="Segoe UI" w:hAnsi="Segoe UI" w:cs="Segoe UI"/>
          <w:sz w:val="20"/>
        </w:rPr>
        <w:t>Γ</w:t>
      </w:r>
      <w:r w:rsidRPr="00FB0379">
        <w:rPr>
          <w:rFonts w:ascii="Segoe UI" w:hAnsi="Segoe UI" w:cs="Segoe UI"/>
          <w:sz w:val="20"/>
        </w:rPr>
        <w:t xml:space="preserve">’ </w:t>
      </w:r>
      <w:r>
        <w:rPr>
          <w:rFonts w:ascii="Segoe UI" w:hAnsi="Segoe UI" w:cs="Segoe UI"/>
          <w:sz w:val="20"/>
        </w:rPr>
        <w:t xml:space="preserve">τρίμηνο </w:t>
      </w:r>
      <w:r w:rsidRPr="00FB0379">
        <w:rPr>
          <w:rFonts w:ascii="Segoe UI" w:hAnsi="Segoe UI" w:cs="Segoe UI"/>
          <w:sz w:val="20"/>
        </w:rPr>
        <w:t xml:space="preserve">2020 </w:t>
      </w:r>
      <w:r w:rsidRPr="0089052B">
        <w:rPr>
          <w:rFonts w:ascii="Segoe UI" w:hAnsi="Segoe UI" w:cs="Segoe UI"/>
          <w:sz w:val="20"/>
        </w:rPr>
        <w:t>από €</w:t>
      </w:r>
      <w:r>
        <w:rPr>
          <w:rFonts w:ascii="Segoe UI" w:hAnsi="Segoe UI" w:cs="Segoe UI"/>
          <w:sz w:val="20"/>
        </w:rPr>
        <w:t>53</w:t>
      </w:r>
      <w:r w:rsidRPr="0089052B">
        <w:rPr>
          <w:rFonts w:ascii="Segoe UI" w:hAnsi="Segoe UI" w:cs="Segoe UI"/>
          <w:sz w:val="20"/>
        </w:rPr>
        <w:t xml:space="preserve"> εκατ. </w:t>
      </w:r>
      <w:r>
        <w:rPr>
          <w:rFonts w:ascii="Segoe UI" w:hAnsi="Segoe UI" w:cs="Segoe UI"/>
          <w:sz w:val="20"/>
        </w:rPr>
        <w:t>το Β</w:t>
      </w:r>
      <w:r w:rsidRPr="00DD00CD">
        <w:rPr>
          <w:rFonts w:ascii="Segoe UI" w:hAnsi="Segoe UI" w:cs="Segoe UI"/>
          <w:sz w:val="20"/>
        </w:rPr>
        <w:t xml:space="preserve">’ τρίμηνο </w:t>
      </w:r>
      <w:r w:rsidRPr="00FB0379">
        <w:rPr>
          <w:rFonts w:ascii="Segoe UI" w:hAnsi="Segoe UI" w:cs="Segoe UI"/>
          <w:sz w:val="20"/>
        </w:rPr>
        <w:t>20</w:t>
      </w:r>
      <w:r>
        <w:rPr>
          <w:rFonts w:ascii="Segoe UI" w:hAnsi="Segoe UI" w:cs="Segoe UI"/>
          <w:sz w:val="20"/>
        </w:rPr>
        <w:t xml:space="preserve">20, </w:t>
      </w:r>
      <w:r w:rsidRPr="00DD00CD">
        <w:rPr>
          <w:rFonts w:ascii="Segoe UI" w:hAnsi="Segoe UI" w:cs="Segoe UI"/>
          <w:sz w:val="20"/>
        </w:rPr>
        <w:t>αντανακλώντας την ανάκαμψη των οργανικών εσόδων</w:t>
      </w:r>
      <w:r>
        <w:rPr>
          <w:rFonts w:ascii="Segoe UI" w:hAnsi="Segoe UI" w:cs="Segoe UI"/>
          <w:sz w:val="20"/>
        </w:rPr>
        <w:t xml:space="preserve"> (+12,1% σε τριμηνιαία βάση)</w:t>
      </w:r>
      <w:r w:rsidRPr="00DD00CD">
        <w:rPr>
          <w:rFonts w:ascii="Segoe UI" w:hAnsi="Segoe UI" w:cs="Segoe UI"/>
          <w:sz w:val="20"/>
        </w:rPr>
        <w:t xml:space="preserve">, </w:t>
      </w:r>
      <w:r w:rsidR="00211F71">
        <w:rPr>
          <w:rFonts w:ascii="Segoe UI" w:hAnsi="Segoe UI" w:cs="Segoe UI"/>
          <w:sz w:val="20"/>
        </w:rPr>
        <w:t xml:space="preserve">τα υψηλά κέρδη </w:t>
      </w:r>
      <w:r w:rsidR="00535632">
        <w:rPr>
          <w:rFonts w:ascii="Segoe UI" w:hAnsi="Segoe UI" w:cs="Segoe UI"/>
          <w:sz w:val="20"/>
        </w:rPr>
        <w:t xml:space="preserve">από χρηματοοικονομικές πράξεις, </w:t>
      </w:r>
      <w:r w:rsidRPr="00DD00CD">
        <w:rPr>
          <w:rFonts w:ascii="Segoe UI" w:hAnsi="Segoe UI" w:cs="Segoe UI"/>
          <w:sz w:val="20"/>
        </w:rPr>
        <w:t xml:space="preserve">τη σταθεροποίηση των </w:t>
      </w:r>
      <w:r w:rsidR="00535632" w:rsidRPr="00DD00CD">
        <w:rPr>
          <w:rFonts w:ascii="Segoe UI" w:hAnsi="Segoe UI" w:cs="Segoe UI"/>
          <w:sz w:val="20"/>
        </w:rPr>
        <w:t>λειτουργικών εξόδων</w:t>
      </w:r>
      <w:r w:rsidR="00B302BA" w:rsidRPr="00B302BA">
        <w:rPr>
          <w:rFonts w:ascii="Segoe UI" w:hAnsi="Segoe UI" w:cs="Segoe UI"/>
          <w:sz w:val="20"/>
        </w:rPr>
        <w:t xml:space="preserve"> </w:t>
      </w:r>
      <w:r w:rsidR="00B302BA" w:rsidRPr="00853694">
        <w:rPr>
          <w:rFonts w:ascii="Segoe UI" w:hAnsi="Segoe UI" w:cs="Segoe UI"/>
          <w:sz w:val="20"/>
        </w:rPr>
        <w:t>σε τριμηνιαία βάση</w:t>
      </w:r>
      <w:r w:rsidR="003E4D43">
        <w:rPr>
          <w:rFonts w:ascii="Segoe UI" w:hAnsi="Segoe UI" w:cs="Segoe UI"/>
          <w:sz w:val="20"/>
        </w:rPr>
        <w:t>,</w:t>
      </w:r>
      <w:r w:rsidR="00535632" w:rsidRPr="00DD00CD">
        <w:rPr>
          <w:rFonts w:ascii="Segoe UI" w:hAnsi="Segoe UI" w:cs="Segoe UI"/>
          <w:sz w:val="20"/>
        </w:rPr>
        <w:t xml:space="preserve"> </w:t>
      </w:r>
      <w:r w:rsidR="003E4D43">
        <w:rPr>
          <w:rFonts w:ascii="Segoe UI" w:hAnsi="Segoe UI" w:cs="Segoe UI"/>
          <w:sz w:val="20"/>
        </w:rPr>
        <w:t xml:space="preserve">καθώς και </w:t>
      </w:r>
      <w:r w:rsidR="00853694">
        <w:rPr>
          <w:rFonts w:ascii="Segoe UI" w:hAnsi="Segoe UI" w:cs="Segoe UI"/>
          <w:sz w:val="20"/>
        </w:rPr>
        <w:t>τις σχετικά χαμηλές προβλέψεις</w:t>
      </w:r>
      <w:r w:rsidRPr="00DD00CD">
        <w:rPr>
          <w:rFonts w:ascii="Segoe UI" w:hAnsi="Segoe UI" w:cs="Segoe UI"/>
          <w:sz w:val="20"/>
        </w:rPr>
        <w:t xml:space="preserve"> για επισφαλείς απαιτήσεις</w:t>
      </w:r>
      <w:r w:rsidRPr="00330D58">
        <w:rPr>
          <w:rFonts w:ascii="Segoe UI" w:hAnsi="Segoe UI" w:cs="Segoe UI"/>
          <w:sz w:val="20"/>
        </w:rPr>
        <w:t>.</w:t>
      </w:r>
      <w:r w:rsidR="002C147E">
        <w:rPr>
          <w:rFonts w:ascii="Segoe UI" w:hAnsi="Segoe UI" w:cs="Segoe UI"/>
          <w:sz w:val="20"/>
        </w:rPr>
        <w:t xml:space="preserve"> Το Εννεάμηνο 2020, τ</w:t>
      </w:r>
      <w:r w:rsidR="002C147E" w:rsidRPr="002C147E">
        <w:rPr>
          <w:rFonts w:ascii="Segoe UI" w:hAnsi="Segoe UI" w:cs="Segoe UI"/>
          <w:sz w:val="20"/>
        </w:rPr>
        <w:t xml:space="preserve">α κέρδη μετά από φόρους από συνεχιζόμενες δραστηριότητες </w:t>
      </w:r>
      <w:r w:rsidR="002C147E">
        <w:rPr>
          <w:rFonts w:ascii="Segoe UI" w:hAnsi="Segoe UI" w:cs="Segoe UI"/>
          <w:sz w:val="20"/>
        </w:rPr>
        <w:t>διαμορφώθηκαν σε €594 εκατ. από €476 εκατ. το Εννεάμηνο 2019</w:t>
      </w:r>
      <w:r w:rsidR="00332920">
        <w:rPr>
          <w:rFonts w:ascii="Segoe UI" w:hAnsi="Segoe UI" w:cs="Segoe UI"/>
          <w:sz w:val="20"/>
        </w:rPr>
        <w:t>,</w:t>
      </w:r>
      <w:r w:rsidR="00332920" w:rsidRPr="00332920">
        <w:rPr>
          <w:rFonts w:ascii="Segoe UI" w:hAnsi="Segoe UI" w:cs="Segoe UI"/>
          <w:sz w:val="20"/>
        </w:rPr>
        <w:t xml:space="preserve"> </w:t>
      </w:r>
      <w:r w:rsidR="00332920" w:rsidRPr="00D148AE">
        <w:rPr>
          <w:rFonts w:ascii="Segoe UI" w:hAnsi="Segoe UI" w:cs="Segoe UI"/>
          <w:sz w:val="20"/>
        </w:rPr>
        <w:t xml:space="preserve">αντικατοπτρίζοντας </w:t>
      </w:r>
      <w:r w:rsidR="00332920">
        <w:rPr>
          <w:rFonts w:ascii="Segoe UI" w:hAnsi="Segoe UI" w:cs="Segoe UI"/>
          <w:sz w:val="20"/>
        </w:rPr>
        <w:t xml:space="preserve">τη </w:t>
      </w:r>
      <w:r w:rsidR="00D15646">
        <w:rPr>
          <w:rFonts w:ascii="Segoe UI" w:hAnsi="Segoe UI" w:cs="Segoe UI"/>
          <w:sz w:val="20"/>
        </w:rPr>
        <w:t xml:space="preserve">μείωση της πίεσης στα </w:t>
      </w:r>
      <w:r w:rsidR="00332920">
        <w:rPr>
          <w:rFonts w:ascii="Segoe UI" w:hAnsi="Segoe UI" w:cs="Segoe UI"/>
          <w:sz w:val="20"/>
        </w:rPr>
        <w:t>καθαρ</w:t>
      </w:r>
      <w:r w:rsidR="00D15646">
        <w:rPr>
          <w:rFonts w:ascii="Segoe UI" w:hAnsi="Segoe UI" w:cs="Segoe UI"/>
          <w:sz w:val="20"/>
        </w:rPr>
        <w:t>ά</w:t>
      </w:r>
      <w:r w:rsidR="00332920">
        <w:rPr>
          <w:rFonts w:ascii="Segoe UI" w:hAnsi="Segoe UI" w:cs="Segoe UI"/>
          <w:sz w:val="20"/>
        </w:rPr>
        <w:t xml:space="preserve"> </w:t>
      </w:r>
      <w:r w:rsidR="00D15646">
        <w:rPr>
          <w:rFonts w:ascii="Segoe UI" w:hAnsi="Segoe UI" w:cs="Segoe UI"/>
          <w:sz w:val="20"/>
        </w:rPr>
        <w:t xml:space="preserve">έσοδα </w:t>
      </w:r>
      <w:r w:rsidR="00332920">
        <w:rPr>
          <w:rFonts w:ascii="Segoe UI" w:hAnsi="Segoe UI" w:cs="Segoe UI"/>
          <w:sz w:val="20"/>
        </w:rPr>
        <w:t xml:space="preserve">από τόκους, </w:t>
      </w:r>
      <w:r w:rsidR="00332920" w:rsidRPr="00D148AE">
        <w:rPr>
          <w:rFonts w:ascii="Segoe UI" w:hAnsi="Segoe UI" w:cs="Segoe UI"/>
          <w:sz w:val="20"/>
        </w:rPr>
        <w:t>τα υψηλά κέρδη από χρηματοοικονομικές πράξεις, επωφελούμενα από την ανταλλαγή και πώληση ΟΕΔ κατά τη διάρκεια του Α’ τριμήνου,</w:t>
      </w:r>
      <w:r w:rsidR="00332920">
        <w:rPr>
          <w:rFonts w:ascii="Segoe UI" w:hAnsi="Segoe UI" w:cs="Segoe UI"/>
          <w:sz w:val="20"/>
        </w:rPr>
        <w:t xml:space="preserve"> καθώς και</w:t>
      </w:r>
      <w:r w:rsidR="00332920" w:rsidRPr="00D148AE">
        <w:rPr>
          <w:rFonts w:ascii="Segoe UI" w:hAnsi="Segoe UI" w:cs="Segoe UI"/>
          <w:sz w:val="20"/>
        </w:rPr>
        <w:t xml:space="preserve"> </w:t>
      </w:r>
      <w:r w:rsidR="00332920" w:rsidRPr="00283FBA">
        <w:rPr>
          <w:rFonts w:ascii="Segoe UI" w:hAnsi="Segoe UI" w:cs="Segoe UI"/>
          <w:sz w:val="20"/>
        </w:rPr>
        <w:t>τη σημαντική περιστολή των δαπανών προσωπικού και των γενικών διοικητικών και λοιπών λειτουργικών εξόδων</w:t>
      </w:r>
      <w:r w:rsidR="00332920">
        <w:rPr>
          <w:rFonts w:ascii="Segoe UI" w:hAnsi="Segoe UI" w:cs="Segoe UI"/>
          <w:sz w:val="20"/>
        </w:rPr>
        <w:t xml:space="preserve">. Τα υψηλά </w:t>
      </w:r>
      <w:r w:rsidR="00332920" w:rsidRPr="00D148AE">
        <w:rPr>
          <w:rFonts w:ascii="Segoe UI" w:hAnsi="Segoe UI" w:cs="Segoe UI"/>
          <w:sz w:val="20"/>
        </w:rPr>
        <w:t>κέρδη από χρηματοοικονομικές πράξεις</w:t>
      </w:r>
      <w:r w:rsidR="00332920">
        <w:rPr>
          <w:rFonts w:ascii="Segoe UI" w:hAnsi="Segoe UI" w:cs="Segoe UI"/>
          <w:sz w:val="20"/>
        </w:rPr>
        <w:t xml:space="preserve"> </w:t>
      </w:r>
      <w:r w:rsidRPr="00D148AE">
        <w:rPr>
          <w:rFonts w:ascii="Segoe UI" w:hAnsi="Segoe UI" w:cs="Segoe UI"/>
          <w:sz w:val="20"/>
        </w:rPr>
        <w:t xml:space="preserve">απορρόφησαν την αύξηση των συνολικών προβλέψεων για επισφαλείς απαιτήσεις </w:t>
      </w:r>
      <w:r>
        <w:rPr>
          <w:rFonts w:ascii="Segoe UI" w:hAnsi="Segoe UI" w:cs="Segoe UI"/>
          <w:sz w:val="20"/>
        </w:rPr>
        <w:t xml:space="preserve">σχετιζόμενες με την </w:t>
      </w:r>
      <w:r w:rsidRPr="00D148AE">
        <w:rPr>
          <w:rFonts w:ascii="Segoe UI" w:hAnsi="Segoe UI" w:cs="Segoe UI"/>
          <w:sz w:val="20"/>
        </w:rPr>
        <w:t>πανδημία του κορωνοϊού</w:t>
      </w:r>
      <w:r w:rsidR="00B472FD" w:rsidRPr="00B472FD">
        <w:rPr>
          <w:rFonts w:ascii="Segoe UI" w:hAnsi="Segoe UI" w:cs="Segoe UI"/>
          <w:vertAlign w:val="superscript"/>
        </w:rPr>
        <w:footnoteReference w:id="1"/>
      </w:r>
      <w:r w:rsidR="0025257E">
        <w:rPr>
          <w:rFonts w:ascii="Segoe UI" w:hAnsi="Segoe UI" w:cs="Segoe UI"/>
          <w:sz w:val="20"/>
        </w:rPr>
        <w:t xml:space="preserve"> </w:t>
      </w:r>
      <w:r w:rsidR="0055116E">
        <w:rPr>
          <w:rFonts w:ascii="Segoe UI" w:hAnsi="Segoe UI" w:cs="Segoe UI"/>
          <w:sz w:val="20"/>
        </w:rPr>
        <w:t xml:space="preserve">το Α’ τρίμηνο 2020. </w:t>
      </w:r>
    </w:p>
    <w:p w:rsidR="00870A31" w:rsidRPr="00870A31" w:rsidRDefault="00260562" w:rsidP="00E55AED">
      <w:pPr>
        <w:autoSpaceDE w:val="0"/>
        <w:autoSpaceDN w:val="0"/>
        <w:adjustRightInd w:val="0"/>
        <w:spacing w:after="160" w:line="320" w:lineRule="atLeast"/>
        <w:jc w:val="both"/>
        <w:rPr>
          <w:rFonts w:ascii="Segoe UI" w:hAnsi="Segoe UI" w:cs="Segoe UI"/>
          <w:sz w:val="20"/>
        </w:rPr>
      </w:pPr>
      <w:r>
        <w:rPr>
          <w:rFonts w:ascii="Segoe UI" w:hAnsi="Segoe UI" w:cs="Segoe UI"/>
          <w:sz w:val="20"/>
        </w:rPr>
        <w:t>Τ</w:t>
      </w:r>
      <w:r w:rsidR="00870A31" w:rsidRPr="00870A31">
        <w:rPr>
          <w:rFonts w:ascii="Segoe UI" w:hAnsi="Segoe UI" w:cs="Segoe UI"/>
          <w:sz w:val="20"/>
        </w:rPr>
        <w:t xml:space="preserve">α </w:t>
      </w:r>
      <w:r w:rsidR="00870A31" w:rsidRPr="00870A31">
        <w:rPr>
          <w:rFonts w:ascii="Segoe UI" w:hAnsi="Segoe UI" w:cs="Segoe UI"/>
          <w:b/>
          <w:sz w:val="20"/>
        </w:rPr>
        <w:t>καθαρά έσοδα από τόκους</w:t>
      </w:r>
      <w:r w:rsidR="00870A31" w:rsidRPr="00870A31">
        <w:rPr>
          <w:rFonts w:ascii="Segoe UI" w:hAnsi="Segoe UI" w:cs="Segoe UI"/>
          <w:sz w:val="20"/>
        </w:rPr>
        <w:t xml:space="preserve"> </w:t>
      </w:r>
      <w:r w:rsidR="004F0C08" w:rsidRPr="004F0C08">
        <w:rPr>
          <w:rFonts w:ascii="Segoe UI" w:hAnsi="Segoe UI" w:cs="Segoe UI"/>
          <w:sz w:val="20"/>
        </w:rPr>
        <w:t>ανέκαμψαν σημαντικά κατά 1</w:t>
      </w:r>
      <w:r w:rsidR="004F0C08">
        <w:rPr>
          <w:rFonts w:ascii="Segoe UI" w:hAnsi="Segoe UI" w:cs="Segoe UI"/>
          <w:sz w:val="20"/>
        </w:rPr>
        <w:t>1,9%</w:t>
      </w:r>
      <w:r w:rsidR="004F0C08" w:rsidRPr="004F0C08">
        <w:rPr>
          <w:rFonts w:ascii="Segoe UI" w:hAnsi="Segoe UI" w:cs="Segoe UI"/>
          <w:sz w:val="20"/>
        </w:rPr>
        <w:t xml:space="preserve"> </w:t>
      </w:r>
      <w:r w:rsidR="008A1691">
        <w:rPr>
          <w:rFonts w:ascii="Segoe UI" w:hAnsi="Segoe UI" w:cs="Segoe UI"/>
          <w:sz w:val="20"/>
        </w:rPr>
        <w:t xml:space="preserve">ή €31 εκατ. </w:t>
      </w:r>
      <w:r w:rsidR="004F0C08" w:rsidRPr="004F0C08">
        <w:rPr>
          <w:rFonts w:ascii="Segoe UI" w:hAnsi="Segoe UI" w:cs="Segoe UI"/>
          <w:sz w:val="20"/>
        </w:rPr>
        <w:t>σε τριμηνιαία βάση και διαμορφώθηκαν σε €</w:t>
      </w:r>
      <w:r w:rsidR="004F0C08">
        <w:rPr>
          <w:rFonts w:ascii="Segoe UI" w:hAnsi="Segoe UI" w:cs="Segoe UI"/>
          <w:sz w:val="20"/>
        </w:rPr>
        <w:t>290</w:t>
      </w:r>
      <w:r w:rsidR="004F0C08" w:rsidRPr="004F0C08">
        <w:rPr>
          <w:rFonts w:ascii="Segoe UI" w:hAnsi="Segoe UI" w:cs="Segoe UI"/>
          <w:sz w:val="20"/>
        </w:rPr>
        <w:t xml:space="preserve"> εκατ. το Γ’ τρίμηνο 2020, αντανακλώντας την αύξηση στα υπόλοιπα των εξυπηρετούμενων δανείων, καθώς και το όφελος από το χαμηλότερο κόστος χρηματοδότησης</w:t>
      </w:r>
      <w:r w:rsidR="00882A0A">
        <w:rPr>
          <w:rFonts w:ascii="Segoe UI" w:hAnsi="Segoe UI" w:cs="Segoe UI"/>
          <w:sz w:val="20"/>
        </w:rPr>
        <w:t>,</w:t>
      </w:r>
      <w:r w:rsidR="004F0C08" w:rsidRPr="004F0C08">
        <w:rPr>
          <w:rFonts w:ascii="Segoe UI" w:hAnsi="Segoe UI" w:cs="Segoe UI"/>
          <w:sz w:val="20"/>
        </w:rPr>
        <w:t xml:space="preserve"> λόγω της αυξημένης συμμετοχής </w:t>
      </w:r>
      <w:r w:rsidR="006A490E">
        <w:rPr>
          <w:rFonts w:ascii="Segoe UI" w:hAnsi="Segoe UI" w:cs="Segoe UI"/>
          <w:sz w:val="20"/>
        </w:rPr>
        <w:t xml:space="preserve">της ΕΤΕ </w:t>
      </w:r>
      <w:r w:rsidR="004F0C08" w:rsidRPr="004F0C08">
        <w:rPr>
          <w:rFonts w:ascii="Segoe UI" w:hAnsi="Segoe UI" w:cs="Segoe UI"/>
          <w:sz w:val="20"/>
        </w:rPr>
        <w:t>στο Πρόγραμμα Συναλλαγών Μακροχρόνιας Αναχρηματοδότησης (TLTRO) της ΕΚΤ και της συνεχιζόμενης ανατιμολόγησης καταθέσεων προθεσμίας</w:t>
      </w:r>
      <w:r w:rsidR="004F0C08">
        <w:rPr>
          <w:rFonts w:ascii="Segoe UI" w:hAnsi="Segoe UI" w:cs="Segoe UI"/>
          <w:sz w:val="20"/>
        </w:rPr>
        <w:t>.</w:t>
      </w:r>
      <w:r w:rsidR="004F0C08" w:rsidRPr="004F0C08">
        <w:rPr>
          <w:rFonts w:ascii="Segoe UI" w:hAnsi="Segoe UI" w:cs="Segoe UI"/>
          <w:sz w:val="20"/>
        </w:rPr>
        <w:t xml:space="preserve"> </w:t>
      </w:r>
      <w:r w:rsidR="00CE2D05">
        <w:rPr>
          <w:rFonts w:ascii="Segoe UI" w:hAnsi="Segoe UI" w:cs="Segoe UI"/>
          <w:sz w:val="20"/>
        </w:rPr>
        <w:t>Τ</w:t>
      </w:r>
      <w:r w:rsidR="00CE43F2" w:rsidRPr="00870A31">
        <w:rPr>
          <w:rFonts w:ascii="Segoe UI" w:hAnsi="Segoe UI" w:cs="Segoe UI"/>
          <w:sz w:val="20"/>
        </w:rPr>
        <w:t xml:space="preserve">ο </w:t>
      </w:r>
      <w:r w:rsidR="00CE43F2" w:rsidRPr="005E7308">
        <w:rPr>
          <w:rFonts w:ascii="Segoe UI" w:hAnsi="Segoe UI" w:cs="Segoe UI"/>
          <w:b/>
          <w:sz w:val="20"/>
        </w:rPr>
        <w:t>καθαρό επιτοκιακό περιθώριο</w:t>
      </w:r>
      <w:r w:rsidR="00CE43F2" w:rsidRPr="00870A31">
        <w:rPr>
          <w:rFonts w:ascii="Segoe UI" w:hAnsi="Segoe UI" w:cs="Segoe UI"/>
          <w:sz w:val="20"/>
        </w:rPr>
        <w:t xml:space="preserve"> </w:t>
      </w:r>
      <w:r w:rsidR="00851BBD">
        <w:rPr>
          <w:rFonts w:ascii="Segoe UI" w:hAnsi="Segoe UI" w:cs="Segoe UI"/>
          <w:sz w:val="20"/>
        </w:rPr>
        <w:t>αυξήθηκε</w:t>
      </w:r>
      <w:r w:rsidR="00CE43F2" w:rsidRPr="00870A31">
        <w:rPr>
          <w:rFonts w:ascii="Segoe UI" w:hAnsi="Segoe UI" w:cs="Segoe UI"/>
          <w:sz w:val="20"/>
        </w:rPr>
        <w:t xml:space="preserve"> κατά </w:t>
      </w:r>
      <w:r w:rsidR="00851BBD">
        <w:rPr>
          <w:rFonts w:ascii="Segoe UI" w:hAnsi="Segoe UI" w:cs="Segoe UI"/>
          <w:sz w:val="20"/>
        </w:rPr>
        <w:t>6</w:t>
      </w:r>
      <w:r w:rsidR="00CE43F2" w:rsidRPr="00870A31">
        <w:rPr>
          <w:rFonts w:ascii="Segoe UI" w:hAnsi="Segoe UI" w:cs="Segoe UI"/>
          <w:sz w:val="20"/>
        </w:rPr>
        <w:t xml:space="preserve">μ.β. σε </w:t>
      </w:r>
      <w:r w:rsidR="004C1A0C">
        <w:rPr>
          <w:rFonts w:ascii="Segoe UI" w:hAnsi="Segoe UI" w:cs="Segoe UI"/>
          <w:sz w:val="20"/>
        </w:rPr>
        <w:t>τριμηνιαία</w:t>
      </w:r>
      <w:r w:rsidR="004C1A0C" w:rsidRPr="00870A31">
        <w:rPr>
          <w:rFonts w:ascii="Segoe UI" w:hAnsi="Segoe UI" w:cs="Segoe UI"/>
          <w:sz w:val="20"/>
        </w:rPr>
        <w:t xml:space="preserve"> </w:t>
      </w:r>
      <w:r w:rsidR="00CE43F2" w:rsidRPr="00870A31">
        <w:rPr>
          <w:rFonts w:ascii="Segoe UI" w:hAnsi="Segoe UI" w:cs="Segoe UI"/>
          <w:sz w:val="20"/>
        </w:rPr>
        <w:t>βάση</w:t>
      </w:r>
      <w:r w:rsidR="00C766E3">
        <w:rPr>
          <w:rFonts w:ascii="Segoe UI" w:hAnsi="Segoe UI" w:cs="Segoe UI"/>
          <w:sz w:val="20"/>
        </w:rPr>
        <w:t xml:space="preserve"> σε </w:t>
      </w:r>
      <w:r w:rsidR="00543E12">
        <w:rPr>
          <w:rFonts w:ascii="Segoe UI" w:hAnsi="Segoe UI" w:cs="Segoe UI"/>
          <w:sz w:val="20"/>
        </w:rPr>
        <w:t>2</w:t>
      </w:r>
      <w:r w:rsidR="00851BBD">
        <w:rPr>
          <w:rFonts w:ascii="Segoe UI" w:hAnsi="Segoe UI" w:cs="Segoe UI"/>
          <w:sz w:val="20"/>
        </w:rPr>
        <w:t>20</w:t>
      </w:r>
      <w:r w:rsidR="00CE43F2" w:rsidRPr="00870A31">
        <w:rPr>
          <w:rFonts w:ascii="Segoe UI" w:hAnsi="Segoe UI" w:cs="Segoe UI"/>
          <w:sz w:val="20"/>
        </w:rPr>
        <w:t>μ.β.</w:t>
      </w:r>
      <w:r w:rsidR="00B81F14">
        <w:rPr>
          <w:rFonts w:ascii="Segoe UI" w:hAnsi="Segoe UI" w:cs="Segoe UI"/>
          <w:sz w:val="20"/>
        </w:rPr>
        <w:t xml:space="preserve"> </w:t>
      </w:r>
      <w:r w:rsidR="00162BDD">
        <w:rPr>
          <w:rFonts w:ascii="Segoe UI" w:hAnsi="Segoe UI" w:cs="Segoe UI"/>
          <w:sz w:val="20"/>
        </w:rPr>
        <w:t>Το Εννεάμηνο 2020</w:t>
      </w:r>
      <w:r w:rsidR="00C87229">
        <w:rPr>
          <w:rFonts w:ascii="Segoe UI" w:hAnsi="Segoe UI" w:cs="Segoe UI"/>
          <w:sz w:val="20"/>
        </w:rPr>
        <w:t>, τ</w:t>
      </w:r>
      <w:r w:rsidR="00C87229" w:rsidRPr="00C87229">
        <w:rPr>
          <w:rFonts w:ascii="Segoe UI" w:hAnsi="Segoe UI" w:cs="Segoe UI"/>
          <w:sz w:val="20"/>
        </w:rPr>
        <w:t>α καθαρά έσοδα από τόκους</w:t>
      </w:r>
      <w:r w:rsidR="00D5680C">
        <w:rPr>
          <w:rFonts w:ascii="Segoe UI" w:hAnsi="Segoe UI" w:cs="Segoe UI"/>
          <w:sz w:val="20"/>
        </w:rPr>
        <w:t xml:space="preserve"> μειώθηκαν κατά </w:t>
      </w:r>
      <w:r w:rsidR="00851BBD">
        <w:rPr>
          <w:rFonts w:ascii="Segoe UI" w:hAnsi="Segoe UI" w:cs="Segoe UI"/>
          <w:sz w:val="20"/>
        </w:rPr>
        <w:t>4,7</w:t>
      </w:r>
      <w:r w:rsidR="00D5680C">
        <w:rPr>
          <w:rFonts w:ascii="Segoe UI" w:hAnsi="Segoe UI" w:cs="Segoe UI"/>
          <w:sz w:val="20"/>
        </w:rPr>
        <w:t>%</w:t>
      </w:r>
      <w:r w:rsidR="00B72A35">
        <w:rPr>
          <w:rFonts w:ascii="Segoe UI" w:hAnsi="Segoe UI" w:cs="Segoe UI"/>
          <w:sz w:val="20"/>
        </w:rPr>
        <w:t xml:space="preserve"> σε ετήσια βάση σε €</w:t>
      </w:r>
      <w:r w:rsidR="00851BBD">
        <w:rPr>
          <w:rFonts w:ascii="Segoe UI" w:hAnsi="Segoe UI" w:cs="Segoe UI"/>
          <w:sz w:val="20"/>
        </w:rPr>
        <w:t>811</w:t>
      </w:r>
      <w:r w:rsidR="00B72A35">
        <w:rPr>
          <w:rFonts w:ascii="Segoe UI" w:hAnsi="Segoe UI" w:cs="Segoe UI"/>
          <w:sz w:val="20"/>
        </w:rPr>
        <w:t xml:space="preserve"> εκατ</w:t>
      </w:r>
      <w:r w:rsidR="00ED1929">
        <w:rPr>
          <w:rFonts w:ascii="Segoe UI" w:hAnsi="Segoe UI" w:cs="Segoe UI"/>
          <w:sz w:val="20"/>
        </w:rPr>
        <w:t>.</w:t>
      </w:r>
      <w:r w:rsidR="00B72A35">
        <w:rPr>
          <w:rFonts w:ascii="Segoe UI" w:hAnsi="Segoe UI" w:cs="Segoe UI"/>
          <w:sz w:val="20"/>
        </w:rPr>
        <w:t>,</w:t>
      </w:r>
      <w:r w:rsidR="00ED1929">
        <w:rPr>
          <w:rFonts w:ascii="Segoe UI" w:hAnsi="Segoe UI" w:cs="Segoe UI"/>
          <w:sz w:val="20"/>
        </w:rPr>
        <w:t xml:space="preserve"> </w:t>
      </w:r>
      <w:r w:rsidR="00456E34" w:rsidRPr="00456E34">
        <w:rPr>
          <w:rFonts w:ascii="Segoe UI" w:hAnsi="Segoe UI" w:cs="Segoe UI"/>
          <w:sz w:val="20"/>
        </w:rPr>
        <w:t>κυρίως ως αποτέλεσμα της σημαντικής αποκλιμάκωσης ΜΕΑ κατά €4,7 δισ. το 2019, καθώς και της πώλησης χρεογρά</w:t>
      </w:r>
      <w:r w:rsidR="00B72A35">
        <w:rPr>
          <w:rFonts w:ascii="Segoe UI" w:hAnsi="Segoe UI" w:cs="Segoe UI"/>
          <w:sz w:val="20"/>
        </w:rPr>
        <w:t xml:space="preserve">φων κατά τα προηγούμενα τρίμηνα. </w:t>
      </w:r>
    </w:p>
    <w:p w:rsidR="00F1316E" w:rsidRPr="00B439EE" w:rsidRDefault="00E676A0" w:rsidP="00A8021C">
      <w:pPr>
        <w:autoSpaceDE w:val="0"/>
        <w:autoSpaceDN w:val="0"/>
        <w:adjustRightInd w:val="0"/>
        <w:spacing w:after="160" w:line="320" w:lineRule="atLeast"/>
        <w:jc w:val="both"/>
        <w:rPr>
          <w:rFonts w:ascii="Segoe UI" w:eastAsia="MS Mincho" w:hAnsi="Segoe UI" w:cs="Segoe UI"/>
          <w:sz w:val="20"/>
          <w:lang w:bidi="el-GR"/>
        </w:rPr>
      </w:pPr>
      <w:r w:rsidRPr="00E676A0">
        <w:rPr>
          <w:rFonts w:ascii="Segoe UI" w:eastAsia="MS Mincho" w:hAnsi="Segoe UI" w:cs="Segoe UI"/>
          <w:sz w:val="20"/>
          <w:lang w:bidi="el-GR"/>
        </w:rPr>
        <w:t xml:space="preserve">Μετά την αρνητική επίδραση </w:t>
      </w:r>
      <w:r w:rsidR="008E047E" w:rsidRPr="008E047E">
        <w:rPr>
          <w:rFonts w:ascii="Segoe UI" w:eastAsia="MS Mincho" w:hAnsi="Segoe UI" w:cs="Segoe UI"/>
          <w:sz w:val="20"/>
          <w:lang w:bidi="el-GR"/>
        </w:rPr>
        <w:t>του γενικού απαγορευτικού</w:t>
      </w:r>
      <w:r w:rsidR="008E047E">
        <w:rPr>
          <w:rFonts w:ascii="Segoe UI" w:eastAsia="MS Mincho" w:hAnsi="Segoe UI" w:cs="Segoe UI"/>
          <w:sz w:val="20"/>
          <w:lang w:bidi="el-GR"/>
        </w:rPr>
        <w:t xml:space="preserve"> </w:t>
      </w:r>
      <w:r w:rsidRPr="00E676A0">
        <w:rPr>
          <w:rFonts w:ascii="Segoe UI" w:eastAsia="MS Mincho" w:hAnsi="Segoe UI" w:cs="Segoe UI"/>
          <w:sz w:val="20"/>
          <w:lang w:bidi="el-GR"/>
        </w:rPr>
        <w:t xml:space="preserve">στη διεξαγωγή συναλλαγών κατά το Β’ τρίμηνο 2020, τα </w:t>
      </w:r>
      <w:r w:rsidRPr="00A8021C">
        <w:rPr>
          <w:rFonts w:ascii="Segoe UI" w:eastAsia="MS Mincho" w:hAnsi="Segoe UI" w:cs="Segoe UI"/>
          <w:b/>
          <w:sz w:val="20"/>
          <w:lang w:bidi="el-GR"/>
        </w:rPr>
        <w:t>καθαρά έσοδα από προμήθειες</w:t>
      </w:r>
      <w:r w:rsidRPr="00E676A0">
        <w:rPr>
          <w:rFonts w:ascii="Segoe UI" w:eastAsia="MS Mincho" w:hAnsi="Segoe UI" w:cs="Segoe UI"/>
          <w:sz w:val="20"/>
          <w:lang w:bidi="el-GR"/>
        </w:rPr>
        <w:t xml:space="preserve"> </w:t>
      </w:r>
      <w:r>
        <w:rPr>
          <w:rFonts w:ascii="Segoe UI" w:eastAsia="MS Mincho" w:hAnsi="Segoe UI" w:cs="Segoe UI"/>
          <w:sz w:val="20"/>
          <w:lang w:bidi="el-GR"/>
        </w:rPr>
        <w:t xml:space="preserve">ανήλθαν σε €61 εκατ. το Γ’ τρίμηνο 2020 </w:t>
      </w:r>
      <w:r w:rsidR="003F1F3E">
        <w:rPr>
          <w:rFonts w:ascii="Segoe UI" w:eastAsia="MS Mincho" w:hAnsi="Segoe UI" w:cs="Segoe UI"/>
          <w:sz w:val="20"/>
          <w:lang w:bidi="el-GR"/>
        </w:rPr>
        <w:t>από €54 εκατ. το προηγούμενο τρίμηνο</w:t>
      </w:r>
      <w:r w:rsidRPr="00E676A0">
        <w:rPr>
          <w:rFonts w:ascii="Segoe UI" w:eastAsia="MS Mincho" w:hAnsi="Segoe UI" w:cs="Segoe UI"/>
          <w:sz w:val="20"/>
          <w:lang w:bidi="el-GR"/>
        </w:rPr>
        <w:t xml:space="preserve">, </w:t>
      </w:r>
      <w:r w:rsidR="00C42FAF">
        <w:rPr>
          <w:rFonts w:ascii="Segoe UI" w:eastAsia="MS Mincho" w:hAnsi="Segoe UI" w:cs="Segoe UI"/>
          <w:sz w:val="20"/>
          <w:lang w:bidi="el-GR"/>
        </w:rPr>
        <w:t>αντανακλώντας την αν</w:t>
      </w:r>
      <w:r w:rsidRPr="00E676A0">
        <w:rPr>
          <w:rFonts w:ascii="Segoe UI" w:eastAsia="MS Mincho" w:hAnsi="Segoe UI" w:cs="Segoe UI"/>
          <w:sz w:val="20"/>
          <w:lang w:bidi="el-GR"/>
        </w:rPr>
        <w:t xml:space="preserve">άκαμψη των προμηθειών τόσο Λιανικής </w:t>
      </w:r>
      <w:r w:rsidR="000815AD">
        <w:rPr>
          <w:rFonts w:ascii="Segoe UI" w:eastAsia="MS Mincho" w:hAnsi="Segoe UI" w:cs="Segoe UI"/>
          <w:sz w:val="20"/>
          <w:lang w:bidi="el-GR"/>
        </w:rPr>
        <w:t>(</w:t>
      </w:r>
      <w:r w:rsidR="000815AD" w:rsidRPr="00B439EE">
        <w:rPr>
          <w:rFonts w:ascii="Segoe UI" w:eastAsia="MS Mincho" w:hAnsi="Segoe UI" w:cs="Segoe UI"/>
          <w:sz w:val="20"/>
          <w:lang w:bidi="el-GR"/>
        </w:rPr>
        <w:t>+</w:t>
      </w:r>
      <w:r w:rsidR="000815AD">
        <w:rPr>
          <w:rFonts w:ascii="Segoe UI" w:eastAsia="MS Mincho" w:hAnsi="Segoe UI" w:cs="Segoe UI"/>
          <w:sz w:val="20"/>
          <w:lang w:bidi="el-GR"/>
        </w:rPr>
        <w:t>9,7</w:t>
      </w:r>
      <w:r w:rsidR="000815AD" w:rsidRPr="00B439EE">
        <w:rPr>
          <w:rFonts w:ascii="Segoe UI" w:eastAsia="MS Mincho" w:hAnsi="Segoe UI" w:cs="Segoe UI"/>
          <w:sz w:val="20"/>
          <w:lang w:bidi="el-GR"/>
        </w:rPr>
        <w:t xml:space="preserve">% σε </w:t>
      </w:r>
      <w:r w:rsidR="000815AD">
        <w:rPr>
          <w:rFonts w:ascii="Segoe UI" w:eastAsia="MS Mincho" w:hAnsi="Segoe UI" w:cs="Segoe UI"/>
          <w:sz w:val="20"/>
          <w:lang w:bidi="el-GR"/>
        </w:rPr>
        <w:t xml:space="preserve">τριμηνιαία </w:t>
      </w:r>
      <w:r w:rsidR="000815AD" w:rsidRPr="00B439EE">
        <w:rPr>
          <w:rFonts w:ascii="Segoe UI" w:eastAsia="MS Mincho" w:hAnsi="Segoe UI" w:cs="Segoe UI"/>
          <w:sz w:val="20"/>
          <w:lang w:bidi="el-GR"/>
        </w:rPr>
        <w:t>βάση</w:t>
      </w:r>
      <w:r w:rsidR="000815AD">
        <w:rPr>
          <w:rFonts w:ascii="Segoe UI" w:eastAsia="MS Mincho" w:hAnsi="Segoe UI" w:cs="Segoe UI"/>
          <w:sz w:val="20"/>
          <w:lang w:bidi="el-GR"/>
        </w:rPr>
        <w:t xml:space="preserve">) </w:t>
      </w:r>
      <w:r w:rsidRPr="00E676A0">
        <w:rPr>
          <w:rFonts w:ascii="Segoe UI" w:eastAsia="MS Mincho" w:hAnsi="Segoe UI" w:cs="Segoe UI"/>
          <w:sz w:val="20"/>
          <w:lang w:bidi="el-GR"/>
        </w:rPr>
        <w:t>όσο και Εταιρικής Τραπεζικής</w:t>
      </w:r>
      <w:r w:rsidR="000815AD">
        <w:rPr>
          <w:rFonts w:ascii="Segoe UI" w:eastAsia="MS Mincho" w:hAnsi="Segoe UI" w:cs="Segoe UI"/>
          <w:sz w:val="20"/>
          <w:lang w:bidi="el-GR"/>
        </w:rPr>
        <w:t xml:space="preserve"> (</w:t>
      </w:r>
      <w:r w:rsidR="000815AD" w:rsidRPr="00B439EE">
        <w:rPr>
          <w:rFonts w:ascii="Segoe UI" w:eastAsia="MS Mincho" w:hAnsi="Segoe UI" w:cs="Segoe UI"/>
          <w:sz w:val="20"/>
          <w:lang w:bidi="el-GR"/>
        </w:rPr>
        <w:t>+</w:t>
      </w:r>
      <w:r w:rsidR="000815AD">
        <w:rPr>
          <w:rFonts w:ascii="Segoe UI" w:eastAsia="MS Mincho" w:hAnsi="Segoe UI" w:cs="Segoe UI"/>
          <w:sz w:val="20"/>
          <w:lang w:bidi="el-GR"/>
        </w:rPr>
        <w:t>19,1</w:t>
      </w:r>
      <w:r w:rsidR="000815AD" w:rsidRPr="00B439EE">
        <w:rPr>
          <w:rFonts w:ascii="Segoe UI" w:eastAsia="MS Mincho" w:hAnsi="Segoe UI" w:cs="Segoe UI"/>
          <w:sz w:val="20"/>
          <w:lang w:bidi="el-GR"/>
        </w:rPr>
        <w:t xml:space="preserve">% σε </w:t>
      </w:r>
      <w:r w:rsidR="000815AD">
        <w:rPr>
          <w:rFonts w:ascii="Segoe UI" w:eastAsia="MS Mincho" w:hAnsi="Segoe UI" w:cs="Segoe UI"/>
          <w:sz w:val="20"/>
          <w:lang w:bidi="el-GR"/>
        </w:rPr>
        <w:t xml:space="preserve">τριμηνιαία </w:t>
      </w:r>
      <w:r w:rsidR="000815AD" w:rsidRPr="00B439EE">
        <w:rPr>
          <w:rFonts w:ascii="Segoe UI" w:eastAsia="MS Mincho" w:hAnsi="Segoe UI" w:cs="Segoe UI"/>
          <w:sz w:val="20"/>
          <w:lang w:bidi="el-GR"/>
        </w:rPr>
        <w:t>βάση</w:t>
      </w:r>
      <w:r w:rsidR="000815AD">
        <w:rPr>
          <w:rFonts w:ascii="Segoe UI" w:eastAsia="MS Mincho" w:hAnsi="Segoe UI" w:cs="Segoe UI"/>
          <w:sz w:val="20"/>
          <w:lang w:bidi="el-GR"/>
        </w:rPr>
        <w:t>)</w:t>
      </w:r>
      <w:r w:rsidRPr="00E676A0">
        <w:rPr>
          <w:rFonts w:ascii="Segoe UI" w:eastAsia="MS Mincho" w:hAnsi="Segoe UI" w:cs="Segoe UI"/>
          <w:sz w:val="20"/>
          <w:lang w:bidi="el-GR"/>
        </w:rPr>
        <w:t xml:space="preserve">. </w:t>
      </w:r>
      <w:r w:rsidR="00C42FAF">
        <w:rPr>
          <w:rFonts w:ascii="Segoe UI" w:eastAsia="MS Mincho" w:hAnsi="Segoe UI" w:cs="Segoe UI"/>
          <w:sz w:val="20"/>
          <w:lang w:bidi="el-GR"/>
        </w:rPr>
        <w:t>Σε</w:t>
      </w:r>
      <w:r w:rsidRPr="00E676A0">
        <w:rPr>
          <w:rFonts w:ascii="Segoe UI" w:eastAsia="MS Mincho" w:hAnsi="Segoe UI" w:cs="Segoe UI"/>
          <w:sz w:val="20"/>
          <w:lang w:bidi="el-GR"/>
        </w:rPr>
        <w:t xml:space="preserve"> επίπεδο εννεαμήνου και παρά τις δυσμενείς συνθήκες λόγω της πανδημίας του κορωνοϊού, τα καθαρά έσοδα από προμήθειες αυξήθηκαν κατά 2</w:t>
      </w:r>
      <w:r w:rsidR="00A8021C">
        <w:rPr>
          <w:rFonts w:ascii="Segoe UI" w:eastAsia="MS Mincho" w:hAnsi="Segoe UI" w:cs="Segoe UI"/>
          <w:sz w:val="20"/>
          <w:lang w:bidi="el-GR"/>
        </w:rPr>
        <w:t>,9</w:t>
      </w:r>
      <w:r w:rsidRPr="00E676A0">
        <w:rPr>
          <w:rFonts w:ascii="Segoe UI" w:eastAsia="MS Mincho" w:hAnsi="Segoe UI" w:cs="Segoe UI"/>
          <w:sz w:val="20"/>
          <w:lang w:bidi="el-GR"/>
        </w:rPr>
        <w:t xml:space="preserve">% σε </w:t>
      </w:r>
      <w:r w:rsidR="00FB30A8">
        <w:rPr>
          <w:rFonts w:ascii="Segoe UI" w:eastAsia="MS Mincho" w:hAnsi="Segoe UI" w:cs="Segoe UI"/>
          <w:sz w:val="20"/>
          <w:lang w:bidi="el-GR"/>
        </w:rPr>
        <w:t>σχέση με το Εννεάμηνο 2019</w:t>
      </w:r>
      <w:r w:rsidR="00C83E20">
        <w:rPr>
          <w:rFonts w:ascii="Segoe UI" w:eastAsia="MS Mincho" w:hAnsi="Segoe UI" w:cs="Segoe UI"/>
          <w:sz w:val="20"/>
          <w:lang w:bidi="el-GR"/>
        </w:rPr>
        <w:t>,</w:t>
      </w:r>
      <w:r w:rsidR="00A8021C">
        <w:rPr>
          <w:rFonts w:ascii="Segoe UI" w:eastAsia="MS Mincho" w:hAnsi="Segoe UI" w:cs="Segoe UI"/>
          <w:sz w:val="20"/>
          <w:lang w:bidi="el-GR"/>
        </w:rPr>
        <w:t xml:space="preserve"> σε €179 εκατ.</w:t>
      </w:r>
      <w:r w:rsidRPr="00E676A0">
        <w:rPr>
          <w:rFonts w:ascii="Segoe UI" w:eastAsia="MS Mincho" w:hAnsi="Segoe UI" w:cs="Segoe UI"/>
          <w:sz w:val="20"/>
          <w:lang w:bidi="el-GR"/>
        </w:rPr>
        <w:t xml:space="preserve">, </w:t>
      </w:r>
      <w:r w:rsidR="00F1316E" w:rsidRPr="00B439EE">
        <w:rPr>
          <w:rFonts w:ascii="Segoe UI" w:eastAsia="MS Mincho" w:hAnsi="Segoe UI" w:cs="Segoe UI"/>
          <w:sz w:val="20"/>
          <w:lang w:bidi="el-GR"/>
        </w:rPr>
        <w:t>ως αποτέλεσμα της ανάκαμψης των εσόδων από προμήθειες Λιανικής Τραπεζικής (+</w:t>
      </w:r>
      <w:r w:rsidR="0000442E" w:rsidRPr="00580E9D">
        <w:rPr>
          <w:rFonts w:ascii="Segoe UI" w:eastAsia="MS Mincho" w:hAnsi="Segoe UI" w:cs="Segoe UI"/>
          <w:sz w:val="20"/>
          <w:lang w:bidi="el-GR"/>
        </w:rPr>
        <w:t>12</w:t>
      </w:r>
      <w:r w:rsidR="0000442E">
        <w:rPr>
          <w:rFonts w:ascii="Segoe UI" w:eastAsia="MS Mincho" w:hAnsi="Segoe UI" w:cs="Segoe UI"/>
          <w:sz w:val="20"/>
          <w:lang w:bidi="el-GR"/>
        </w:rPr>
        <w:t>,</w:t>
      </w:r>
      <w:r w:rsidR="0000442E" w:rsidRPr="00580E9D">
        <w:rPr>
          <w:rFonts w:ascii="Segoe UI" w:eastAsia="MS Mincho" w:hAnsi="Segoe UI" w:cs="Segoe UI"/>
          <w:sz w:val="20"/>
          <w:lang w:bidi="el-GR"/>
        </w:rPr>
        <w:t>6</w:t>
      </w:r>
      <w:r w:rsidR="00F1316E" w:rsidRPr="00B439EE">
        <w:rPr>
          <w:rFonts w:ascii="Segoe UI" w:eastAsia="MS Mincho" w:hAnsi="Segoe UI" w:cs="Segoe UI"/>
          <w:sz w:val="20"/>
          <w:lang w:bidi="el-GR"/>
        </w:rPr>
        <w:t>% σε ετήσια βάση), αντανακλώντας την ενίσχυση των προμηθειών από κάρτες</w:t>
      </w:r>
      <w:r w:rsidR="00955436" w:rsidRPr="00B439EE">
        <w:rPr>
          <w:rFonts w:ascii="Segoe UI" w:eastAsia="MS Mincho" w:hAnsi="Segoe UI" w:cs="Segoe UI"/>
          <w:sz w:val="20"/>
          <w:lang w:bidi="el-GR"/>
        </w:rPr>
        <w:t xml:space="preserve"> (+</w:t>
      </w:r>
      <w:r w:rsidR="00580E9D">
        <w:rPr>
          <w:rFonts w:ascii="Segoe UI" w:eastAsia="MS Mincho" w:hAnsi="Segoe UI" w:cs="Segoe UI"/>
          <w:sz w:val="20"/>
          <w:lang w:bidi="el-GR"/>
        </w:rPr>
        <w:t>26,5</w:t>
      </w:r>
      <w:r w:rsidR="00955436" w:rsidRPr="00B439EE">
        <w:rPr>
          <w:rFonts w:ascii="Segoe UI" w:eastAsia="MS Mincho" w:hAnsi="Segoe UI" w:cs="Segoe UI"/>
          <w:sz w:val="20"/>
          <w:lang w:bidi="el-GR"/>
        </w:rPr>
        <w:t>% σε ετήσια βάση)</w:t>
      </w:r>
      <w:r w:rsidR="00580E9D">
        <w:rPr>
          <w:rFonts w:ascii="Segoe UI" w:eastAsia="MS Mincho" w:hAnsi="Segoe UI" w:cs="Segoe UI"/>
          <w:sz w:val="20"/>
          <w:lang w:bidi="el-GR"/>
        </w:rPr>
        <w:t xml:space="preserve"> και</w:t>
      </w:r>
      <w:r w:rsidR="00F1316E" w:rsidRPr="00B439EE">
        <w:rPr>
          <w:rFonts w:ascii="Segoe UI" w:eastAsia="MS Mincho" w:hAnsi="Segoe UI" w:cs="Segoe UI"/>
          <w:sz w:val="20"/>
          <w:lang w:bidi="el-GR"/>
        </w:rPr>
        <w:t xml:space="preserve"> υπηρεσίες διαμεσολάβησης </w:t>
      </w:r>
      <w:r w:rsidR="00955436" w:rsidRPr="00B439EE">
        <w:rPr>
          <w:rFonts w:ascii="Segoe UI" w:eastAsia="MS Mincho" w:hAnsi="Segoe UI" w:cs="Segoe UI"/>
          <w:sz w:val="20"/>
          <w:lang w:bidi="el-GR"/>
        </w:rPr>
        <w:t>(+</w:t>
      </w:r>
      <w:r w:rsidR="00580E9D">
        <w:rPr>
          <w:rFonts w:ascii="Segoe UI" w:eastAsia="MS Mincho" w:hAnsi="Segoe UI" w:cs="Segoe UI"/>
          <w:sz w:val="20"/>
          <w:lang w:bidi="el-GR"/>
        </w:rPr>
        <w:t>20</w:t>
      </w:r>
      <w:r w:rsidR="00955436" w:rsidRPr="00B439EE">
        <w:rPr>
          <w:rFonts w:ascii="Segoe UI" w:eastAsia="MS Mincho" w:hAnsi="Segoe UI" w:cs="Segoe UI"/>
          <w:sz w:val="20"/>
          <w:lang w:bidi="el-GR"/>
        </w:rPr>
        <w:t>,2% σε ετήσια βάση)</w:t>
      </w:r>
      <w:r w:rsidR="006B7567" w:rsidRPr="00B439EE">
        <w:rPr>
          <w:rFonts w:ascii="Segoe UI" w:eastAsia="MS Mincho" w:hAnsi="Segoe UI" w:cs="Segoe UI"/>
          <w:sz w:val="20"/>
          <w:lang w:bidi="el-GR"/>
        </w:rPr>
        <w:t>.</w:t>
      </w:r>
    </w:p>
    <w:p w:rsidR="007670E1" w:rsidRPr="00FA2EBB" w:rsidRDefault="00DA1C9E" w:rsidP="00E55AED">
      <w:pPr>
        <w:autoSpaceDE w:val="0"/>
        <w:autoSpaceDN w:val="0"/>
        <w:adjustRightInd w:val="0"/>
        <w:spacing w:after="160" w:line="320" w:lineRule="atLeast"/>
        <w:jc w:val="both"/>
        <w:rPr>
          <w:rFonts w:ascii="Segoe UI" w:hAnsi="Segoe UI" w:cs="Segoe UI"/>
          <w:sz w:val="20"/>
        </w:rPr>
      </w:pPr>
      <w:r>
        <w:rPr>
          <w:rFonts w:ascii="Segoe UI" w:hAnsi="Segoe UI" w:cs="Segoe UI"/>
          <w:sz w:val="20"/>
        </w:rPr>
        <w:t xml:space="preserve">Τα </w:t>
      </w:r>
      <w:r w:rsidRPr="00756146">
        <w:rPr>
          <w:rFonts w:ascii="Segoe UI" w:hAnsi="Segoe UI" w:cs="Segoe UI"/>
          <w:b/>
          <w:sz w:val="20"/>
        </w:rPr>
        <w:t>κέρδη από χρηματοοικονομικές πράξεις</w:t>
      </w:r>
      <w:r>
        <w:rPr>
          <w:rFonts w:ascii="Segoe UI" w:hAnsi="Segoe UI" w:cs="Segoe UI"/>
          <w:sz w:val="20"/>
        </w:rPr>
        <w:t xml:space="preserve"> </w:t>
      </w:r>
      <w:r w:rsidR="00535632" w:rsidRPr="00535632">
        <w:rPr>
          <w:rFonts w:ascii="Segoe UI" w:hAnsi="Segoe UI" w:cs="Segoe UI"/>
          <w:b/>
          <w:sz w:val="20"/>
        </w:rPr>
        <w:t>και λοιπά έσοδα</w:t>
      </w:r>
      <w:r w:rsidR="00535632" w:rsidRPr="00535632">
        <w:rPr>
          <w:rFonts w:ascii="Segoe UI" w:hAnsi="Segoe UI" w:cs="Segoe UI"/>
          <w:sz w:val="20"/>
        </w:rPr>
        <w:t xml:space="preserve"> </w:t>
      </w:r>
      <w:r>
        <w:rPr>
          <w:rFonts w:ascii="Segoe UI" w:hAnsi="Segoe UI" w:cs="Segoe UI"/>
          <w:sz w:val="20"/>
        </w:rPr>
        <w:t xml:space="preserve">διαμορφώθηκαν σε €45 εκατ. το Γ’ </w:t>
      </w:r>
      <w:r w:rsidR="00302002">
        <w:rPr>
          <w:rFonts w:ascii="Segoe UI" w:hAnsi="Segoe UI" w:cs="Segoe UI"/>
          <w:sz w:val="20"/>
        </w:rPr>
        <w:t>τρίμηνο</w:t>
      </w:r>
      <w:r>
        <w:rPr>
          <w:rFonts w:ascii="Segoe UI" w:hAnsi="Segoe UI" w:cs="Segoe UI"/>
          <w:sz w:val="20"/>
        </w:rPr>
        <w:t xml:space="preserve"> 2020</w:t>
      </w:r>
      <w:r w:rsidR="00302002">
        <w:rPr>
          <w:rFonts w:ascii="Segoe UI" w:hAnsi="Segoe UI" w:cs="Segoe UI"/>
          <w:sz w:val="20"/>
        </w:rPr>
        <w:t xml:space="preserve"> από </w:t>
      </w:r>
      <w:r>
        <w:rPr>
          <w:rFonts w:ascii="Segoe UI" w:hAnsi="Segoe UI" w:cs="Segoe UI"/>
          <w:sz w:val="20"/>
        </w:rPr>
        <w:t>€10 εκατ. το Β’ τρίμηνο 2020.</w:t>
      </w:r>
      <w:r w:rsidR="00302002">
        <w:rPr>
          <w:rFonts w:ascii="Segoe UI" w:hAnsi="Segoe UI" w:cs="Segoe UI"/>
          <w:sz w:val="20"/>
        </w:rPr>
        <w:t xml:space="preserve"> </w:t>
      </w:r>
      <w:r w:rsidR="00405B08" w:rsidRPr="00405B08">
        <w:rPr>
          <w:rFonts w:ascii="Segoe UI" w:hAnsi="Segoe UI" w:cs="Segoe UI"/>
          <w:sz w:val="20"/>
        </w:rPr>
        <w:t xml:space="preserve">Το Εννεάμηνο 2020, τα κέρδη από χρηματοοικονομικές πράξεις και λοιπά έσοδα ανήλθαν σε €830 εκατ., ενσωματώνοντας υψηλά μη επαναλαμβανόμενα κέρδη σχετιζόμενα </w:t>
      </w:r>
      <w:r w:rsidR="006458BD" w:rsidRPr="006458BD">
        <w:rPr>
          <w:rFonts w:ascii="Segoe UI" w:hAnsi="Segoe UI" w:cs="Segoe UI"/>
          <w:sz w:val="20"/>
        </w:rPr>
        <w:t>με την ανταλλαγή τριών υφιστάμενων ΟΕΔ που κατείχε η ΕΤΕ με ένα νέο ΟΕΔ (€515 εκατ.), καθώς και την πώληση ΟΕΔ στο χαρτοφυλάκιο «διακρατούμενων για την είσπραξη συμβατικών ταμειακών ροών και για ενδεχόμενη πώληση» (€264 εκατ.)</w:t>
      </w:r>
      <w:r w:rsidR="00DD3F93">
        <w:t xml:space="preserve"> </w:t>
      </w:r>
      <w:r w:rsidR="00E42468" w:rsidRPr="00E42468">
        <w:rPr>
          <w:rFonts w:ascii="Segoe UI" w:hAnsi="Segoe UI" w:cs="Segoe UI"/>
          <w:sz w:val="20"/>
        </w:rPr>
        <w:t xml:space="preserve">το </w:t>
      </w:r>
      <w:r w:rsidR="00E42468">
        <w:rPr>
          <w:rFonts w:ascii="Segoe UI" w:hAnsi="Segoe UI" w:cs="Segoe UI"/>
          <w:sz w:val="20"/>
        </w:rPr>
        <w:t>Α</w:t>
      </w:r>
      <w:r w:rsidR="00E42468" w:rsidRPr="00E42468">
        <w:rPr>
          <w:rFonts w:ascii="Segoe UI" w:hAnsi="Segoe UI" w:cs="Segoe UI"/>
          <w:sz w:val="20"/>
        </w:rPr>
        <w:t>’ τρίμηνο 2020</w:t>
      </w:r>
      <w:r w:rsidR="00405B08">
        <w:rPr>
          <w:rFonts w:ascii="Segoe UI" w:hAnsi="Segoe UI" w:cs="Segoe UI"/>
          <w:sz w:val="20"/>
        </w:rPr>
        <w:t>.</w:t>
      </w:r>
      <w:r w:rsidR="00ED6EBE">
        <w:rPr>
          <w:rFonts w:ascii="Segoe UI" w:hAnsi="Segoe UI" w:cs="Segoe UI"/>
          <w:sz w:val="20"/>
        </w:rPr>
        <w:t xml:space="preserve"> </w:t>
      </w:r>
    </w:p>
    <w:p w:rsidR="00714756" w:rsidRDefault="00714756" w:rsidP="00E55AED">
      <w:pPr>
        <w:autoSpaceDE w:val="0"/>
        <w:autoSpaceDN w:val="0"/>
        <w:adjustRightInd w:val="0"/>
        <w:spacing w:after="160" w:line="320" w:lineRule="atLeast"/>
        <w:jc w:val="both"/>
        <w:rPr>
          <w:rFonts w:ascii="Segoe UI" w:hAnsi="Segoe UI" w:cs="Segoe UI"/>
          <w:sz w:val="20"/>
        </w:rPr>
      </w:pPr>
      <w:r w:rsidRPr="00714756">
        <w:rPr>
          <w:rFonts w:ascii="Segoe UI" w:hAnsi="Segoe UI" w:cs="Segoe UI"/>
          <w:sz w:val="20"/>
        </w:rPr>
        <w:t xml:space="preserve">Οι </w:t>
      </w:r>
      <w:r w:rsidRPr="0004729A">
        <w:rPr>
          <w:rFonts w:ascii="Segoe UI" w:hAnsi="Segoe UI" w:cs="Segoe UI"/>
          <w:b/>
          <w:sz w:val="20"/>
        </w:rPr>
        <w:t>λειτουργικές δαπάνες</w:t>
      </w:r>
      <w:r w:rsidRPr="00714756">
        <w:rPr>
          <w:rFonts w:ascii="Segoe UI" w:hAnsi="Segoe UI" w:cs="Segoe UI"/>
          <w:sz w:val="20"/>
        </w:rPr>
        <w:t xml:space="preserve"> </w:t>
      </w:r>
      <w:r w:rsidR="00DA5511">
        <w:rPr>
          <w:rFonts w:ascii="Segoe UI" w:hAnsi="Segoe UI" w:cs="Segoe UI"/>
          <w:sz w:val="20"/>
        </w:rPr>
        <w:t>παρέμειναν σχεδόν αμετάβλητες σε τριμηνιαία βάση (+0,5%)</w:t>
      </w:r>
      <w:r w:rsidR="00CB3664">
        <w:rPr>
          <w:rFonts w:ascii="Segoe UI" w:hAnsi="Segoe UI" w:cs="Segoe UI"/>
          <w:sz w:val="20"/>
        </w:rPr>
        <w:t>,</w:t>
      </w:r>
      <w:r w:rsidRPr="00714756">
        <w:rPr>
          <w:rFonts w:ascii="Segoe UI" w:hAnsi="Segoe UI" w:cs="Segoe UI"/>
          <w:sz w:val="20"/>
        </w:rPr>
        <w:t xml:space="preserve"> σε </w:t>
      </w:r>
      <w:r w:rsidR="002A1B45">
        <w:rPr>
          <w:rFonts w:ascii="Segoe UI" w:hAnsi="Segoe UI" w:cs="Segoe UI"/>
          <w:sz w:val="20"/>
        </w:rPr>
        <w:t>€</w:t>
      </w:r>
      <w:r w:rsidR="00DA5511">
        <w:rPr>
          <w:rFonts w:ascii="Segoe UI" w:hAnsi="Segoe UI" w:cs="Segoe UI"/>
          <w:sz w:val="20"/>
        </w:rPr>
        <w:t>187</w:t>
      </w:r>
      <w:r w:rsidR="002A1B45">
        <w:rPr>
          <w:rFonts w:ascii="Segoe UI" w:hAnsi="Segoe UI" w:cs="Segoe UI"/>
          <w:sz w:val="20"/>
        </w:rPr>
        <w:t xml:space="preserve"> εκατ. το </w:t>
      </w:r>
      <w:r w:rsidR="00DA5511">
        <w:rPr>
          <w:rFonts w:ascii="Segoe UI" w:hAnsi="Segoe UI" w:cs="Segoe UI"/>
          <w:sz w:val="20"/>
        </w:rPr>
        <w:t>Γ</w:t>
      </w:r>
      <w:r w:rsidR="002A1B45" w:rsidRPr="002A1B45">
        <w:rPr>
          <w:rFonts w:ascii="Segoe UI" w:hAnsi="Segoe UI" w:cs="Segoe UI"/>
          <w:sz w:val="20"/>
        </w:rPr>
        <w:t>’ τρίμηνο 2020</w:t>
      </w:r>
      <w:r w:rsidR="00DA5511">
        <w:rPr>
          <w:rFonts w:ascii="Segoe UI" w:hAnsi="Segoe UI" w:cs="Segoe UI"/>
          <w:sz w:val="20"/>
        </w:rPr>
        <w:t>. Σε επίπεδο εννεαμήνου</w:t>
      </w:r>
      <w:r w:rsidRPr="00714756">
        <w:rPr>
          <w:rFonts w:ascii="Segoe UI" w:hAnsi="Segoe UI" w:cs="Segoe UI"/>
          <w:sz w:val="20"/>
        </w:rPr>
        <w:t xml:space="preserve">, </w:t>
      </w:r>
      <w:r w:rsidR="00DA5511">
        <w:rPr>
          <w:rFonts w:ascii="Segoe UI" w:hAnsi="Segoe UI" w:cs="Segoe UI"/>
          <w:sz w:val="20"/>
        </w:rPr>
        <w:t>οι λειτουργικές δαπάνες μειώθηκαν κατά 3,8% σε ετήσια βάση</w:t>
      </w:r>
      <w:r w:rsidR="008F369B">
        <w:rPr>
          <w:rFonts w:ascii="Segoe UI" w:hAnsi="Segoe UI" w:cs="Segoe UI"/>
          <w:sz w:val="20"/>
        </w:rPr>
        <w:t>,</w:t>
      </w:r>
      <w:r w:rsidR="00DA5511">
        <w:rPr>
          <w:rFonts w:ascii="Segoe UI" w:hAnsi="Segoe UI" w:cs="Segoe UI"/>
          <w:sz w:val="20"/>
        </w:rPr>
        <w:t xml:space="preserve"> σε €569 εκατ., ως αποτέλεσμα </w:t>
      </w:r>
      <w:r w:rsidR="002C73BA" w:rsidRPr="002C73BA">
        <w:rPr>
          <w:rFonts w:ascii="Segoe UI" w:hAnsi="Segoe UI" w:cs="Segoe UI"/>
          <w:sz w:val="20"/>
        </w:rPr>
        <w:t xml:space="preserve">της </w:t>
      </w:r>
      <w:r w:rsidR="00DA5511">
        <w:rPr>
          <w:rFonts w:ascii="Segoe UI" w:hAnsi="Segoe UI" w:cs="Segoe UI"/>
          <w:sz w:val="20"/>
        </w:rPr>
        <w:t>σημαντικής</w:t>
      </w:r>
      <w:r w:rsidR="002A1B45">
        <w:rPr>
          <w:rFonts w:ascii="Segoe UI" w:hAnsi="Segoe UI" w:cs="Segoe UI"/>
          <w:sz w:val="20"/>
        </w:rPr>
        <w:t xml:space="preserve"> </w:t>
      </w:r>
      <w:r w:rsidR="00DA5511">
        <w:rPr>
          <w:rFonts w:ascii="Segoe UI" w:hAnsi="Segoe UI" w:cs="Segoe UI"/>
          <w:sz w:val="20"/>
        </w:rPr>
        <w:t>αποκλιμάκωσης</w:t>
      </w:r>
      <w:r w:rsidR="002C73BA" w:rsidRPr="002C73BA">
        <w:rPr>
          <w:rFonts w:ascii="Segoe UI" w:hAnsi="Segoe UI" w:cs="Segoe UI"/>
          <w:sz w:val="20"/>
        </w:rPr>
        <w:t xml:space="preserve"> τόσο των δαπανών προσωπικού (-</w:t>
      </w:r>
      <w:r w:rsidR="00DA5511">
        <w:rPr>
          <w:rFonts w:ascii="Segoe UI" w:hAnsi="Segoe UI" w:cs="Segoe UI"/>
          <w:sz w:val="20"/>
        </w:rPr>
        <w:t>8,5</w:t>
      </w:r>
      <w:r w:rsidR="002C73BA" w:rsidRPr="002C73BA">
        <w:rPr>
          <w:rFonts w:ascii="Segoe UI" w:hAnsi="Segoe UI" w:cs="Segoe UI"/>
          <w:sz w:val="20"/>
        </w:rPr>
        <w:t xml:space="preserve">% σε </w:t>
      </w:r>
      <w:r w:rsidR="00DA5511" w:rsidRPr="00DA5511">
        <w:rPr>
          <w:rFonts w:ascii="Segoe UI" w:hAnsi="Segoe UI" w:cs="Segoe UI"/>
          <w:sz w:val="20"/>
        </w:rPr>
        <w:t xml:space="preserve">ετήσια </w:t>
      </w:r>
      <w:r w:rsidR="002C73BA" w:rsidRPr="002C73BA">
        <w:rPr>
          <w:rFonts w:ascii="Segoe UI" w:hAnsi="Segoe UI" w:cs="Segoe UI"/>
          <w:sz w:val="20"/>
        </w:rPr>
        <w:t>βάση), όσο και των γενικών διοικητικών και λοιπών λειτουργικών εξόδων (-</w:t>
      </w:r>
      <w:r w:rsidR="002A1B45">
        <w:rPr>
          <w:rFonts w:ascii="Segoe UI" w:hAnsi="Segoe UI" w:cs="Segoe UI"/>
          <w:sz w:val="20"/>
        </w:rPr>
        <w:t>9,</w:t>
      </w:r>
      <w:r w:rsidR="00DA5511">
        <w:rPr>
          <w:rFonts w:ascii="Segoe UI" w:hAnsi="Segoe UI" w:cs="Segoe UI"/>
          <w:sz w:val="20"/>
        </w:rPr>
        <w:t>7</w:t>
      </w:r>
      <w:r w:rsidR="002C73BA" w:rsidRPr="002C73BA">
        <w:rPr>
          <w:rFonts w:ascii="Segoe UI" w:hAnsi="Segoe UI" w:cs="Segoe UI"/>
          <w:sz w:val="20"/>
        </w:rPr>
        <w:t xml:space="preserve">% σε </w:t>
      </w:r>
      <w:r w:rsidR="00DA5511" w:rsidRPr="00DA5511">
        <w:rPr>
          <w:rFonts w:ascii="Segoe UI" w:hAnsi="Segoe UI" w:cs="Segoe UI"/>
          <w:sz w:val="20"/>
        </w:rPr>
        <w:t xml:space="preserve">ετήσια </w:t>
      </w:r>
      <w:r w:rsidR="002C73BA" w:rsidRPr="002C73BA">
        <w:rPr>
          <w:rFonts w:ascii="Segoe UI" w:hAnsi="Segoe UI" w:cs="Segoe UI"/>
          <w:sz w:val="20"/>
        </w:rPr>
        <w:t>βάση)</w:t>
      </w:r>
      <w:r w:rsidR="00DA5511">
        <w:rPr>
          <w:rFonts w:ascii="Segoe UI" w:hAnsi="Segoe UI" w:cs="Segoe UI"/>
          <w:sz w:val="20"/>
        </w:rPr>
        <w:t xml:space="preserve">, </w:t>
      </w:r>
      <w:r w:rsidR="00F8755F">
        <w:rPr>
          <w:rFonts w:ascii="Segoe UI" w:hAnsi="Segoe UI" w:cs="Segoe UI"/>
          <w:sz w:val="20"/>
        </w:rPr>
        <w:t>αντισταθμί</w:t>
      </w:r>
      <w:r w:rsidR="00DA5511">
        <w:rPr>
          <w:rFonts w:ascii="Segoe UI" w:hAnsi="Segoe UI" w:cs="Segoe UI"/>
          <w:sz w:val="20"/>
        </w:rPr>
        <w:t xml:space="preserve">ζοντας </w:t>
      </w:r>
      <w:r w:rsidR="002C73BA" w:rsidRPr="002C73BA">
        <w:rPr>
          <w:rFonts w:ascii="Segoe UI" w:hAnsi="Segoe UI" w:cs="Segoe UI"/>
          <w:sz w:val="20"/>
        </w:rPr>
        <w:t xml:space="preserve">την αύξηση των αποσβέσεων </w:t>
      </w:r>
      <w:r w:rsidR="00D86347" w:rsidRPr="00D86347">
        <w:rPr>
          <w:rFonts w:ascii="Segoe UI" w:hAnsi="Segoe UI" w:cs="Segoe UI"/>
          <w:sz w:val="20"/>
        </w:rPr>
        <w:t>(</w:t>
      </w:r>
      <w:r w:rsidR="00D86347">
        <w:rPr>
          <w:rFonts w:ascii="Segoe UI" w:hAnsi="Segoe UI" w:cs="Segoe UI"/>
          <w:sz w:val="20"/>
        </w:rPr>
        <w:t>+</w:t>
      </w:r>
      <w:r w:rsidR="00DA5511">
        <w:rPr>
          <w:rFonts w:ascii="Segoe UI" w:hAnsi="Segoe UI" w:cs="Segoe UI"/>
          <w:sz w:val="20"/>
        </w:rPr>
        <w:t>26,7</w:t>
      </w:r>
      <w:r w:rsidR="00D86347" w:rsidRPr="00D86347">
        <w:rPr>
          <w:rFonts w:ascii="Segoe UI" w:hAnsi="Segoe UI" w:cs="Segoe UI"/>
          <w:sz w:val="20"/>
        </w:rPr>
        <w:t xml:space="preserve">% </w:t>
      </w:r>
      <w:r w:rsidR="00D86347">
        <w:rPr>
          <w:rFonts w:ascii="Segoe UI" w:hAnsi="Segoe UI" w:cs="Segoe UI"/>
          <w:sz w:val="20"/>
        </w:rPr>
        <w:t>ή €</w:t>
      </w:r>
      <w:r w:rsidR="00DA5511">
        <w:rPr>
          <w:rFonts w:ascii="Segoe UI" w:hAnsi="Segoe UI" w:cs="Segoe UI"/>
          <w:sz w:val="20"/>
        </w:rPr>
        <w:t>22</w:t>
      </w:r>
      <w:r w:rsidR="00D86347">
        <w:rPr>
          <w:rFonts w:ascii="Segoe UI" w:hAnsi="Segoe UI" w:cs="Segoe UI"/>
          <w:sz w:val="20"/>
        </w:rPr>
        <w:t xml:space="preserve"> εκατ. σε ετήσια βάση)</w:t>
      </w:r>
      <w:r w:rsidR="00F0194A">
        <w:rPr>
          <w:rFonts w:ascii="Segoe UI" w:hAnsi="Segoe UI" w:cs="Segoe UI"/>
          <w:sz w:val="20"/>
        </w:rPr>
        <w:t>,</w:t>
      </w:r>
      <w:r w:rsidR="001E7E10">
        <w:rPr>
          <w:rFonts w:ascii="Segoe UI" w:hAnsi="Segoe UI" w:cs="Segoe UI"/>
          <w:sz w:val="20"/>
        </w:rPr>
        <w:t xml:space="preserve"> ως αποτέλεσμα </w:t>
      </w:r>
      <w:r w:rsidR="002C73BA" w:rsidRPr="002C73BA">
        <w:rPr>
          <w:rFonts w:ascii="Segoe UI" w:hAnsi="Segoe UI" w:cs="Segoe UI"/>
          <w:sz w:val="20"/>
        </w:rPr>
        <w:t>τη</w:t>
      </w:r>
      <w:r w:rsidR="00BE53FA">
        <w:rPr>
          <w:rFonts w:ascii="Segoe UI" w:hAnsi="Segoe UI" w:cs="Segoe UI"/>
          <w:sz w:val="20"/>
        </w:rPr>
        <w:t>ς</w:t>
      </w:r>
      <w:r w:rsidR="002C73BA" w:rsidRPr="002C73BA">
        <w:rPr>
          <w:rFonts w:ascii="Segoe UI" w:hAnsi="Segoe UI" w:cs="Segoe UI"/>
          <w:sz w:val="20"/>
        </w:rPr>
        <w:t xml:space="preserve"> μετάβαση</w:t>
      </w:r>
      <w:r w:rsidR="00BE53FA">
        <w:rPr>
          <w:rFonts w:ascii="Segoe UI" w:hAnsi="Segoe UI" w:cs="Segoe UI"/>
          <w:sz w:val="20"/>
        </w:rPr>
        <w:t>ς</w:t>
      </w:r>
      <w:r w:rsidR="002C73BA" w:rsidRPr="002C73BA">
        <w:rPr>
          <w:rFonts w:ascii="Segoe UI" w:hAnsi="Segoe UI" w:cs="Segoe UI"/>
          <w:sz w:val="20"/>
        </w:rPr>
        <w:t xml:space="preserve"> </w:t>
      </w:r>
      <w:r w:rsidR="005E3B15" w:rsidRPr="00B52534">
        <w:rPr>
          <w:rFonts w:ascii="Segoe UI" w:hAnsi="Segoe UI" w:cs="Segoe UI"/>
          <w:sz w:val="20"/>
        </w:rPr>
        <w:t>στα μέσα του 2019</w:t>
      </w:r>
      <w:r w:rsidR="005E3B15">
        <w:rPr>
          <w:rFonts w:ascii="Segoe UI" w:hAnsi="Segoe UI" w:cs="Segoe UI"/>
          <w:sz w:val="20"/>
        </w:rPr>
        <w:t xml:space="preserve"> </w:t>
      </w:r>
      <w:r w:rsidR="002C73BA" w:rsidRPr="002C73BA">
        <w:rPr>
          <w:rFonts w:ascii="Segoe UI" w:hAnsi="Segoe UI" w:cs="Segoe UI"/>
          <w:sz w:val="20"/>
        </w:rPr>
        <w:t>στο ΔΠΧΑ 16</w:t>
      </w:r>
      <w:r w:rsidR="00D738D9" w:rsidRPr="00D738D9">
        <w:rPr>
          <w:rFonts w:ascii="Segoe UI" w:hAnsi="Segoe UI" w:cs="Segoe UI"/>
          <w:sz w:val="20"/>
        </w:rPr>
        <w:t>,</w:t>
      </w:r>
      <w:r w:rsidR="002C73BA" w:rsidRPr="002C73BA">
        <w:rPr>
          <w:rFonts w:ascii="Segoe UI" w:hAnsi="Segoe UI" w:cs="Segoe UI"/>
          <w:sz w:val="20"/>
        </w:rPr>
        <w:t xml:space="preserve"> </w:t>
      </w:r>
      <w:r w:rsidR="001E7E10">
        <w:rPr>
          <w:rFonts w:ascii="Segoe UI" w:hAnsi="Segoe UI" w:cs="Segoe UI"/>
          <w:sz w:val="20"/>
        </w:rPr>
        <w:t xml:space="preserve">λόγω της </w:t>
      </w:r>
      <w:r w:rsidR="00B52534" w:rsidRPr="00B52534">
        <w:rPr>
          <w:rFonts w:ascii="Segoe UI" w:hAnsi="Segoe UI" w:cs="Segoe UI"/>
          <w:sz w:val="20"/>
        </w:rPr>
        <w:t>πώληση</w:t>
      </w:r>
      <w:r w:rsidR="001E7E10">
        <w:rPr>
          <w:rFonts w:ascii="Segoe UI" w:hAnsi="Segoe UI" w:cs="Segoe UI"/>
          <w:sz w:val="20"/>
        </w:rPr>
        <w:t>ς</w:t>
      </w:r>
      <w:r w:rsidR="00B52534" w:rsidRPr="00B52534">
        <w:rPr>
          <w:rFonts w:ascii="Segoe UI" w:hAnsi="Segoe UI" w:cs="Segoe UI"/>
          <w:sz w:val="20"/>
        </w:rPr>
        <w:t xml:space="preserve"> του μειοψηφικού ποσοστού της ΕΤΕ στην Prodea</w:t>
      </w:r>
      <w:r w:rsidRPr="00714756">
        <w:rPr>
          <w:rFonts w:ascii="Segoe UI" w:hAnsi="Segoe UI" w:cs="Segoe UI"/>
          <w:sz w:val="20"/>
        </w:rPr>
        <w:t>.</w:t>
      </w:r>
      <w:r>
        <w:rPr>
          <w:rFonts w:ascii="Segoe UI" w:hAnsi="Segoe UI" w:cs="Segoe UI"/>
          <w:sz w:val="20"/>
        </w:rPr>
        <w:t xml:space="preserve"> </w:t>
      </w:r>
      <w:r w:rsidR="002C73BA">
        <w:rPr>
          <w:rFonts w:ascii="Segoe UI" w:hAnsi="Segoe UI" w:cs="Segoe UI"/>
          <w:sz w:val="20"/>
        </w:rPr>
        <w:t xml:space="preserve">Η αποκλιμάκωση των </w:t>
      </w:r>
      <w:r w:rsidR="002C73BA" w:rsidRPr="002C73BA">
        <w:rPr>
          <w:rFonts w:ascii="Segoe UI" w:hAnsi="Segoe UI" w:cs="Segoe UI"/>
          <w:sz w:val="20"/>
        </w:rPr>
        <w:lastRenderedPageBreak/>
        <w:t>δαπ</w:t>
      </w:r>
      <w:r w:rsidR="002C73BA">
        <w:rPr>
          <w:rFonts w:ascii="Segoe UI" w:hAnsi="Segoe UI" w:cs="Segoe UI"/>
          <w:sz w:val="20"/>
        </w:rPr>
        <w:t xml:space="preserve">ανών </w:t>
      </w:r>
      <w:r w:rsidR="002C73BA" w:rsidRPr="002C73BA">
        <w:rPr>
          <w:rFonts w:ascii="Segoe UI" w:hAnsi="Segoe UI" w:cs="Segoe UI"/>
          <w:sz w:val="20"/>
        </w:rPr>
        <w:t xml:space="preserve">προσωπικού </w:t>
      </w:r>
      <w:r w:rsidR="0017552B">
        <w:rPr>
          <w:rFonts w:ascii="Segoe UI" w:hAnsi="Segoe UI" w:cs="Segoe UI"/>
          <w:sz w:val="20"/>
        </w:rPr>
        <w:t>αντανακλά</w:t>
      </w:r>
      <w:r w:rsidR="002C73BA" w:rsidRPr="002C73BA">
        <w:rPr>
          <w:rFonts w:ascii="Segoe UI" w:hAnsi="Segoe UI" w:cs="Segoe UI"/>
          <w:sz w:val="20"/>
        </w:rPr>
        <w:t xml:space="preserve"> </w:t>
      </w:r>
      <w:r w:rsidR="005B6C90">
        <w:rPr>
          <w:rFonts w:ascii="Segoe UI" w:hAnsi="Segoe UI" w:cs="Segoe UI"/>
          <w:sz w:val="20"/>
        </w:rPr>
        <w:t>τ</w:t>
      </w:r>
      <w:r w:rsidR="008A062C">
        <w:rPr>
          <w:rFonts w:ascii="Segoe UI" w:hAnsi="Segoe UI" w:cs="Segoe UI"/>
          <w:sz w:val="20"/>
        </w:rPr>
        <w:t xml:space="preserve">ο </w:t>
      </w:r>
      <w:r w:rsidR="00F0194A">
        <w:rPr>
          <w:rFonts w:ascii="Segoe UI" w:hAnsi="Segoe UI" w:cs="Segoe UI"/>
          <w:sz w:val="20"/>
        </w:rPr>
        <w:t>συνολικ</w:t>
      </w:r>
      <w:r w:rsidR="008A062C">
        <w:rPr>
          <w:rFonts w:ascii="Segoe UI" w:hAnsi="Segoe UI" w:cs="Segoe UI"/>
          <w:sz w:val="20"/>
        </w:rPr>
        <w:t xml:space="preserve">ό όφελος </w:t>
      </w:r>
      <w:r w:rsidR="00F0194A">
        <w:rPr>
          <w:rFonts w:ascii="Segoe UI" w:hAnsi="Segoe UI" w:cs="Segoe UI"/>
          <w:sz w:val="20"/>
        </w:rPr>
        <w:t xml:space="preserve">σε επίπεδο τριμήνου </w:t>
      </w:r>
      <w:r w:rsidR="002C73BA" w:rsidRPr="002C73BA">
        <w:rPr>
          <w:rFonts w:ascii="Segoe UI" w:hAnsi="Segoe UI" w:cs="Segoe UI"/>
          <w:sz w:val="20"/>
        </w:rPr>
        <w:t>τη</w:t>
      </w:r>
      <w:r w:rsidR="00D738D9">
        <w:rPr>
          <w:rFonts w:ascii="Segoe UI" w:hAnsi="Segoe UI" w:cs="Segoe UI"/>
          <w:sz w:val="20"/>
        </w:rPr>
        <w:t>ς</w:t>
      </w:r>
      <w:r w:rsidR="002C73BA" w:rsidRPr="002C73BA">
        <w:rPr>
          <w:rFonts w:ascii="Segoe UI" w:hAnsi="Segoe UI" w:cs="Segoe UI"/>
          <w:sz w:val="20"/>
        </w:rPr>
        <w:t xml:space="preserve"> επιτυχ</w:t>
      </w:r>
      <w:r w:rsidR="00D738D9">
        <w:rPr>
          <w:rFonts w:ascii="Segoe UI" w:hAnsi="Segoe UI" w:cs="Segoe UI"/>
          <w:sz w:val="20"/>
        </w:rPr>
        <w:t>ούς</w:t>
      </w:r>
      <w:r w:rsidR="002C73BA" w:rsidRPr="002C73BA">
        <w:rPr>
          <w:rFonts w:ascii="Segoe UI" w:hAnsi="Segoe UI" w:cs="Segoe UI"/>
          <w:sz w:val="20"/>
        </w:rPr>
        <w:t xml:space="preserve"> ολοκλήρωση</w:t>
      </w:r>
      <w:r w:rsidR="00D738D9">
        <w:rPr>
          <w:rFonts w:ascii="Segoe UI" w:hAnsi="Segoe UI" w:cs="Segoe UI"/>
          <w:sz w:val="20"/>
        </w:rPr>
        <w:t>ς</w:t>
      </w:r>
      <w:r w:rsidR="002C73BA" w:rsidRPr="002C73BA">
        <w:rPr>
          <w:rFonts w:ascii="Segoe UI" w:hAnsi="Segoe UI" w:cs="Segoe UI"/>
          <w:sz w:val="20"/>
        </w:rPr>
        <w:t xml:space="preserve"> του Προγράμματος </w:t>
      </w:r>
      <w:r w:rsidR="002C73BA" w:rsidRPr="00B52534">
        <w:rPr>
          <w:rFonts w:ascii="Segoe UI" w:hAnsi="Segoe UI" w:cs="Segoe UI"/>
          <w:sz w:val="20"/>
        </w:rPr>
        <w:t>Εθελουσίας Εξόδου Προσωπικού</w:t>
      </w:r>
      <w:r w:rsidR="0017552B" w:rsidRPr="00B52534">
        <w:rPr>
          <w:rFonts w:ascii="Segoe UI" w:hAnsi="Segoe UI" w:cs="Segoe UI"/>
          <w:sz w:val="20"/>
        </w:rPr>
        <w:t xml:space="preserve"> το Φεβρουάριο 2020</w:t>
      </w:r>
      <w:r w:rsidR="005B6C90">
        <w:rPr>
          <w:rFonts w:ascii="Segoe UI" w:hAnsi="Segoe UI" w:cs="Segoe UI"/>
          <w:sz w:val="20"/>
        </w:rPr>
        <w:t>, με τη συμμετοχή να ανέρχεται σε περίπου 1,100</w:t>
      </w:r>
      <w:r w:rsidR="00B71017" w:rsidRPr="00B52534">
        <w:rPr>
          <w:rFonts w:ascii="Segoe UI" w:hAnsi="Segoe UI" w:cs="Segoe UI"/>
          <w:sz w:val="20"/>
        </w:rPr>
        <w:t xml:space="preserve"> εργαζ</w:t>
      </w:r>
      <w:r w:rsidR="005B6C90">
        <w:rPr>
          <w:rFonts w:ascii="Segoe UI" w:hAnsi="Segoe UI" w:cs="Segoe UI"/>
          <w:sz w:val="20"/>
        </w:rPr>
        <w:t>όμενους</w:t>
      </w:r>
      <w:r w:rsidRPr="00714756">
        <w:rPr>
          <w:rFonts w:ascii="Segoe UI" w:hAnsi="Segoe UI" w:cs="Segoe UI"/>
          <w:sz w:val="20"/>
        </w:rPr>
        <w:t xml:space="preserve">. </w:t>
      </w:r>
    </w:p>
    <w:p w:rsidR="002C5847" w:rsidRPr="002A098F" w:rsidRDefault="00E57354" w:rsidP="00E55AED">
      <w:pPr>
        <w:autoSpaceDE w:val="0"/>
        <w:autoSpaceDN w:val="0"/>
        <w:adjustRightInd w:val="0"/>
        <w:spacing w:after="160" w:line="320" w:lineRule="atLeast"/>
        <w:jc w:val="both"/>
        <w:rPr>
          <w:rFonts w:ascii="Segoe UI" w:hAnsi="Segoe UI" w:cs="Segoe UI"/>
          <w:sz w:val="20"/>
        </w:rPr>
      </w:pPr>
      <w:r>
        <w:rPr>
          <w:rFonts w:ascii="Segoe UI" w:hAnsi="Segoe UI" w:cs="Segoe UI"/>
          <w:sz w:val="20"/>
        </w:rPr>
        <w:t>Ο</w:t>
      </w:r>
      <w:r w:rsidR="002C5847" w:rsidRPr="002C5847">
        <w:rPr>
          <w:rFonts w:ascii="Segoe UI" w:hAnsi="Segoe UI" w:cs="Segoe UI"/>
          <w:sz w:val="20"/>
        </w:rPr>
        <w:t xml:space="preserve">ι </w:t>
      </w:r>
      <w:r w:rsidR="002C5847" w:rsidRPr="002C5847">
        <w:rPr>
          <w:rFonts w:ascii="Segoe UI" w:hAnsi="Segoe UI" w:cs="Segoe UI"/>
          <w:b/>
          <w:sz w:val="20"/>
        </w:rPr>
        <w:t>προβλέψεις για επισφαλείς απαιτήσεις</w:t>
      </w:r>
      <w:r w:rsidR="00076A0A">
        <w:rPr>
          <w:rFonts w:ascii="Segoe UI" w:hAnsi="Segoe UI" w:cs="Segoe UI"/>
          <w:b/>
          <w:sz w:val="20"/>
        </w:rPr>
        <w:t xml:space="preserve"> </w:t>
      </w:r>
      <w:r w:rsidR="0093085C">
        <w:rPr>
          <w:rFonts w:ascii="Segoe UI" w:hAnsi="Segoe UI" w:cs="Segoe UI"/>
          <w:sz w:val="20"/>
        </w:rPr>
        <w:t xml:space="preserve">διαμορφώθηκαν </w:t>
      </w:r>
      <w:r w:rsidR="002C5847">
        <w:rPr>
          <w:rFonts w:ascii="Segoe UI" w:hAnsi="Segoe UI" w:cs="Segoe UI"/>
          <w:sz w:val="20"/>
        </w:rPr>
        <w:t>σε €</w:t>
      </w:r>
      <w:r w:rsidR="00966BB3">
        <w:rPr>
          <w:rFonts w:ascii="Segoe UI" w:hAnsi="Segoe UI" w:cs="Segoe UI"/>
          <w:sz w:val="20"/>
        </w:rPr>
        <w:t>75</w:t>
      </w:r>
      <w:r>
        <w:rPr>
          <w:rFonts w:ascii="Segoe UI" w:hAnsi="Segoe UI" w:cs="Segoe UI"/>
          <w:sz w:val="20"/>
        </w:rPr>
        <w:t xml:space="preserve"> </w:t>
      </w:r>
      <w:r w:rsidR="002C5847">
        <w:rPr>
          <w:rFonts w:ascii="Segoe UI" w:hAnsi="Segoe UI" w:cs="Segoe UI"/>
          <w:sz w:val="20"/>
        </w:rPr>
        <w:t xml:space="preserve">εκατ. </w:t>
      </w:r>
      <w:r w:rsidR="00B11DD9">
        <w:rPr>
          <w:rFonts w:ascii="Segoe UI" w:hAnsi="Segoe UI" w:cs="Segoe UI"/>
          <w:sz w:val="20"/>
        </w:rPr>
        <w:t xml:space="preserve">το </w:t>
      </w:r>
      <w:r w:rsidR="00966BB3">
        <w:rPr>
          <w:rFonts w:ascii="Segoe UI" w:hAnsi="Segoe UI" w:cs="Segoe UI"/>
          <w:sz w:val="20"/>
        </w:rPr>
        <w:t>Γ</w:t>
      </w:r>
      <w:r w:rsidR="00B11DD9">
        <w:rPr>
          <w:rFonts w:ascii="Segoe UI" w:hAnsi="Segoe UI" w:cs="Segoe UI"/>
          <w:sz w:val="20"/>
        </w:rPr>
        <w:t>’ τρίμηνο 20</w:t>
      </w:r>
      <w:r>
        <w:rPr>
          <w:rFonts w:ascii="Segoe UI" w:hAnsi="Segoe UI" w:cs="Segoe UI"/>
          <w:sz w:val="20"/>
        </w:rPr>
        <w:t>20</w:t>
      </w:r>
      <w:r w:rsidR="00966BB3">
        <w:rPr>
          <w:rFonts w:ascii="Segoe UI" w:hAnsi="Segoe UI" w:cs="Segoe UI"/>
          <w:sz w:val="20"/>
        </w:rPr>
        <w:t xml:space="preserve"> (-0,5% σε τριμηνιαία βάση)</w:t>
      </w:r>
      <w:r w:rsidR="00C40D83">
        <w:rPr>
          <w:rFonts w:ascii="Segoe UI" w:hAnsi="Segoe UI" w:cs="Segoe UI"/>
          <w:sz w:val="20"/>
        </w:rPr>
        <w:t>,</w:t>
      </w:r>
      <w:r>
        <w:rPr>
          <w:rFonts w:ascii="Segoe UI" w:hAnsi="Segoe UI" w:cs="Segoe UI"/>
          <w:sz w:val="20"/>
        </w:rPr>
        <w:t xml:space="preserve"> </w:t>
      </w:r>
      <w:r w:rsidR="00A15A16">
        <w:rPr>
          <w:rFonts w:ascii="Segoe UI" w:hAnsi="Segoe UI" w:cs="Segoe UI"/>
          <w:sz w:val="20"/>
        </w:rPr>
        <w:t xml:space="preserve">ήτοι </w:t>
      </w:r>
      <w:r w:rsidR="00966BB3">
        <w:rPr>
          <w:rFonts w:ascii="Segoe UI" w:hAnsi="Segoe UI" w:cs="Segoe UI"/>
          <w:sz w:val="20"/>
        </w:rPr>
        <w:t>103</w:t>
      </w:r>
      <w:r w:rsidR="00C40D83" w:rsidRPr="00C40D83">
        <w:rPr>
          <w:rFonts w:ascii="Segoe UI" w:hAnsi="Segoe UI" w:cs="Segoe UI"/>
          <w:sz w:val="20"/>
        </w:rPr>
        <w:t xml:space="preserve">μ.β. επί του μέσου όρου δανείων μετά </w:t>
      </w:r>
      <w:r w:rsidR="0001201F">
        <w:rPr>
          <w:rFonts w:ascii="Segoe UI" w:hAnsi="Segoe UI" w:cs="Segoe UI"/>
          <w:sz w:val="20"/>
        </w:rPr>
        <w:t xml:space="preserve">από </w:t>
      </w:r>
      <w:r w:rsidR="00C40D83" w:rsidRPr="00C40D83">
        <w:rPr>
          <w:rFonts w:ascii="Segoe UI" w:hAnsi="Segoe UI" w:cs="Segoe UI"/>
          <w:sz w:val="20"/>
        </w:rPr>
        <w:t>προβλέψε</w:t>
      </w:r>
      <w:r w:rsidR="0001201F">
        <w:rPr>
          <w:rFonts w:ascii="Segoe UI" w:hAnsi="Segoe UI" w:cs="Segoe UI"/>
          <w:sz w:val="20"/>
        </w:rPr>
        <w:t>ις</w:t>
      </w:r>
      <w:r w:rsidR="00D45FFF">
        <w:rPr>
          <w:rFonts w:ascii="Segoe UI" w:hAnsi="Segoe UI" w:cs="Segoe UI"/>
          <w:sz w:val="20"/>
        </w:rPr>
        <w:t>,</w:t>
      </w:r>
      <w:r w:rsidR="00C40D83">
        <w:rPr>
          <w:rFonts w:ascii="Segoe UI" w:hAnsi="Segoe UI" w:cs="Segoe UI"/>
          <w:sz w:val="20"/>
        </w:rPr>
        <w:t xml:space="preserve"> ε</w:t>
      </w:r>
      <w:r w:rsidR="00C40D83" w:rsidRPr="00C40D83">
        <w:rPr>
          <w:rFonts w:ascii="Segoe UI" w:hAnsi="Segoe UI" w:cs="Segoe UI"/>
          <w:sz w:val="20"/>
        </w:rPr>
        <w:t xml:space="preserve">ξαιρώντας τις προβλέψεις απομείωσης </w:t>
      </w:r>
      <w:r w:rsidR="00555946" w:rsidRPr="00C40D83">
        <w:rPr>
          <w:rFonts w:ascii="Segoe UI" w:hAnsi="Segoe UI" w:cs="Segoe UI"/>
          <w:sz w:val="20"/>
        </w:rPr>
        <w:t>σχετιζόμεν</w:t>
      </w:r>
      <w:r w:rsidR="00555946">
        <w:rPr>
          <w:rFonts w:ascii="Segoe UI" w:hAnsi="Segoe UI" w:cs="Segoe UI"/>
          <w:sz w:val="20"/>
        </w:rPr>
        <w:t xml:space="preserve">ες με την πανδημία του κορωνοϊού </w:t>
      </w:r>
      <w:r w:rsidR="00555946" w:rsidRPr="00C40D83">
        <w:rPr>
          <w:rFonts w:ascii="Segoe UI" w:hAnsi="Segoe UI" w:cs="Segoe UI"/>
          <w:sz w:val="20"/>
        </w:rPr>
        <w:t xml:space="preserve">ύψους </w:t>
      </w:r>
      <w:r w:rsidR="00555946">
        <w:rPr>
          <w:rFonts w:ascii="Segoe UI" w:hAnsi="Segoe UI" w:cs="Segoe UI"/>
          <w:sz w:val="20"/>
        </w:rPr>
        <w:t>€</w:t>
      </w:r>
      <w:r w:rsidR="00966BB3">
        <w:rPr>
          <w:rFonts w:ascii="Segoe UI" w:hAnsi="Segoe UI" w:cs="Segoe UI"/>
          <w:sz w:val="20"/>
        </w:rPr>
        <w:t>3</w:t>
      </w:r>
      <w:r w:rsidR="00555946">
        <w:rPr>
          <w:rFonts w:ascii="Segoe UI" w:hAnsi="Segoe UI" w:cs="Segoe UI"/>
          <w:sz w:val="20"/>
        </w:rPr>
        <w:t xml:space="preserve"> εκατ. το </w:t>
      </w:r>
      <w:r w:rsidR="00966BB3">
        <w:rPr>
          <w:rFonts w:ascii="Segoe UI" w:hAnsi="Segoe UI" w:cs="Segoe UI"/>
          <w:sz w:val="20"/>
        </w:rPr>
        <w:t>Γ</w:t>
      </w:r>
      <w:r w:rsidR="007E2B45">
        <w:rPr>
          <w:rFonts w:ascii="Segoe UI" w:hAnsi="Segoe UI" w:cs="Segoe UI"/>
          <w:sz w:val="20"/>
        </w:rPr>
        <w:t xml:space="preserve">’ τρίμηνο 2020. </w:t>
      </w:r>
      <w:r w:rsidR="002A098F">
        <w:rPr>
          <w:rFonts w:ascii="Segoe UI" w:hAnsi="Segoe UI" w:cs="Segoe UI"/>
          <w:sz w:val="20"/>
        </w:rPr>
        <w:t>Ε</w:t>
      </w:r>
      <w:r w:rsidR="002A098F" w:rsidRPr="00BF618F">
        <w:rPr>
          <w:rFonts w:ascii="Segoe UI" w:hAnsi="Segoe UI" w:cs="Segoe UI"/>
          <w:sz w:val="20"/>
        </w:rPr>
        <w:t>ξαιρουμέν</w:t>
      </w:r>
      <w:r w:rsidR="009F161D">
        <w:rPr>
          <w:rFonts w:ascii="Segoe UI" w:hAnsi="Segoe UI" w:cs="Segoe UI"/>
          <w:sz w:val="20"/>
        </w:rPr>
        <w:t xml:space="preserve">ων </w:t>
      </w:r>
      <w:r w:rsidR="002A098F" w:rsidRPr="00CB5B54">
        <w:rPr>
          <w:rFonts w:ascii="Segoe UI" w:hAnsi="Segoe UI" w:cs="Segoe UI"/>
          <w:sz w:val="20"/>
        </w:rPr>
        <w:t>των επισφαλ</w:t>
      </w:r>
      <w:r w:rsidR="00304385">
        <w:rPr>
          <w:rFonts w:ascii="Segoe UI" w:hAnsi="Segoe UI" w:cs="Segoe UI"/>
          <w:sz w:val="20"/>
        </w:rPr>
        <w:t>ών</w:t>
      </w:r>
      <w:r w:rsidR="002A098F" w:rsidRPr="00CB5B54">
        <w:rPr>
          <w:rFonts w:ascii="Segoe UI" w:hAnsi="Segoe UI" w:cs="Segoe UI"/>
          <w:sz w:val="20"/>
        </w:rPr>
        <w:t xml:space="preserve"> απαιτήσε</w:t>
      </w:r>
      <w:r w:rsidR="00304385">
        <w:rPr>
          <w:rFonts w:ascii="Segoe UI" w:hAnsi="Segoe UI" w:cs="Segoe UI"/>
          <w:sz w:val="20"/>
        </w:rPr>
        <w:t>ων</w:t>
      </w:r>
      <w:r w:rsidR="006559BE" w:rsidRPr="006559BE">
        <w:rPr>
          <w:rFonts w:ascii="Segoe UI" w:hAnsi="Segoe UI" w:cs="Segoe UI"/>
          <w:sz w:val="20"/>
        </w:rPr>
        <w:t xml:space="preserve"> </w:t>
      </w:r>
      <w:r w:rsidR="001369A2" w:rsidRPr="00BF618F">
        <w:rPr>
          <w:rFonts w:ascii="Segoe UI" w:hAnsi="Segoe UI" w:cs="Segoe UI"/>
          <w:sz w:val="20"/>
        </w:rPr>
        <w:t>ως απόρροια της οικονομικής κρίσης του κορωνοϊού</w:t>
      </w:r>
      <w:r w:rsidR="001369A2" w:rsidRPr="00B472FD">
        <w:rPr>
          <w:rFonts w:ascii="Segoe UI" w:hAnsi="Segoe UI" w:cs="Segoe UI"/>
          <w:vertAlign w:val="superscript"/>
        </w:rPr>
        <w:footnoteReference w:id="2"/>
      </w:r>
      <w:r w:rsidR="001369A2">
        <w:rPr>
          <w:rFonts w:ascii="Segoe UI" w:hAnsi="Segoe UI" w:cs="Segoe UI"/>
          <w:sz w:val="20"/>
        </w:rPr>
        <w:t xml:space="preserve"> </w:t>
      </w:r>
      <w:r w:rsidR="006559BE">
        <w:rPr>
          <w:rFonts w:ascii="Segoe UI" w:hAnsi="Segoe UI" w:cs="Segoe UI"/>
          <w:sz w:val="20"/>
        </w:rPr>
        <w:t>ύψους €42</w:t>
      </w:r>
      <w:r w:rsidR="007E2B45">
        <w:rPr>
          <w:rFonts w:ascii="Segoe UI" w:hAnsi="Segoe UI" w:cs="Segoe UI"/>
          <w:sz w:val="20"/>
        </w:rPr>
        <w:t>9</w:t>
      </w:r>
      <w:r w:rsidR="006559BE">
        <w:rPr>
          <w:rFonts w:ascii="Segoe UI" w:hAnsi="Segoe UI" w:cs="Segoe UI"/>
          <w:sz w:val="20"/>
        </w:rPr>
        <w:t xml:space="preserve"> εκατ. το </w:t>
      </w:r>
      <w:r w:rsidR="0019490A">
        <w:rPr>
          <w:rFonts w:ascii="Segoe UI" w:hAnsi="Segoe UI" w:cs="Segoe UI"/>
          <w:sz w:val="20"/>
        </w:rPr>
        <w:t xml:space="preserve">Εννεάμηνο </w:t>
      </w:r>
      <w:r w:rsidR="006559BE">
        <w:rPr>
          <w:rFonts w:ascii="Segoe UI" w:hAnsi="Segoe UI" w:cs="Segoe UI"/>
          <w:sz w:val="20"/>
        </w:rPr>
        <w:t>2020</w:t>
      </w:r>
      <w:r w:rsidR="002A098F" w:rsidRPr="00BF618F">
        <w:rPr>
          <w:rFonts w:ascii="Segoe UI" w:hAnsi="Segoe UI" w:cs="Segoe UI"/>
          <w:sz w:val="20"/>
        </w:rPr>
        <w:t>,</w:t>
      </w:r>
      <w:r w:rsidR="002A098F">
        <w:rPr>
          <w:rFonts w:ascii="Segoe UI" w:hAnsi="Segoe UI" w:cs="Segoe UI"/>
          <w:sz w:val="20"/>
        </w:rPr>
        <w:t xml:space="preserve"> τ</w:t>
      </w:r>
      <w:r w:rsidR="002C5847" w:rsidRPr="002C5847">
        <w:rPr>
          <w:rFonts w:ascii="Segoe UI" w:hAnsi="Segoe UI" w:cs="Segoe UI"/>
          <w:sz w:val="20"/>
        </w:rPr>
        <w:t>ο κόστος πιστωτικού κινδύνου διαμορφώ</w:t>
      </w:r>
      <w:r w:rsidR="00230165">
        <w:rPr>
          <w:rFonts w:ascii="Segoe UI" w:hAnsi="Segoe UI" w:cs="Segoe UI"/>
          <w:sz w:val="20"/>
        </w:rPr>
        <w:t xml:space="preserve">θηκε </w:t>
      </w:r>
      <w:r w:rsidR="002C5847" w:rsidRPr="002C5847">
        <w:rPr>
          <w:rFonts w:ascii="Segoe UI" w:hAnsi="Segoe UI" w:cs="Segoe UI"/>
          <w:sz w:val="20"/>
        </w:rPr>
        <w:t xml:space="preserve">σε </w:t>
      </w:r>
      <w:r w:rsidR="0019490A">
        <w:rPr>
          <w:rFonts w:ascii="Segoe UI" w:hAnsi="Segoe UI" w:cs="Segoe UI"/>
          <w:sz w:val="20"/>
        </w:rPr>
        <w:t>99</w:t>
      </w:r>
      <w:r w:rsidR="002C5847" w:rsidRPr="002C5847">
        <w:rPr>
          <w:rFonts w:ascii="Segoe UI" w:hAnsi="Segoe UI" w:cs="Segoe UI"/>
          <w:sz w:val="20"/>
        </w:rPr>
        <w:t>μ.β.</w:t>
      </w:r>
      <w:r w:rsidR="00BF618F" w:rsidRPr="00BF618F">
        <w:rPr>
          <w:rFonts w:ascii="Segoe UI" w:hAnsi="Segoe UI" w:cs="Segoe UI"/>
          <w:sz w:val="20"/>
        </w:rPr>
        <w:t xml:space="preserve"> </w:t>
      </w:r>
      <w:r w:rsidR="00230165">
        <w:rPr>
          <w:rFonts w:ascii="Segoe UI" w:hAnsi="Segoe UI" w:cs="Segoe UI"/>
          <w:sz w:val="20"/>
        </w:rPr>
        <w:t xml:space="preserve"> </w:t>
      </w:r>
    </w:p>
    <w:p w:rsidR="00283FBA" w:rsidRPr="00283FBA" w:rsidRDefault="00283FBA" w:rsidP="00E55AED">
      <w:pPr>
        <w:autoSpaceDE w:val="0"/>
        <w:autoSpaceDN w:val="0"/>
        <w:adjustRightInd w:val="0"/>
        <w:spacing w:after="160" w:line="320" w:lineRule="atLeast"/>
        <w:jc w:val="both"/>
        <w:rPr>
          <w:rFonts w:ascii="Segoe UI" w:hAnsi="Segoe UI" w:cs="Segoe UI"/>
          <w:sz w:val="20"/>
        </w:rPr>
      </w:pPr>
    </w:p>
    <w:p w:rsidR="00EE40A0" w:rsidRPr="00D17BD1" w:rsidRDefault="007430AE" w:rsidP="00EE40A0">
      <w:pPr>
        <w:pStyle w:val="TITLE2"/>
        <w:rPr>
          <w:rFonts w:ascii="Segoe UI" w:hAnsi="Segoe UI" w:cs="Segoe UI"/>
          <w:sz w:val="24"/>
          <w:szCs w:val="24"/>
          <w:lang w:val="el-GR"/>
        </w:rPr>
      </w:pPr>
      <w:r>
        <w:rPr>
          <w:rFonts w:ascii="Segoe UI" w:hAnsi="Segoe UI" w:cs="Segoe UI"/>
          <w:sz w:val="24"/>
          <w:szCs w:val="24"/>
          <w:lang w:val="el-GR"/>
        </w:rPr>
        <w:t>Δ</w:t>
      </w:r>
      <w:r w:rsidR="009733C4" w:rsidRPr="00D17BD1">
        <w:rPr>
          <w:rFonts w:ascii="Segoe UI" w:hAnsi="Segoe UI" w:cs="Segoe UI"/>
          <w:sz w:val="24"/>
          <w:szCs w:val="24"/>
          <w:lang w:val="el-GR"/>
        </w:rPr>
        <w:t>ιεθνείς δραστηριότητες</w:t>
      </w:r>
      <w:r w:rsidR="00EE40A0" w:rsidRPr="00D17BD1">
        <w:rPr>
          <w:rFonts w:ascii="Segoe UI" w:hAnsi="Segoe UI" w:cs="Segoe UI"/>
          <w:sz w:val="24"/>
          <w:szCs w:val="24"/>
          <w:lang w:val="el-GR"/>
        </w:rPr>
        <w:t>:</w:t>
      </w:r>
      <w:r w:rsidR="00EE40A0" w:rsidRPr="004531D1">
        <w:rPr>
          <w:rFonts w:ascii="Segoe UI" w:hAnsi="Segoe UI" w:cs="Segoe UI"/>
          <w:sz w:val="24"/>
          <w:szCs w:val="24"/>
          <w:vertAlign w:val="superscript"/>
          <w:lang w:val="el-GR"/>
        </w:rPr>
        <w:footnoteReference w:id="3"/>
      </w:r>
    </w:p>
    <w:p w:rsidR="00D17BD1" w:rsidRDefault="00D17BD1" w:rsidP="00E55AED">
      <w:pPr>
        <w:autoSpaceDE w:val="0"/>
        <w:autoSpaceDN w:val="0"/>
        <w:adjustRightInd w:val="0"/>
        <w:spacing w:after="160" w:line="320" w:lineRule="atLeast"/>
        <w:jc w:val="both"/>
        <w:rPr>
          <w:rFonts w:ascii="Segoe UI" w:hAnsi="Segoe UI" w:cs="Segoe UI"/>
          <w:sz w:val="20"/>
        </w:rPr>
      </w:pPr>
      <w:r w:rsidRPr="00D17BD1">
        <w:rPr>
          <w:rFonts w:ascii="Segoe UI" w:hAnsi="Segoe UI" w:cs="Segoe UI"/>
          <w:sz w:val="20"/>
        </w:rPr>
        <w:t xml:space="preserve">Στις διεθνείς δραστηριότητες, ο Όμιλος παρουσίασε </w:t>
      </w:r>
      <w:r w:rsidRPr="00D17BD1">
        <w:rPr>
          <w:rFonts w:ascii="Segoe UI" w:hAnsi="Segoe UI" w:cs="Segoe UI"/>
          <w:b/>
          <w:sz w:val="20"/>
        </w:rPr>
        <w:t>κέρδη μετά από φόρους</w:t>
      </w:r>
      <w:r w:rsidR="00E80549">
        <w:rPr>
          <w:rFonts w:ascii="Segoe UI" w:hAnsi="Segoe UI" w:cs="Segoe UI"/>
          <w:b/>
          <w:sz w:val="20"/>
        </w:rPr>
        <w:t xml:space="preserve"> </w:t>
      </w:r>
      <w:r w:rsidRPr="00D17BD1">
        <w:rPr>
          <w:rFonts w:ascii="Segoe UI" w:hAnsi="Segoe UI" w:cs="Segoe UI"/>
          <w:b/>
          <w:sz w:val="20"/>
        </w:rPr>
        <w:t>από συνεχιζόμενες δραστηριότητες</w:t>
      </w:r>
      <w:r w:rsidRPr="00D17BD1">
        <w:rPr>
          <w:rFonts w:ascii="Segoe UI" w:hAnsi="Segoe UI" w:cs="Segoe UI"/>
          <w:sz w:val="20"/>
        </w:rPr>
        <w:t xml:space="preserve"> </w:t>
      </w:r>
      <w:r w:rsidRPr="00E70F5D">
        <w:rPr>
          <w:rFonts w:ascii="Segoe UI" w:hAnsi="Segoe UI" w:cs="Segoe UI"/>
          <w:sz w:val="20"/>
        </w:rPr>
        <w:t>ύψους €</w:t>
      </w:r>
      <w:r w:rsidR="00EE7577">
        <w:rPr>
          <w:rFonts w:ascii="Segoe UI" w:hAnsi="Segoe UI" w:cs="Segoe UI"/>
          <w:sz w:val="20"/>
        </w:rPr>
        <w:t>8</w:t>
      </w:r>
      <w:r w:rsidRPr="00E70F5D">
        <w:rPr>
          <w:rFonts w:ascii="Segoe UI" w:hAnsi="Segoe UI" w:cs="Segoe UI"/>
          <w:sz w:val="20"/>
        </w:rPr>
        <w:t xml:space="preserve"> εκατ</w:t>
      </w:r>
      <w:r w:rsidRPr="00D17BD1">
        <w:rPr>
          <w:rFonts w:ascii="Segoe UI" w:hAnsi="Segoe UI" w:cs="Segoe UI"/>
          <w:sz w:val="20"/>
        </w:rPr>
        <w:t xml:space="preserve">. το </w:t>
      </w:r>
      <w:r w:rsidR="00415C6A">
        <w:rPr>
          <w:rFonts w:ascii="Segoe UI" w:hAnsi="Segoe UI" w:cs="Segoe UI"/>
          <w:sz w:val="20"/>
        </w:rPr>
        <w:t xml:space="preserve">Εννεάμηνο </w:t>
      </w:r>
      <w:r w:rsidR="003235E4" w:rsidRPr="003235E4">
        <w:rPr>
          <w:rFonts w:ascii="Segoe UI" w:hAnsi="Segoe UI" w:cs="Segoe UI"/>
          <w:sz w:val="20"/>
        </w:rPr>
        <w:t>2020</w:t>
      </w:r>
      <w:r w:rsidR="00EE7577">
        <w:rPr>
          <w:rFonts w:ascii="Segoe UI" w:hAnsi="Segoe UI" w:cs="Segoe UI"/>
          <w:sz w:val="20"/>
        </w:rPr>
        <w:t xml:space="preserve"> έναντι </w:t>
      </w:r>
      <w:r w:rsidR="00415C6A">
        <w:rPr>
          <w:rFonts w:ascii="Segoe UI" w:hAnsi="Segoe UI" w:cs="Segoe UI"/>
          <w:sz w:val="20"/>
        </w:rPr>
        <w:t xml:space="preserve">ζημιών </w:t>
      </w:r>
      <w:r w:rsidR="00EE7577">
        <w:rPr>
          <w:rFonts w:ascii="Segoe UI" w:hAnsi="Segoe UI" w:cs="Segoe UI"/>
          <w:sz w:val="20"/>
        </w:rPr>
        <w:t>€</w:t>
      </w:r>
      <w:r w:rsidR="00415C6A">
        <w:rPr>
          <w:rFonts w:ascii="Segoe UI" w:hAnsi="Segoe UI" w:cs="Segoe UI"/>
          <w:sz w:val="20"/>
        </w:rPr>
        <w:t>24</w:t>
      </w:r>
      <w:r w:rsidR="00EE7577">
        <w:rPr>
          <w:rFonts w:ascii="Segoe UI" w:hAnsi="Segoe UI" w:cs="Segoe UI"/>
          <w:sz w:val="20"/>
        </w:rPr>
        <w:t xml:space="preserve"> εκατ. </w:t>
      </w:r>
      <w:r w:rsidR="00533278">
        <w:rPr>
          <w:rFonts w:ascii="Segoe UI" w:hAnsi="Segoe UI" w:cs="Segoe UI"/>
          <w:sz w:val="20"/>
        </w:rPr>
        <w:t xml:space="preserve">το </w:t>
      </w:r>
      <w:r w:rsidR="00415C6A">
        <w:rPr>
          <w:rFonts w:ascii="Segoe UI" w:hAnsi="Segoe UI" w:cs="Segoe UI"/>
          <w:sz w:val="20"/>
        </w:rPr>
        <w:t xml:space="preserve">Εννεάμηνο </w:t>
      </w:r>
      <w:r w:rsidR="003235E4" w:rsidRPr="003235E4">
        <w:rPr>
          <w:rFonts w:ascii="Segoe UI" w:hAnsi="Segoe UI" w:cs="Segoe UI"/>
          <w:sz w:val="20"/>
        </w:rPr>
        <w:t>20</w:t>
      </w:r>
      <w:r w:rsidR="003235E4">
        <w:rPr>
          <w:rFonts w:ascii="Segoe UI" w:hAnsi="Segoe UI" w:cs="Segoe UI"/>
          <w:sz w:val="20"/>
        </w:rPr>
        <w:t>19</w:t>
      </w:r>
      <w:r w:rsidR="00415C6A">
        <w:rPr>
          <w:rFonts w:ascii="Segoe UI" w:hAnsi="Segoe UI" w:cs="Segoe UI"/>
          <w:sz w:val="20"/>
        </w:rPr>
        <w:t xml:space="preserve">, αντανακλώντας κυρίως τη μείωση των </w:t>
      </w:r>
      <w:r w:rsidR="00415C6A" w:rsidRPr="00415C6A">
        <w:rPr>
          <w:rFonts w:ascii="Segoe UI" w:hAnsi="Segoe UI" w:cs="Segoe UI"/>
          <w:sz w:val="20"/>
        </w:rPr>
        <w:t>προβλέψε</w:t>
      </w:r>
      <w:r w:rsidR="00415C6A">
        <w:rPr>
          <w:rFonts w:ascii="Segoe UI" w:hAnsi="Segoe UI" w:cs="Segoe UI"/>
          <w:sz w:val="20"/>
        </w:rPr>
        <w:t xml:space="preserve">ων </w:t>
      </w:r>
      <w:r w:rsidR="00415C6A" w:rsidRPr="00415C6A">
        <w:rPr>
          <w:rFonts w:ascii="Segoe UI" w:hAnsi="Segoe UI" w:cs="Segoe UI"/>
          <w:sz w:val="20"/>
        </w:rPr>
        <w:t>για επισφαλείς απαιτήσεις</w:t>
      </w:r>
      <w:r w:rsidR="00415C6A">
        <w:rPr>
          <w:rFonts w:ascii="Segoe UI" w:hAnsi="Segoe UI" w:cs="Segoe UI"/>
          <w:sz w:val="20"/>
        </w:rPr>
        <w:t xml:space="preserve"> (-88% σε ετήσια βάση)</w:t>
      </w:r>
      <w:r w:rsidR="00E32291">
        <w:rPr>
          <w:rFonts w:ascii="Segoe UI" w:hAnsi="Segoe UI" w:cs="Segoe UI"/>
          <w:sz w:val="20"/>
        </w:rPr>
        <w:t>.</w:t>
      </w:r>
    </w:p>
    <w:p w:rsidR="00EE40A0" w:rsidRPr="009B4BF0" w:rsidRDefault="00EE40A0">
      <w:pPr>
        <w:rPr>
          <w:rFonts w:ascii="Segoe UI" w:hAnsi="Segoe UI" w:cs="Segoe UI"/>
          <w:b/>
          <w:sz w:val="16"/>
        </w:rPr>
      </w:pPr>
      <w:r w:rsidRPr="009B4BF0">
        <w:rPr>
          <w:rFonts w:ascii="Segoe UI" w:hAnsi="Segoe UI" w:cs="Segoe UI"/>
          <w:b/>
          <w:sz w:val="16"/>
        </w:rPr>
        <w:br w:type="page"/>
      </w:r>
    </w:p>
    <w:p w:rsidR="00EE40A0" w:rsidRPr="00C56A58" w:rsidRDefault="008E3951" w:rsidP="00EE40A0">
      <w:pPr>
        <w:pStyle w:val="TITLEINBODY"/>
        <w:rPr>
          <w:rFonts w:ascii="Segoe UI" w:hAnsi="Segoe UI" w:cs="Segoe UI"/>
          <w:lang w:val="el-GR"/>
        </w:rPr>
      </w:pPr>
      <w:r w:rsidRPr="000F701B">
        <w:rPr>
          <w:rFonts w:ascii="Segoe UI" w:hAnsi="Segoe UI" w:cs="Segoe UI"/>
          <w:lang w:val="el-GR"/>
        </w:rPr>
        <w:lastRenderedPageBreak/>
        <w:t>Ποιότητα Δανειακού Χαρτοφυλακίου</w:t>
      </w:r>
    </w:p>
    <w:p w:rsidR="003A74DE" w:rsidRPr="003A74DE" w:rsidRDefault="0012024E" w:rsidP="003A74DE">
      <w:pPr>
        <w:autoSpaceDE w:val="0"/>
        <w:autoSpaceDN w:val="0"/>
        <w:adjustRightInd w:val="0"/>
        <w:spacing w:before="240" w:after="160" w:line="320" w:lineRule="atLeast"/>
        <w:jc w:val="both"/>
        <w:rPr>
          <w:rFonts w:ascii="Segoe UI" w:hAnsi="Segoe UI" w:cs="Segoe UI"/>
          <w:sz w:val="20"/>
        </w:rPr>
      </w:pPr>
      <w:r w:rsidRPr="008970D7">
        <w:rPr>
          <w:rFonts w:ascii="Segoe UI" w:hAnsi="Segoe UI" w:cs="Segoe UI"/>
          <w:sz w:val="20"/>
        </w:rPr>
        <w:t xml:space="preserve">Η </w:t>
      </w:r>
      <w:r w:rsidRPr="008970D7">
        <w:rPr>
          <w:rFonts w:ascii="Segoe UI" w:hAnsi="Segoe UI" w:cs="Segoe UI"/>
          <w:b/>
          <w:sz w:val="20"/>
        </w:rPr>
        <w:t>μείωση των ΜΕΑ</w:t>
      </w:r>
      <w:r w:rsidR="00076A0A">
        <w:rPr>
          <w:rFonts w:ascii="Segoe UI" w:hAnsi="Segoe UI" w:cs="Segoe UI"/>
          <w:b/>
          <w:sz w:val="20"/>
        </w:rPr>
        <w:t xml:space="preserve"> </w:t>
      </w:r>
      <w:r w:rsidR="005E4BB2" w:rsidRPr="008970D7">
        <w:rPr>
          <w:rFonts w:ascii="Segoe UI" w:hAnsi="Segoe UI" w:cs="Segoe UI"/>
          <w:sz w:val="20"/>
        </w:rPr>
        <w:t xml:space="preserve">συνεχίστηκε κατά </w:t>
      </w:r>
      <w:r w:rsidRPr="008970D7">
        <w:rPr>
          <w:rFonts w:ascii="Segoe UI" w:hAnsi="Segoe UI" w:cs="Segoe UI"/>
          <w:sz w:val="20"/>
        </w:rPr>
        <w:t xml:space="preserve">το </w:t>
      </w:r>
      <w:r w:rsidR="003A74DE">
        <w:rPr>
          <w:rFonts w:ascii="Segoe UI" w:hAnsi="Segoe UI" w:cs="Segoe UI"/>
          <w:sz w:val="20"/>
        </w:rPr>
        <w:t>Γ</w:t>
      </w:r>
      <w:r w:rsidRPr="008970D7">
        <w:rPr>
          <w:rFonts w:ascii="Segoe UI" w:hAnsi="Segoe UI" w:cs="Segoe UI"/>
          <w:sz w:val="20"/>
        </w:rPr>
        <w:t>’ τρίμηνο 20</w:t>
      </w:r>
      <w:r w:rsidR="007F28B8">
        <w:rPr>
          <w:rFonts w:ascii="Segoe UI" w:hAnsi="Segoe UI" w:cs="Segoe UI"/>
          <w:sz w:val="20"/>
        </w:rPr>
        <w:t>20, με τα ΜΕΑ σε επίπεδο Τράπεζας να μειώνονται κατά €</w:t>
      </w:r>
      <w:r w:rsidR="005E4BB2" w:rsidRPr="008970D7">
        <w:rPr>
          <w:rFonts w:ascii="Segoe UI" w:hAnsi="Segoe UI" w:cs="Segoe UI"/>
          <w:sz w:val="20"/>
        </w:rPr>
        <w:t>0,</w:t>
      </w:r>
      <w:r w:rsidR="003A74DE">
        <w:rPr>
          <w:rFonts w:ascii="Segoe UI" w:hAnsi="Segoe UI" w:cs="Segoe UI"/>
          <w:sz w:val="20"/>
        </w:rPr>
        <w:t>2</w:t>
      </w:r>
      <w:r w:rsidRPr="008970D7">
        <w:rPr>
          <w:rFonts w:ascii="Segoe UI" w:hAnsi="Segoe UI" w:cs="Segoe UI"/>
          <w:sz w:val="20"/>
        </w:rPr>
        <w:t xml:space="preserve"> δισ.</w:t>
      </w:r>
      <w:r w:rsidR="007F28B8">
        <w:rPr>
          <w:rFonts w:ascii="Segoe UI" w:hAnsi="Segoe UI" w:cs="Segoe UI"/>
          <w:sz w:val="20"/>
        </w:rPr>
        <w:t xml:space="preserve"> σε τριμηνιαία βάση σε €</w:t>
      </w:r>
      <w:r w:rsidR="003A74DE">
        <w:rPr>
          <w:rFonts w:ascii="Segoe UI" w:hAnsi="Segoe UI" w:cs="Segoe UI"/>
          <w:sz w:val="20"/>
        </w:rPr>
        <w:t>9,96</w:t>
      </w:r>
      <w:r w:rsidR="007F28B8" w:rsidRPr="002B05B1">
        <w:rPr>
          <w:rFonts w:ascii="Segoe UI" w:hAnsi="Segoe UI" w:cs="Segoe UI"/>
          <w:sz w:val="20"/>
        </w:rPr>
        <w:t xml:space="preserve"> δισ.</w:t>
      </w:r>
      <w:r w:rsidR="007F28B8">
        <w:rPr>
          <w:rFonts w:ascii="Segoe UI" w:hAnsi="Segoe UI" w:cs="Segoe UI"/>
          <w:sz w:val="20"/>
        </w:rPr>
        <w:t>,</w:t>
      </w:r>
      <w:r w:rsidR="007F28B8" w:rsidRPr="002B05B1">
        <w:rPr>
          <w:rFonts w:ascii="Segoe UI" w:hAnsi="Segoe UI" w:cs="Segoe UI"/>
          <w:sz w:val="20"/>
        </w:rPr>
        <w:t xml:space="preserve"> </w:t>
      </w:r>
      <w:r w:rsidRPr="008970D7">
        <w:rPr>
          <w:rFonts w:ascii="Segoe UI" w:hAnsi="Segoe UI" w:cs="Segoe UI"/>
          <w:sz w:val="20"/>
        </w:rPr>
        <w:t xml:space="preserve">αντανακλώντας </w:t>
      </w:r>
      <w:r w:rsidR="005E4BB2" w:rsidRPr="008970D7">
        <w:rPr>
          <w:rFonts w:ascii="Segoe UI" w:hAnsi="Segoe UI" w:cs="Segoe UI"/>
          <w:sz w:val="20"/>
        </w:rPr>
        <w:t>οργανικές ενέργειες</w:t>
      </w:r>
      <w:r w:rsidR="00471ED6">
        <w:rPr>
          <w:rFonts w:ascii="Segoe UI" w:hAnsi="Segoe UI" w:cs="Segoe UI"/>
          <w:sz w:val="20"/>
        </w:rPr>
        <w:t xml:space="preserve"> </w:t>
      </w:r>
      <w:r w:rsidR="00471ED6" w:rsidRPr="00471ED6">
        <w:rPr>
          <w:rFonts w:ascii="Segoe UI" w:hAnsi="Segoe UI" w:cs="Segoe UI"/>
          <w:sz w:val="20"/>
        </w:rPr>
        <w:t>και κυρίως τη μικρή αύξηση στις ρευστοποιήσεις ενεχύρων και τις αναδιαρθρώσεις δανείων που ενέχουν διαγραφή οφειλών</w:t>
      </w:r>
      <w:r w:rsidR="00352CAF">
        <w:rPr>
          <w:rFonts w:ascii="Segoe UI" w:hAnsi="Segoe UI" w:cs="Segoe UI"/>
          <w:sz w:val="20"/>
        </w:rPr>
        <w:t>.</w:t>
      </w:r>
      <w:r w:rsidR="003A74DE" w:rsidRPr="003A74DE">
        <w:rPr>
          <w:rFonts w:ascii="Segoe UI" w:hAnsi="Segoe UI" w:cs="Segoe UI"/>
          <w:sz w:val="20"/>
        </w:rPr>
        <w:t xml:space="preserve"> </w:t>
      </w:r>
    </w:p>
    <w:p w:rsidR="00C56A58" w:rsidRPr="00C56A58" w:rsidRDefault="003A74DE" w:rsidP="003A74DE">
      <w:pPr>
        <w:autoSpaceDE w:val="0"/>
        <w:autoSpaceDN w:val="0"/>
        <w:adjustRightInd w:val="0"/>
        <w:spacing w:before="240" w:after="160" w:line="320" w:lineRule="atLeast"/>
        <w:jc w:val="both"/>
        <w:rPr>
          <w:rFonts w:ascii="Segoe UI" w:hAnsi="Segoe UI" w:cs="Segoe UI"/>
          <w:sz w:val="20"/>
        </w:rPr>
      </w:pPr>
      <w:r w:rsidRPr="003A74DE">
        <w:rPr>
          <w:rFonts w:ascii="Segoe UI" w:hAnsi="Segoe UI" w:cs="Segoe UI"/>
          <w:sz w:val="20"/>
        </w:rPr>
        <w:t>Οι</w:t>
      </w:r>
      <w:r w:rsidR="00A97020" w:rsidRPr="00A97020">
        <w:rPr>
          <w:rFonts w:ascii="Segoe UI" w:hAnsi="Segoe UI" w:cs="Segoe UI"/>
          <w:sz w:val="20"/>
        </w:rPr>
        <w:t xml:space="preserve"> νέες αθετήσεις δανείων (defaults) </w:t>
      </w:r>
      <w:r w:rsidR="002721CF">
        <w:rPr>
          <w:rFonts w:ascii="Segoe UI" w:hAnsi="Segoe UI" w:cs="Segoe UI"/>
          <w:sz w:val="20"/>
        </w:rPr>
        <w:t xml:space="preserve">διατηρούνται </w:t>
      </w:r>
      <w:r w:rsidRPr="003A74DE">
        <w:rPr>
          <w:rFonts w:ascii="Segoe UI" w:hAnsi="Segoe UI" w:cs="Segoe UI"/>
          <w:sz w:val="20"/>
        </w:rPr>
        <w:t xml:space="preserve">σε χαμηλά επίπεδα, καθώς η αρνητική επίπτωση της συρρίκνωσης της οικονομικής δραστηριότητας αντισταθμίζεται </w:t>
      </w:r>
      <w:r w:rsidR="00E72C59">
        <w:rPr>
          <w:rFonts w:ascii="Segoe UI" w:hAnsi="Segoe UI" w:cs="Segoe UI"/>
          <w:sz w:val="20"/>
        </w:rPr>
        <w:t xml:space="preserve">σε μεγάλο βαθμό </w:t>
      </w:r>
      <w:r w:rsidRPr="003A74DE">
        <w:rPr>
          <w:rFonts w:ascii="Segoe UI" w:hAnsi="Segoe UI" w:cs="Segoe UI"/>
          <w:sz w:val="20"/>
        </w:rPr>
        <w:t xml:space="preserve">από τη στοχευμένη εφαρμογή μέτρων διευκόλυνσης καταβολής οφειλών </w:t>
      </w:r>
      <w:r w:rsidR="00E72C59">
        <w:rPr>
          <w:rFonts w:ascii="Segoe UI" w:hAnsi="Segoe UI" w:cs="Segoe UI"/>
          <w:sz w:val="20"/>
        </w:rPr>
        <w:t>της Τράπεζας καθώς και των</w:t>
      </w:r>
      <w:r w:rsidR="00E72C59" w:rsidRPr="003A74DE">
        <w:rPr>
          <w:rFonts w:ascii="Segoe UI" w:hAnsi="Segoe UI" w:cs="Segoe UI"/>
          <w:sz w:val="20"/>
        </w:rPr>
        <w:t xml:space="preserve"> </w:t>
      </w:r>
      <w:r w:rsidRPr="003A74DE">
        <w:rPr>
          <w:rFonts w:ascii="Segoe UI" w:hAnsi="Segoe UI" w:cs="Segoe UI"/>
          <w:sz w:val="20"/>
        </w:rPr>
        <w:t>κυβερνητικών προγραμμάτων στήριξης</w:t>
      </w:r>
      <w:r w:rsidR="00A2317C">
        <w:rPr>
          <w:rFonts w:ascii="Segoe UI" w:hAnsi="Segoe UI" w:cs="Segoe UI"/>
          <w:sz w:val="20"/>
        </w:rPr>
        <w:t>.</w:t>
      </w:r>
    </w:p>
    <w:p w:rsidR="007F28B8" w:rsidRPr="00D20698" w:rsidRDefault="007F28B8" w:rsidP="007F28B8">
      <w:pPr>
        <w:autoSpaceDE w:val="0"/>
        <w:autoSpaceDN w:val="0"/>
        <w:adjustRightInd w:val="0"/>
        <w:spacing w:after="160" w:line="320" w:lineRule="atLeast"/>
        <w:jc w:val="both"/>
        <w:rPr>
          <w:rFonts w:ascii="Segoe UI" w:hAnsi="Segoe UI" w:cs="Segoe UI"/>
          <w:sz w:val="20"/>
        </w:rPr>
      </w:pPr>
      <w:r w:rsidRPr="001C4829">
        <w:rPr>
          <w:rFonts w:ascii="Segoe UI" w:hAnsi="Segoe UI" w:cs="Segoe UI"/>
          <w:sz w:val="20"/>
          <w:lang w:val="en-US"/>
        </w:rPr>
        <w:t>O</w:t>
      </w:r>
      <w:r>
        <w:rPr>
          <w:rFonts w:ascii="Segoe UI" w:hAnsi="Segoe UI" w:cs="Segoe UI"/>
          <w:sz w:val="20"/>
        </w:rPr>
        <w:t xml:space="preserve"> </w:t>
      </w:r>
      <w:r w:rsidRPr="00D20698">
        <w:rPr>
          <w:rFonts w:ascii="Segoe UI" w:hAnsi="Segoe UI" w:cs="Segoe UI"/>
          <w:b/>
          <w:sz w:val="20"/>
        </w:rPr>
        <w:t>δείκτης ΜΕΑ</w:t>
      </w:r>
      <w:r w:rsidRPr="001C4829">
        <w:rPr>
          <w:rFonts w:ascii="Segoe UI" w:hAnsi="Segoe UI" w:cs="Segoe UI"/>
          <w:sz w:val="20"/>
        </w:rPr>
        <w:t xml:space="preserve"> στην Ελλάδα μειώθηκε κατά περίπου </w:t>
      </w:r>
      <w:r w:rsidR="00A735A1">
        <w:rPr>
          <w:rFonts w:ascii="Segoe UI" w:hAnsi="Segoe UI" w:cs="Segoe UI"/>
          <w:sz w:val="20"/>
        </w:rPr>
        <w:t>8</w:t>
      </w:r>
      <w:r>
        <w:rPr>
          <w:rFonts w:ascii="Segoe UI" w:hAnsi="Segoe UI" w:cs="Segoe UI"/>
          <w:sz w:val="20"/>
        </w:rPr>
        <w:t>0</w:t>
      </w:r>
      <w:r w:rsidRPr="001C4829">
        <w:rPr>
          <w:rFonts w:ascii="Segoe UI" w:hAnsi="Segoe UI" w:cs="Segoe UI"/>
          <w:sz w:val="20"/>
        </w:rPr>
        <w:t xml:space="preserve">μ.β. σε τριμηνιαία βάση και </w:t>
      </w:r>
      <w:r w:rsidR="00A735A1">
        <w:rPr>
          <w:rFonts w:ascii="Segoe UI" w:hAnsi="Segoe UI" w:cs="Segoe UI"/>
          <w:sz w:val="20"/>
        </w:rPr>
        <w:t>400</w:t>
      </w:r>
      <w:r w:rsidRPr="001C4829">
        <w:rPr>
          <w:rFonts w:ascii="Segoe UI" w:hAnsi="Segoe UI" w:cs="Segoe UI"/>
          <w:sz w:val="20"/>
        </w:rPr>
        <w:t xml:space="preserve">μ.β. </w:t>
      </w:r>
      <w:r>
        <w:rPr>
          <w:rFonts w:ascii="Segoe UI" w:hAnsi="Segoe UI" w:cs="Segoe UI"/>
          <w:sz w:val="20"/>
        </w:rPr>
        <w:t xml:space="preserve">σε ετήσια βάση, </w:t>
      </w:r>
      <w:r w:rsidR="001B5318">
        <w:rPr>
          <w:rFonts w:ascii="Segoe UI" w:hAnsi="Segoe UI" w:cs="Segoe UI"/>
          <w:sz w:val="20"/>
        </w:rPr>
        <w:t>σε</w:t>
      </w:r>
      <w:r>
        <w:rPr>
          <w:rFonts w:ascii="Segoe UI" w:hAnsi="Segoe UI" w:cs="Segoe UI"/>
          <w:sz w:val="20"/>
        </w:rPr>
        <w:t xml:space="preserve"> 3</w:t>
      </w:r>
      <w:r w:rsidR="00155AA1">
        <w:rPr>
          <w:rFonts w:ascii="Segoe UI" w:hAnsi="Segoe UI" w:cs="Segoe UI"/>
          <w:sz w:val="20"/>
        </w:rPr>
        <w:t>0,</w:t>
      </w:r>
      <w:r w:rsidR="00A735A1">
        <w:rPr>
          <w:rFonts w:ascii="Segoe UI" w:hAnsi="Segoe UI" w:cs="Segoe UI"/>
          <w:sz w:val="20"/>
        </w:rPr>
        <w:t>1</w:t>
      </w:r>
      <w:r w:rsidRPr="001C4829">
        <w:rPr>
          <w:rFonts w:ascii="Segoe UI" w:hAnsi="Segoe UI" w:cs="Segoe UI"/>
          <w:sz w:val="20"/>
        </w:rPr>
        <w:t xml:space="preserve">% το </w:t>
      </w:r>
      <w:r w:rsidR="00A735A1">
        <w:rPr>
          <w:rFonts w:ascii="Segoe UI" w:hAnsi="Segoe UI" w:cs="Segoe UI"/>
          <w:sz w:val="20"/>
        </w:rPr>
        <w:t>Γ</w:t>
      </w:r>
      <w:r w:rsidRPr="001C4829">
        <w:rPr>
          <w:rFonts w:ascii="Segoe UI" w:hAnsi="Segoe UI" w:cs="Segoe UI"/>
          <w:sz w:val="20"/>
        </w:rPr>
        <w:t>’ τρίμηνο 20</w:t>
      </w:r>
      <w:r>
        <w:rPr>
          <w:rFonts w:ascii="Segoe UI" w:hAnsi="Segoe UI" w:cs="Segoe UI"/>
          <w:sz w:val="20"/>
        </w:rPr>
        <w:t>20. Ο</w:t>
      </w:r>
      <w:r w:rsidRPr="001C4829">
        <w:rPr>
          <w:rFonts w:ascii="Segoe UI" w:hAnsi="Segoe UI" w:cs="Segoe UI"/>
          <w:sz w:val="20"/>
        </w:rPr>
        <w:t xml:space="preserve"> </w:t>
      </w:r>
      <w:r w:rsidRPr="00900846">
        <w:rPr>
          <w:rFonts w:ascii="Segoe UI" w:hAnsi="Segoe UI" w:cs="Segoe UI"/>
          <w:b/>
          <w:sz w:val="20"/>
        </w:rPr>
        <w:t>δείκτη κάλυψης ΜΕΑ από σωρευμένες προβλέψεις</w:t>
      </w:r>
      <w:r w:rsidRPr="001C4829">
        <w:rPr>
          <w:rFonts w:ascii="Segoe UI" w:hAnsi="Segoe UI" w:cs="Segoe UI"/>
          <w:sz w:val="20"/>
        </w:rPr>
        <w:t xml:space="preserve"> διαμορφώ</w:t>
      </w:r>
      <w:r>
        <w:rPr>
          <w:rFonts w:ascii="Segoe UI" w:hAnsi="Segoe UI" w:cs="Segoe UI"/>
          <w:sz w:val="20"/>
        </w:rPr>
        <w:t xml:space="preserve">θηκε </w:t>
      </w:r>
      <w:r w:rsidRPr="001C4829">
        <w:rPr>
          <w:rFonts w:ascii="Segoe UI" w:hAnsi="Segoe UI" w:cs="Segoe UI"/>
          <w:sz w:val="20"/>
        </w:rPr>
        <w:t xml:space="preserve">σε </w:t>
      </w:r>
      <w:r>
        <w:rPr>
          <w:rFonts w:ascii="Segoe UI" w:hAnsi="Segoe UI" w:cs="Segoe UI"/>
          <w:sz w:val="20"/>
        </w:rPr>
        <w:t>56,</w:t>
      </w:r>
      <w:r w:rsidR="00A735A1">
        <w:rPr>
          <w:rFonts w:ascii="Segoe UI" w:hAnsi="Segoe UI" w:cs="Segoe UI"/>
          <w:sz w:val="20"/>
        </w:rPr>
        <w:t>4</w:t>
      </w:r>
      <w:r w:rsidRPr="001C4829">
        <w:rPr>
          <w:rFonts w:ascii="Segoe UI" w:hAnsi="Segoe UI" w:cs="Segoe UI"/>
          <w:sz w:val="20"/>
        </w:rPr>
        <w:t>%</w:t>
      </w:r>
      <w:r>
        <w:rPr>
          <w:rFonts w:ascii="Segoe UI" w:hAnsi="Segoe UI" w:cs="Segoe UI"/>
          <w:sz w:val="20"/>
        </w:rPr>
        <w:t xml:space="preserve"> </w:t>
      </w:r>
      <w:r w:rsidR="00A735A1" w:rsidRPr="00A735A1">
        <w:rPr>
          <w:rFonts w:ascii="Segoe UI" w:hAnsi="Segoe UI" w:cs="Segoe UI"/>
          <w:sz w:val="20"/>
        </w:rPr>
        <w:t xml:space="preserve">το </w:t>
      </w:r>
      <w:r w:rsidR="00A735A1">
        <w:rPr>
          <w:rFonts w:ascii="Segoe UI" w:hAnsi="Segoe UI" w:cs="Segoe UI"/>
          <w:sz w:val="20"/>
        </w:rPr>
        <w:t>Γ</w:t>
      </w:r>
      <w:r w:rsidR="00A735A1" w:rsidRPr="00A735A1">
        <w:rPr>
          <w:rFonts w:ascii="Segoe UI" w:hAnsi="Segoe UI" w:cs="Segoe UI"/>
          <w:sz w:val="20"/>
        </w:rPr>
        <w:t>’ τρίμηνο 2020</w:t>
      </w:r>
      <w:r w:rsidR="00EB3983">
        <w:rPr>
          <w:rFonts w:ascii="Segoe UI" w:hAnsi="Segoe UI" w:cs="Segoe UI"/>
          <w:sz w:val="20"/>
        </w:rPr>
        <w:t xml:space="preserve">. </w:t>
      </w:r>
    </w:p>
    <w:p w:rsidR="001C4829" w:rsidRDefault="001C4829" w:rsidP="001C4829">
      <w:pPr>
        <w:autoSpaceDE w:val="0"/>
        <w:autoSpaceDN w:val="0"/>
        <w:adjustRightInd w:val="0"/>
        <w:spacing w:after="160" w:line="320" w:lineRule="atLeast"/>
        <w:jc w:val="both"/>
        <w:rPr>
          <w:rFonts w:ascii="Segoe UI" w:hAnsi="Segoe UI" w:cs="Segoe UI"/>
          <w:sz w:val="20"/>
        </w:rPr>
      </w:pPr>
      <w:r w:rsidRPr="00D20698">
        <w:rPr>
          <w:rFonts w:ascii="Segoe UI" w:hAnsi="Segoe UI" w:cs="Segoe UI"/>
          <w:sz w:val="20"/>
        </w:rPr>
        <w:t>Στις διεθνείς δραστηριότητες</w:t>
      </w:r>
      <w:r w:rsidR="00702F61" w:rsidRPr="004531D1">
        <w:rPr>
          <w:rFonts w:ascii="Segoe UI" w:hAnsi="Segoe UI" w:cs="Segoe UI"/>
          <w:vertAlign w:val="superscript"/>
        </w:rPr>
        <w:footnoteReference w:id="4"/>
      </w:r>
      <w:r w:rsidRPr="00D20698">
        <w:rPr>
          <w:rFonts w:ascii="Segoe UI" w:hAnsi="Segoe UI" w:cs="Segoe UI"/>
          <w:sz w:val="20"/>
        </w:rPr>
        <w:t xml:space="preserve">, ο δείκτης ΜΕΑ διαμορφώθηκε σε </w:t>
      </w:r>
      <w:r w:rsidR="00900846">
        <w:rPr>
          <w:rFonts w:ascii="Segoe UI" w:hAnsi="Segoe UI" w:cs="Segoe UI"/>
          <w:sz w:val="20"/>
        </w:rPr>
        <w:t>9,</w:t>
      </w:r>
      <w:r w:rsidR="00B63FB2">
        <w:rPr>
          <w:rFonts w:ascii="Segoe UI" w:hAnsi="Segoe UI" w:cs="Segoe UI"/>
          <w:sz w:val="20"/>
        </w:rPr>
        <w:t>3</w:t>
      </w:r>
      <w:r w:rsidRPr="00D20698">
        <w:rPr>
          <w:rFonts w:ascii="Segoe UI" w:hAnsi="Segoe UI" w:cs="Segoe UI"/>
          <w:sz w:val="20"/>
        </w:rPr>
        <w:t xml:space="preserve">% το </w:t>
      </w:r>
      <w:r w:rsidR="00B63FB2">
        <w:rPr>
          <w:rFonts w:ascii="Segoe UI" w:hAnsi="Segoe UI" w:cs="Segoe UI"/>
          <w:sz w:val="20"/>
        </w:rPr>
        <w:t>Γ</w:t>
      </w:r>
      <w:r w:rsidRPr="00D20698">
        <w:rPr>
          <w:rFonts w:ascii="Segoe UI" w:hAnsi="Segoe UI" w:cs="Segoe UI"/>
          <w:sz w:val="20"/>
        </w:rPr>
        <w:t>’ τρίμηνο 20</w:t>
      </w:r>
      <w:r w:rsidR="004655E6">
        <w:rPr>
          <w:rFonts w:ascii="Segoe UI" w:hAnsi="Segoe UI" w:cs="Segoe UI"/>
          <w:sz w:val="20"/>
        </w:rPr>
        <w:t>20</w:t>
      </w:r>
      <w:r w:rsidRPr="00D20698">
        <w:rPr>
          <w:rFonts w:ascii="Segoe UI" w:hAnsi="Segoe UI" w:cs="Segoe UI"/>
          <w:sz w:val="20"/>
        </w:rPr>
        <w:t xml:space="preserve">, με τον αντίστοιχο δείκτη κάλυψης από σωρευμένες προβλέψεις να ανέρχεται σε </w:t>
      </w:r>
      <w:r w:rsidR="00B63FB2">
        <w:rPr>
          <w:rFonts w:ascii="Segoe UI" w:hAnsi="Segoe UI" w:cs="Segoe UI"/>
          <w:sz w:val="20"/>
        </w:rPr>
        <w:t>80,1</w:t>
      </w:r>
      <w:r w:rsidRPr="00D20698">
        <w:rPr>
          <w:rFonts w:ascii="Segoe UI" w:hAnsi="Segoe UI" w:cs="Segoe UI"/>
          <w:sz w:val="20"/>
        </w:rPr>
        <w:t>%.</w:t>
      </w:r>
    </w:p>
    <w:p w:rsidR="00DA6F59" w:rsidRDefault="00DA6F59" w:rsidP="00DA6F59">
      <w:pPr>
        <w:kinsoku w:val="0"/>
        <w:overflowPunct w:val="0"/>
        <w:spacing w:before="40"/>
        <w:ind w:left="34"/>
        <w:textAlignment w:val="baseline"/>
        <w:rPr>
          <w:rFonts w:ascii="Segoe UI" w:hAnsi="Segoe UI" w:cs="Segoe UI"/>
          <w:sz w:val="20"/>
        </w:rPr>
      </w:pPr>
    </w:p>
    <w:tbl>
      <w:tblPr>
        <w:tblStyle w:val="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E55AED" w:rsidRPr="00EE40A0" w:rsidTr="00DA6F59">
        <w:trPr>
          <w:trHeight w:val="1984"/>
          <w:jc w:val="center"/>
        </w:trPr>
        <w:tc>
          <w:tcPr>
            <w:tcW w:w="5103" w:type="dxa"/>
            <w:vAlign w:val="bottom"/>
          </w:tcPr>
          <w:p w:rsidR="00DA6F59" w:rsidRPr="00DA6F59" w:rsidRDefault="00DA6F59" w:rsidP="00DA6F59">
            <w:pPr>
              <w:kinsoku w:val="0"/>
              <w:overflowPunct w:val="0"/>
              <w:spacing w:before="40"/>
              <w:ind w:left="38"/>
              <w:textAlignment w:val="baseline"/>
              <w:rPr>
                <w:rFonts w:ascii="Segoe UI" w:eastAsia="Segoe UI" w:hAnsi="Segoe UI" w:cs="Segoe UI"/>
                <w:b/>
                <w:color w:val="008080"/>
                <w:kern w:val="24"/>
              </w:rPr>
            </w:pPr>
            <w:r w:rsidRPr="00DA6F59">
              <w:rPr>
                <w:rFonts w:ascii="Segoe UI" w:eastAsia="Segoe UI" w:hAnsi="Segoe UI" w:cs="Segoe UI"/>
                <w:b/>
                <w:color w:val="008080"/>
                <w:kern w:val="24"/>
              </w:rPr>
              <w:t>Δείκτες και ποσοστά κάλυψης δανείων σε</w:t>
            </w:r>
            <w:r w:rsidR="000D2509">
              <w:rPr>
                <w:rFonts w:ascii="Segoe UI" w:eastAsia="Segoe UI" w:hAnsi="Segoe UI" w:cs="Segoe UI"/>
                <w:b/>
                <w:color w:val="008080"/>
                <w:kern w:val="24"/>
              </w:rPr>
              <w:t xml:space="preserve"> </w:t>
            </w:r>
            <w:r w:rsidRPr="00DA6F59">
              <w:rPr>
                <w:rFonts w:ascii="Segoe UI" w:eastAsia="Segoe UI" w:hAnsi="Segoe UI" w:cs="Segoe UI"/>
                <w:b/>
                <w:color w:val="008080"/>
                <w:kern w:val="24"/>
              </w:rPr>
              <w:t>καθυστέρηση άνω των 90 ημερών</w:t>
            </w:r>
          </w:p>
          <w:p w:rsidR="00DA6F59" w:rsidRPr="00DA6F59" w:rsidRDefault="00E55AED" w:rsidP="00DA6F59">
            <w:pPr>
              <w:kinsoku w:val="0"/>
              <w:overflowPunct w:val="0"/>
              <w:spacing w:before="40"/>
              <w:ind w:left="547" w:hanging="547"/>
              <w:textAlignment w:val="baseline"/>
              <w:rPr>
                <w:rFonts w:ascii="Segoe UI" w:eastAsia="Times New Roman" w:hAnsi="Segoe UI" w:cs="Segoe UI"/>
              </w:rPr>
            </w:pPr>
            <w:r w:rsidRPr="00EE40A0">
              <w:rPr>
                <w:rFonts w:ascii="Segoe UI" w:eastAsia="Times New Roman" w:hAnsi="Segoe UI" w:cs="Segoe UI"/>
                <w:noProof/>
              </w:rPr>
              <w:drawing>
                <wp:inline distT="0" distB="0" distL="0" distR="0" wp14:anchorId="130BC887" wp14:editId="46188F7A">
                  <wp:extent cx="2997200" cy="1536700"/>
                  <wp:effectExtent l="0" t="0" r="12700" b="6350"/>
                  <wp:docPr id="750847111"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103" w:type="dxa"/>
            <w:vAlign w:val="bottom"/>
          </w:tcPr>
          <w:p w:rsidR="00E55AED" w:rsidRPr="00DA6F59" w:rsidRDefault="00DA6F59" w:rsidP="00DA6F59">
            <w:pPr>
              <w:kinsoku w:val="0"/>
              <w:overflowPunct w:val="0"/>
              <w:spacing w:before="40"/>
              <w:ind w:left="38"/>
              <w:textAlignment w:val="baseline"/>
              <w:rPr>
                <w:rFonts w:ascii="Segoe UI" w:eastAsia="Segoe UI" w:hAnsi="Segoe UI" w:cs="Segoe UI"/>
                <w:b/>
                <w:color w:val="008080"/>
                <w:kern w:val="24"/>
              </w:rPr>
            </w:pPr>
            <w:r w:rsidRPr="00DA6F59">
              <w:rPr>
                <w:rFonts w:ascii="Segoe UI" w:eastAsia="Segoe UI" w:hAnsi="Segoe UI" w:cs="Segoe UI"/>
                <w:b/>
                <w:color w:val="008080"/>
                <w:kern w:val="24"/>
              </w:rPr>
              <w:t>Δείκτες και ποσοστά κάλυψης Μη Εξυπηρετούμενων Ανοιγμάτων (ΜΕΑ)</w:t>
            </w:r>
          </w:p>
          <w:p w:rsidR="00E55AED" w:rsidRPr="00DA6F59" w:rsidRDefault="00E55AED" w:rsidP="00D12150">
            <w:pPr>
              <w:kinsoku w:val="0"/>
              <w:overflowPunct w:val="0"/>
              <w:spacing w:before="40"/>
              <w:ind w:left="547" w:hanging="547"/>
              <w:jc w:val="right"/>
              <w:textAlignment w:val="baseline"/>
              <w:rPr>
                <w:rFonts w:ascii="Segoe UI" w:eastAsia="Times New Roman" w:hAnsi="Segoe UI" w:cs="Segoe UI"/>
              </w:rPr>
            </w:pPr>
            <w:r w:rsidRPr="00EE40A0">
              <w:rPr>
                <w:rFonts w:ascii="Segoe UI" w:eastAsia="Times New Roman" w:hAnsi="Segoe UI" w:cs="Segoe UI"/>
                <w:noProof/>
              </w:rPr>
              <w:drawing>
                <wp:inline distT="0" distB="0" distL="0" distR="0" wp14:anchorId="37450A25" wp14:editId="6EA30A93">
                  <wp:extent cx="3130550" cy="1549400"/>
                  <wp:effectExtent l="0" t="0" r="12700" b="12700"/>
                  <wp:docPr id="75084711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E55AED" w:rsidRPr="00A02F9C" w:rsidRDefault="00E55AED" w:rsidP="00E55AED">
      <w:pPr>
        <w:kinsoku w:val="0"/>
        <w:overflowPunct w:val="0"/>
        <w:spacing w:before="40"/>
        <w:ind w:left="547" w:hanging="547"/>
        <w:textAlignment w:val="baseline"/>
        <w:rPr>
          <w:rFonts w:ascii="Segoe UI" w:eastAsia="Segoe UI" w:hAnsi="Segoe UI" w:cs="Segoe UI"/>
          <w:b/>
          <w:color w:val="008080"/>
          <w:kern w:val="24"/>
          <w:sz w:val="18"/>
          <w:szCs w:val="18"/>
          <w:lang w:val="en-US" w:eastAsia="el-GR"/>
        </w:rPr>
      </w:pPr>
    </w:p>
    <w:p w:rsidR="00E55AED" w:rsidRPr="00201DF8" w:rsidRDefault="00DA6F59" w:rsidP="00E55AED">
      <w:pPr>
        <w:kinsoku w:val="0"/>
        <w:overflowPunct w:val="0"/>
        <w:spacing w:before="40"/>
        <w:ind w:left="547" w:hanging="547"/>
        <w:textAlignment w:val="baseline"/>
        <w:rPr>
          <w:rFonts w:ascii="Segoe UI" w:eastAsia="Segoe UI" w:hAnsi="Segoe UI" w:cs="Segoe UI"/>
          <w:b/>
          <w:color w:val="008080"/>
          <w:kern w:val="24"/>
          <w:sz w:val="20"/>
          <w:lang w:eastAsia="el-GR"/>
        </w:rPr>
      </w:pPr>
      <w:r w:rsidRPr="00DA6F59">
        <w:rPr>
          <w:rFonts w:ascii="Segoe UI" w:eastAsia="Segoe UI" w:hAnsi="Segoe UI" w:cs="Segoe UI"/>
          <w:b/>
          <w:color w:val="008080"/>
          <w:kern w:val="24"/>
          <w:sz w:val="20"/>
          <w:lang w:eastAsia="el-GR"/>
        </w:rPr>
        <w:t>Μεταβολή ΜΕΑ στην Ελλάδα (€ δισ.)</w:t>
      </w:r>
      <w:r w:rsidR="002E34E0" w:rsidRPr="00201DF8">
        <w:rPr>
          <w:rFonts w:ascii="Segoe UI" w:eastAsia="Segoe UI" w:hAnsi="Segoe UI" w:cs="Segoe UI"/>
          <w:b/>
          <w:color w:val="008080"/>
          <w:kern w:val="24"/>
          <w:sz w:val="20"/>
          <w:lang w:eastAsia="el-GR"/>
        </w:rPr>
        <w:t xml:space="preserve">  </w:t>
      </w:r>
    </w:p>
    <w:p w:rsidR="00E55AED" w:rsidRPr="00EE40A0" w:rsidRDefault="00931D2C" w:rsidP="00D12150">
      <w:pPr>
        <w:kinsoku w:val="0"/>
        <w:overflowPunct w:val="0"/>
        <w:spacing w:before="40"/>
        <w:ind w:left="547" w:hanging="547"/>
        <w:textAlignment w:val="baseline"/>
        <w:rPr>
          <w:rFonts w:ascii="Segoe UI" w:eastAsia="Segoe UI" w:hAnsi="Segoe UI" w:cs="Segoe UI"/>
          <w:b/>
          <w:color w:val="008080"/>
          <w:kern w:val="24"/>
          <w:sz w:val="18"/>
          <w:lang w:val="en-US" w:eastAsia="el-GR"/>
        </w:rPr>
      </w:pPr>
      <w:r w:rsidRPr="00EE40A0">
        <w:rPr>
          <w:rFonts w:ascii="Segoe UI" w:hAnsi="Segoe UI" w:cs="Segoe UI"/>
          <w:b/>
          <w:noProof/>
          <w:color w:val="008080"/>
          <w:sz w:val="32"/>
          <w:lang w:eastAsia="el-GR"/>
        </w:rPr>
        <w:drawing>
          <wp:inline distT="0" distB="0" distL="0" distR="0" wp14:anchorId="7FD9A122" wp14:editId="5B079F98">
            <wp:extent cx="6437376" cy="1689811"/>
            <wp:effectExtent l="0" t="0" r="1905" b="5715"/>
            <wp:docPr id="1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537EF" w:rsidRPr="0036728B" w:rsidRDefault="008537EF">
      <w:pPr>
        <w:rPr>
          <w:rFonts w:ascii="Segoe UI" w:eastAsia="Segoe UI" w:hAnsi="Segoe UI" w:cs="Segoe UI"/>
          <w:b/>
          <w:color w:val="008080"/>
          <w:kern w:val="24"/>
          <w:sz w:val="6"/>
          <w:lang w:eastAsia="el-GR"/>
        </w:rPr>
      </w:pPr>
      <w:r w:rsidRPr="0036728B">
        <w:rPr>
          <w:rFonts w:ascii="Segoe UI" w:eastAsia="Segoe UI" w:hAnsi="Segoe UI" w:cs="Segoe UI"/>
          <w:b/>
          <w:color w:val="008080"/>
          <w:kern w:val="24"/>
          <w:sz w:val="6"/>
          <w:lang w:val="en-US" w:eastAsia="el-GR"/>
        </w:rPr>
        <w:br w:type="page"/>
      </w:r>
    </w:p>
    <w:p w:rsidR="008E0A91" w:rsidRPr="000F701B" w:rsidRDefault="007241DD" w:rsidP="008E0A91">
      <w:pPr>
        <w:pStyle w:val="TITLEINBODY"/>
        <w:rPr>
          <w:rFonts w:ascii="Segoe UI" w:hAnsi="Segoe UI" w:cs="Segoe UI"/>
          <w:lang w:val="el-GR"/>
        </w:rPr>
      </w:pPr>
      <w:r w:rsidRPr="000F701B">
        <w:rPr>
          <w:rFonts w:ascii="Segoe UI" w:hAnsi="Segoe UI" w:cs="Segoe UI"/>
          <w:lang w:val="el-GR"/>
        </w:rPr>
        <w:lastRenderedPageBreak/>
        <w:t>Κεφαλαιακή Επάρκεια</w:t>
      </w:r>
    </w:p>
    <w:p w:rsidR="002F3CE8" w:rsidRPr="00F8106F" w:rsidRDefault="00E32291" w:rsidP="002F3CE8">
      <w:pPr>
        <w:autoSpaceDE w:val="0"/>
        <w:autoSpaceDN w:val="0"/>
        <w:adjustRightInd w:val="0"/>
        <w:spacing w:before="240" w:after="160" w:line="320" w:lineRule="atLeast"/>
        <w:jc w:val="both"/>
        <w:rPr>
          <w:rFonts w:ascii="Segoe UI" w:hAnsi="Segoe UI" w:cs="Segoe UI"/>
          <w:sz w:val="20"/>
        </w:rPr>
      </w:pPr>
      <w:r>
        <w:rPr>
          <w:rFonts w:ascii="Segoe UI" w:hAnsi="Segoe UI" w:cs="Segoe UI"/>
          <w:sz w:val="20"/>
        </w:rPr>
        <w:t>Λαμβάνοντας υπόψη τα</w:t>
      </w:r>
      <w:r w:rsidR="002F3CE8">
        <w:rPr>
          <w:rFonts w:ascii="Segoe UI" w:hAnsi="Segoe UI" w:cs="Segoe UI"/>
          <w:sz w:val="20"/>
        </w:rPr>
        <w:t xml:space="preserve"> </w:t>
      </w:r>
      <w:r w:rsidR="009C3E8A">
        <w:rPr>
          <w:rFonts w:ascii="Segoe UI" w:hAnsi="Segoe UI" w:cs="Segoe UI"/>
          <w:sz w:val="20"/>
        </w:rPr>
        <w:t>αποτελέσματα</w:t>
      </w:r>
      <w:r w:rsidR="002F3CE8">
        <w:rPr>
          <w:rFonts w:ascii="Segoe UI" w:hAnsi="Segoe UI" w:cs="Segoe UI"/>
          <w:sz w:val="20"/>
        </w:rPr>
        <w:t xml:space="preserve"> του </w:t>
      </w:r>
      <w:r w:rsidR="0020173D">
        <w:rPr>
          <w:rFonts w:ascii="Segoe UI" w:hAnsi="Segoe UI" w:cs="Segoe UI"/>
          <w:sz w:val="20"/>
        </w:rPr>
        <w:t>Γ</w:t>
      </w:r>
      <w:r w:rsidR="002F3CE8">
        <w:rPr>
          <w:rFonts w:ascii="Segoe UI" w:hAnsi="Segoe UI" w:cs="Segoe UI"/>
          <w:sz w:val="20"/>
        </w:rPr>
        <w:t xml:space="preserve">’ τριμήνου 2020, </w:t>
      </w:r>
      <w:r w:rsidR="00397202" w:rsidRPr="000F701B">
        <w:rPr>
          <w:rFonts w:ascii="Segoe UI" w:hAnsi="Segoe UI" w:cs="Segoe UI"/>
          <w:sz w:val="20"/>
        </w:rPr>
        <w:t xml:space="preserve">ο δείκτης </w:t>
      </w:r>
      <w:r w:rsidR="00397202" w:rsidRPr="00881E8F">
        <w:rPr>
          <w:rFonts w:ascii="Segoe UI" w:hAnsi="Segoe UI" w:cs="Segoe UI"/>
          <w:sz w:val="20"/>
          <w:lang w:val="en-US"/>
        </w:rPr>
        <w:t>CET</w:t>
      </w:r>
      <w:r w:rsidR="00397202" w:rsidRPr="000F701B">
        <w:rPr>
          <w:rFonts w:ascii="Segoe UI" w:hAnsi="Segoe UI" w:cs="Segoe UI"/>
          <w:sz w:val="20"/>
        </w:rPr>
        <w:t>1 διαμορφώ</w:t>
      </w:r>
      <w:r w:rsidR="000E6714">
        <w:rPr>
          <w:rFonts w:ascii="Segoe UI" w:hAnsi="Segoe UI" w:cs="Segoe UI"/>
          <w:sz w:val="20"/>
        </w:rPr>
        <w:t xml:space="preserve">θηκε </w:t>
      </w:r>
      <w:r w:rsidR="00397202" w:rsidRPr="000F701B">
        <w:rPr>
          <w:rFonts w:ascii="Segoe UI" w:hAnsi="Segoe UI" w:cs="Segoe UI"/>
          <w:sz w:val="20"/>
        </w:rPr>
        <w:t>σε 1</w:t>
      </w:r>
      <w:r w:rsidR="00397202">
        <w:rPr>
          <w:rFonts w:ascii="Segoe UI" w:hAnsi="Segoe UI" w:cs="Segoe UI"/>
          <w:sz w:val="20"/>
        </w:rPr>
        <w:t>5</w:t>
      </w:r>
      <w:r w:rsidR="00397202" w:rsidRPr="000F701B">
        <w:rPr>
          <w:rFonts w:ascii="Segoe UI" w:hAnsi="Segoe UI" w:cs="Segoe UI"/>
          <w:sz w:val="20"/>
        </w:rPr>
        <w:t>,</w:t>
      </w:r>
      <w:r w:rsidR="00397202" w:rsidRPr="00C92B08">
        <w:rPr>
          <w:rFonts w:ascii="Segoe UI" w:hAnsi="Segoe UI" w:cs="Segoe UI"/>
          <w:sz w:val="20"/>
        </w:rPr>
        <w:t>9</w:t>
      </w:r>
      <w:r w:rsidR="00397202" w:rsidRPr="000F701B">
        <w:rPr>
          <w:rFonts w:ascii="Segoe UI" w:hAnsi="Segoe UI" w:cs="Segoe UI"/>
          <w:sz w:val="20"/>
        </w:rPr>
        <w:t>%</w:t>
      </w:r>
      <w:r w:rsidR="00397202" w:rsidRPr="004F4622">
        <w:rPr>
          <w:rFonts w:ascii="Segoe UI" w:hAnsi="Segoe UI" w:cs="Segoe UI"/>
          <w:vertAlign w:val="superscript"/>
        </w:rPr>
        <w:footnoteReference w:id="5"/>
      </w:r>
      <w:r w:rsidR="00397202">
        <w:rPr>
          <w:rFonts w:ascii="Segoe UI" w:hAnsi="Segoe UI" w:cs="Segoe UI"/>
          <w:sz w:val="20"/>
        </w:rPr>
        <w:t>,</w:t>
      </w:r>
      <w:r w:rsidR="0020173D">
        <w:rPr>
          <w:rFonts w:ascii="Segoe UI" w:hAnsi="Segoe UI" w:cs="Segoe UI"/>
          <w:sz w:val="20"/>
        </w:rPr>
        <w:t xml:space="preserve"> με το</w:t>
      </w:r>
      <w:r w:rsidR="006F4D81">
        <w:rPr>
          <w:rFonts w:ascii="Segoe UI" w:hAnsi="Segoe UI" w:cs="Segoe UI"/>
          <w:sz w:val="20"/>
        </w:rPr>
        <w:t xml:space="preserve"> </w:t>
      </w:r>
      <w:r w:rsidR="006F4D81" w:rsidRPr="002F3CE8">
        <w:rPr>
          <w:rFonts w:ascii="Segoe UI" w:hAnsi="Segoe UI" w:cs="Segoe UI"/>
          <w:sz w:val="20"/>
        </w:rPr>
        <w:t xml:space="preserve">Συνολικό Δείκτη Κεφαλαιακής Επάρκειας </w:t>
      </w:r>
      <w:r w:rsidR="0020173D">
        <w:rPr>
          <w:rFonts w:ascii="Segoe UI" w:hAnsi="Segoe UI" w:cs="Segoe UI"/>
          <w:sz w:val="20"/>
        </w:rPr>
        <w:t xml:space="preserve">να ανέρχεται </w:t>
      </w:r>
      <w:r w:rsidR="006F4D81">
        <w:rPr>
          <w:rFonts w:ascii="Segoe UI" w:hAnsi="Segoe UI" w:cs="Segoe UI"/>
          <w:sz w:val="20"/>
        </w:rPr>
        <w:t>σε</w:t>
      </w:r>
      <w:r w:rsidR="006F4D81" w:rsidRPr="002F3CE8">
        <w:rPr>
          <w:rFonts w:ascii="Segoe UI" w:hAnsi="Segoe UI" w:cs="Segoe UI"/>
          <w:sz w:val="20"/>
        </w:rPr>
        <w:t xml:space="preserve"> 16,</w:t>
      </w:r>
      <w:r w:rsidR="00454CB5">
        <w:rPr>
          <w:rFonts w:ascii="Segoe UI" w:hAnsi="Segoe UI" w:cs="Segoe UI"/>
          <w:sz w:val="20"/>
        </w:rPr>
        <w:t>9</w:t>
      </w:r>
      <w:r w:rsidR="006F4D81" w:rsidRPr="002F3CE8">
        <w:rPr>
          <w:rFonts w:ascii="Segoe UI" w:hAnsi="Segoe UI" w:cs="Segoe UI"/>
          <w:sz w:val="20"/>
        </w:rPr>
        <w:t>%</w:t>
      </w:r>
      <w:r w:rsidR="0020173D">
        <w:rPr>
          <w:rFonts w:ascii="Segoe UI" w:hAnsi="Segoe UI" w:cs="Segoe UI"/>
          <w:sz w:val="20"/>
          <w:vertAlign w:val="superscript"/>
        </w:rPr>
        <w:t>5</w:t>
      </w:r>
      <w:r w:rsidR="006F4D81" w:rsidRPr="000D4E54">
        <w:rPr>
          <w:rFonts w:ascii="Segoe UI" w:hAnsi="Segoe UI" w:cs="Segoe UI"/>
          <w:sz w:val="20"/>
        </w:rPr>
        <w:t xml:space="preserve">. </w:t>
      </w:r>
      <w:r w:rsidR="006F4D81">
        <w:rPr>
          <w:rFonts w:ascii="Segoe UI" w:hAnsi="Segoe UI" w:cs="Segoe UI"/>
          <w:sz w:val="20"/>
        </w:rPr>
        <w:t>Οι δείκτες κεφαλαιακής επάρκειας ε</w:t>
      </w:r>
      <w:r w:rsidR="002F3CE8" w:rsidRPr="002F3CE8">
        <w:rPr>
          <w:rFonts w:ascii="Segoe UI" w:hAnsi="Segoe UI" w:cs="Segoe UI"/>
          <w:sz w:val="20"/>
        </w:rPr>
        <w:t>νσωματών</w:t>
      </w:r>
      <w:r w:rsidR="002F3CE8">
        <w:rPr>
          <w:rFonts w:ascii="Segoe UI" w:hAnsi="Segoe UI" w:cs="Segoe UI"/>
          <w:sz w:val="20"/>
        </w:rPr>
        <w:t>ο</w:t>
      </w:r>
      <w:r w:rsidR="006F4D81">
        <w:rPr>
          <w:rFonts w:ascii="Segoe UI" w:hAnsi="Segoe UI" w:cs="Segoe UI"/>
          <w:sz w:val="20"/>
        </w:rPr>
        <w:t xml:space="preserve">υν </w:t>
      </w:r>
      <w:r w:rsidR="00AE7A55" w:rsidRPr="00AE7A55">
        <w:rPr>
          <w:rFonts w:ascii="Segoe UI" w:hAnsi="Segoe UI" w:cs="Segoe UI"/>
          <w:sz w:val="20"/>
        </w:rPr>
        <w:t>τις προβλέψεις απομείωσης σχετιζόμενες με την πανδημία του κορωνοϊού</w:t>
      </w:r>
      <w:r w:rsidR="0020173D" w:rsidRPr="004F4622">
        <w:rPr>
          <w:rFonts w:ascii="Segoe UI" w:hAnsi="Segoe UI" w:cs="Segoe UI"/>
          <w:vertAlign w:val="superscript"/>
        </w:rPr>
        <w:footnoteReference w:id="6"/>
      </w:r>
      <w:r w:rsidR="0020173D">
        <w:rPr>
          <w:rFonts w:ascii="Segoe UI" w:hAnsi="Segoe UI" w:cs="Segoe UI"/>
          <w:sz w:val="20"/>
        </w:rPr>
        <w:t>,</w:t>
      </w:r>
      <w:r w:rsidR="00AE7A55">
        <w:rPr>
          <w:rFonts w:ascii="Segoe UI" w:hAnsi="Segoe UI" w:cs="Segoe UI"/>
          <w:sz w:val="20"/>
        </w:rPr>
        <w:t xml:space="preserve"> </w:t>
      </w:r>
      <w:r w:rsidR="00AE7A55" w:rsidRPr="002F3CE8">
        <w:rPr>
          <w:rFonts w:ascii="Segoe UI" w:hAnsi="Segoe UI" w:cs="Segoe UI"/>
          <w:sz w:val="20"/>
        </w:rPr>
        <w:t>υπερβαίν</w:t>
      </w:r>
      <w:r w:rsidR="00AE7A55">
        <w:rPr>
          <w:rFonts w:ascii="Segoe UI" w:hAnsi="Segoe UI" w:cs="Segoe UI"/>
          <w:sz w:val="20"/>
        </w:rPr>
        <w:t xml:space="preserve">οντας </w:t>
      </w:r>
      <w:r w:rsidR="00AE7A55" w:rsidRPr="002F3CE8">
        <w:rPr>
          <w:rFonts w:ascii="Segoe UI" w:hAnsi="Segoe UI" w:cs="Segoe UI"/>
          <w:sz w:val="20"/>
        </w:rPr>
        <w:t xml:space="preserve">τις </w:t>
      </w:r>
      <w:r w:rsidR="00AE7A55">
        <w:rPr>
          <w:rFonts w:ascii="Segoe UI" w:hAnsi="Segoe UI" w:cs="Segoe UI"/>
          <w:sz w:val="20"/>
        </w:rPr>
        <w:t xml:space="preserve">προσαρμοσμένες για την πανδημία του κορωνοϊού </w:t>
      </w:r>
      <w:r w:rsidR="00AE7A55" w:rsidRPr="002F3CE8">
        <w:rPr>
          <w:rFonts w:ascii="Segoe UI" w:hAnsi="Segoe UI" w:cs="Segoe UI"/>
          <w:sz w:val="20"/>
        </w:rPr>
        <w:t>κεφαλαιακές απαιτήσεις για το 2020</w:t>
      </w:r>
      <w:r w:rsidR="002F3CE8" w:rsidRPr="002F3CE8">
        <w:rPr>
          <w:rFonts w:ascii="Segoe UI" w:hAnsi="Segoe UI" w:cs="Segoe UI"/>
          <w:sz w:val="20"/>
        </w:rPr>
        <w:t xml:space="preserve">. Ενσωματώνοντας την πλήρη επίδραση του ΔΠΧΑ 9, </w:t>
      </w:r>
      <w:r w:rsidR="00BB79DE">
        <w:rPr>
          <w:rFonts w:ascii="Segoe UI" w:hAnsi="Segoe UI" w:cs="Segoe UI"/>
          <w:sz w:val="20"/>
        </w:rPr>
        <w:t xml:space="preserve">ο </w:t>
      </w:r>
      <w:r w:rsidR="002F3CE8" w:rsidRPr="002F3CE8">
        <w:rPr>
          <w:rFonts w:ascii="Segoe UI" w:hAnsi="Segoe UI" w:cs="Segoe UI"/>
          <w:sz w:val="20"/>
        </w:rPr>
        <w:t>δείκτης CET1 διαμορφώνεται σε 1</w:t>
      </w:r>
      <w:r w:rsidR="001772E9">
        <w:rPr>
          <w:rFonts w:ascii="Segoe UI" w:hAnsi="Segoe UI" w:cs="Segoe UI"/>
          <w:sz w:val="20"/>
        </w:rPr>
        <w:t>3,0</w:t>
      </w:r>
      <w:r w:rsidR="002F3CE8" w:rsidRPr="002F3CE8">
        <w:rPr>
          <w:rFonts w:ascii="Segoe UI" w:hAnsi="Segoe UI" w:cs="Segoe UI"/>
          <w:sz w:val="20"/>
        </w:rPr>
        <w:t>%</w:t>
      </w:r>
      <w:r w:rsidR="00DE355F">
        <w:rPr>
          <w:rFonts w:ascii="Segoe UI" w:hAnsi="Segoe UI" w:cs="Segoe UI"/>
          <w:sz w:val="20"/>
          <w:vertAlign w:val="superscript"/>
        </w:rPr>
        <w:t>5</w:t>
      </w:r>
      <w:r w:rsidR="0071626F">
        <w:rPr>
          <w:rFonts w:ascii="Segoe UI" w:hAnsi="Segoe UI" w:cs="Segoe UI"/>
          <w:sz w:val="20"/>
        </w:rPr>
        <w:t>.</w:t>
      </w:r>
      <w:r w:rsidR="00F8106F" w:rsidRPr="00F8106F">
        <w:rPr>
          <w:rFonts w:ascii="Segoe UI" w:hAnsi="Segoe UI" w:cs="Segoe UI"/>
          <w:sz w:val="20"/>
        </w:rPr>
        <w:t xml:space="preserve"> </w:t>
      </w:r>
    </w:p>
    <w:p w:rsidR="00587423" w:rsidRPr="000F701B" w:rsidRDefault="00587423" w:rsidP="00E55AED">
      <w:pPr>
        <w:kinsoku w:val="0"/>
        <w:overflowPunct w:val="0"/>
        <w:spacing w:before="40"/>
        <w:textAlignment w:val="baseline"/>
        <w:rPr>
          <w:rFonts w:ascii="Segoe UI" w:eastAsia="Segoe UI" w:hAnsi="Segoe UI" w:cs="Segoe UI"/>
          <w:b/>
          <w:color w:val="008080"/>
          <w:kern w:val="24"/>
          <w:sz w:val="2"/>
          <w:szCs w:val="2"/>
          <w:lang w:eastAsia="el-GR"/>
        </w:rPr>
      </w:pPr>
    </w:p>
    <w:p w:rsidR="001541D6" w:rsidRPr="00054FA3" w:rsidRDefault="0097157B" w:rsidP="00D12150">
      <w:pPr>
        <w:kinsoku w:val="0"/>
        <w:overflowPunct w:val="0"/>
        <w:spacing w:before="40"/>
        <w:textAlignment w:val="baseline"/>
        <w:rPr>
          <w:rFonts w:ascii="Segoe UI" w:eastAsia="Segoe UI" w:hAnsi="Segoe UI" w:cs="Segoe UI"/>
          <w:b/>
          <w:color w:val="008080"/>
          <w:kern w:val="24"/>
          <w:sz w:val="20"/>
          <w:lang w:eastAsia="el-GR"/>
        </w:rPr>
      </w:pPr>
      <w:r w:rsidRPr="000F701B">
        <w:rPr>
          <w:rFonts w:ascii="Segoe UI" w:eastAsia="Segoe UI" w:hAnsi="Segoe UI" w:cs="Segoe UI"/>
          <w:b/>
          <w:color w:val="008080"/>
          <w:kern w:val="24"/>
          <w:sz w:val="20"/>
          <w:lang w:eastAsia="el-GR"/>
        </w:rPr>
        <w:t>Μεταβολή στο Δείκτη Κεφαλαίου Κοινών Μετοχών Κατηγορίας 1 (</w:t>
      </w:r>
      <w:r w:rsidRPr="0097157B">
        <w:rPr>
          <w:rFonts w:ascii="Segoe UI" w:eastAsia="Segoe UI" w:hAnsi="Segoe UI" w:cs="Segoe UI"/>
          <w:b/>
          <w:color w:val="008080"/>
          <w:kern w:val="24"/>
          <w:sz w:val="20"/>
          <w:lang w:val="en-US" w:eastAsia="el-GR"/>
        </w:rPr>
        <w:t>CET</w:t>
      </w:r>
      <w:r w:rsidRPr="000F701B">
        <w:rPr>
          <w:rFonts w:ascii="Segoe UI" w:eastAsia="Segoe UI" w:hAnsi="Segoe UI" w:cs="Segoe UI"/>
          <w:b/>
          <w:color w:val="008080"/>
          <w:kern w:val="24"/>
          <w:sz w:val="20"/>
          <w:lang w:eastAsia="el-GR"/>
        </w:rPr>
        <w:t xml:space="preserve">1) το </w:t>
      </w:r>
      <w:r w:rsidR="002165CF">
        <w:rPr>
          <w:rFonts w:ascii="Segoe UI" w:eastAsia="Segoe UI" w:hAnsi="Segoe UI" w:cs="Segoe UI"/>
          <w:b/>
          <w:color w:val="008080"/>
          <w:kern w:val="24"/>
          <w:sz w:val="20"/>
          <w:lang w:eastAsia="el-GR"/>
        </w:rPr>
        <w:t>Γ</w:t>
      </w:r>
      <w:r w:rsidR="00054FA3" w:rsidRPr="00054FA3">
        <w:rPr>
          <w:rFonts w:ascii="Segoe UI" w:eastAsia="Segoe UI" w:hAnsi="Segoe UI" w:cs="Segoe UI"/>
          <w:b/>
          <w:color w:val="008080"/>
          <w:kern w:val="24"/>
          <w:sz w:val="20"/>
          <w:lang w:eastAsia="el-GR"/>
        </w:rPr>
        <w:t>’</w:t>
      </w:r>
      <w:r w:rsidRPr="000F701B">
        <w:rPr>
          <w:rFonts w:ascii="Segoe UI" w:eastAsia="Segoe UI" w:hAnsi="Segoe UI" w:cs="Segoe UI"/>
          <w:b/>
          <w:color w:val="008080"/>
          <w:kern w:val="24"/>
          <w:sz w:val="20"/>
          <w:lang w:eastAsia="el-GR"/>
        </w:rPr>
        <w:t xml:space="preserve"> τρίμηνο 20</w:t>
      </w:r>
      <w:r w:rsidR="00054FA3" w:rsidRPr="00054FA3">
        <w:rPr>
          <w:rFonts w:ascii="Segoe UI" w:eastAsia="Segoe UI" w:hAnsi="Segoe UI" w:cs="Segoe UI"/>
          <w:b/>
          <w:color w:val="008080"/>
          <w:kern w:val="24"/>
          <w:sz w:val="20"/>
          <w:lang w:eastAsia="el-GR"/>
        </w:rPr>
        <w:t>20</w:t>
      </w:r>
    </w:p>
    <w:p w:rsidR="00E55AED" w:rsidRPr="000F701B" w:rsidRDefault="00197438" w:rsidP="00D12150">
      <w:pPr>
        <w:kinsoku w:val="0"/>
        <w:overflowPunct w:val="0"/>
        <w:spacing w:before="40"/>
        <w:textAlignment w:val="baseline"/>
        <w:rPr>
          <w:rFonts w:ascii="Segoe UI" w:eastAsia="Segoe UI" w:hAnsi="Segoe UI" w:cs="Segoe UI"/>
          <w:b/>
          <w:color w:val="008080"/>
          <w:kern w:val="24"/>
          <w:sz w:val="18"/>
          <w:lang w:eastAsia="el-GR"/>
        </w:rPr>
      </w:pPr>
      <w:r>
        <w:rPr>
          <w:rFonts w:ascii="Segoe UI" w:hAnsi="Segoe UI" w:cs="Segoe UI"/>
          <w:noProof/>
          <w:lang w:eastAsia="el-GR"/>
        </w:rPr>
        <mc:AlternateContent>
          <mc:Choice Requires="wps">
            <w:drawing>
              <wp:anchor distT="0" distB="0" distL="114300" distR="114300" simplePos="0" relativeHeight="251651072" behindDoc="0" locked="0" layoutInCell="1" allowOverlap="1" wp14:anchorId="3A0CCB7C" wp14:editId="17E730BC">
                <wp:simplePos x="0" y="0"/>
                <wp:positionH relativeFrom="margin">
                  <wp:posOffset>3562332</wp:posOffset>
                </wp:positionH>
                <wp:positionV relativeFrom="paragraph">
                  <wp:posOffset>120797</wp:posOffset>
                </wp:positionV>
                <wp:extent cx="1181478" cy="357241"/>
                <wp:effectExtent l="0" t="0" r="19050" b="24130"/>
                <wp:wrapNone/>
                <wp:docPr id="750847107"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478" cy="357241"/>
                        </a:xfrm>
                        <a:prstGeom prst="ellipse">
                          <a:avLst/>
                        </a:prstGeom>
                        <a:no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3D490E" id="Oval 20" o:spid="_x0000_s1026" style="position:absolute;margin-left:280.5pt;margin-top:9.5pt;width:93.05pt;height:28.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" filled="f" strokecolor="teal" strokeweight="1pt">
                <v:stroke joinstyle="miter"/>
                <v:path arrowok="t"/>
                <w10:wrap anchorx="margin"/>
              </v:oval>
            </w:pict>
          </mc:Fallback>
        </mc:AlternateContent>
      </w:r>
      <w:r>
        <w:rPr>
          <w:rFonts w:ascii="Segoe UI" w:hAnsi="Segoe UI" w:cs="Segoe UI"/>
          <w:noProof/>
          <w:lang w:eastAsia="el-GR"/>
        </w:rPr>
        <mc:AlternateContent>
          <mc:Choice Requires="wps">
            <w:drawing>
              <wp:anchor distT="0" distB="0" distL="114300" distR="114300" simplePos="0" relativeHeight="251660288" behindDoc="0" locked="0" layoutInCell="1" allowOverlap="1" wp14:anchorId="7008F408" wp14:editId="2286BF6F">
                <wp:simplePos x="0" y="0"/>
                <wp:positionH relativeFrom="column">
                  <wp:posOffset>3512185</wp:posOffset>
                </wp:positionH>
                <wp:positionV relativeFrom="paragraph">
                  <wp:posOffset>125260</wp:posOffset>
                </wp:positionV>
                <wp:extent cx="1244600" cy="351155"/>
                <wp:effectExtent l="0" t="0" r="0" b="0"/>
                <wp:wrapNone/>
                <wp:docPr id="15" name="Rectangular Callou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351155"/>
                        </a:xfrm>
                        <a:prstGeom prst="wedgeRectCallout">
                          <a:avLst>
                            <a:gd name="adj1" fmla="val -47983"/>
                            <a:gd name="adj2" fmla="val -13961"/>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5F56" w:rsidRPr="00B20578" w:rsidRDefault="00D95F56" w:rsidP="00E55AED">
                            <w:pPr>
                              <w:pStyle w:val="NormalWeb"/>
                              <w:spacing w:before="0" w:beforeAutospacing="0" w:after="0" w:afterAutospacing="0"/>
                              <w:jc w:val="center"/>
                              <w:textAlignment w:val="baseline"/>
                              <w:rPr>
                                <w:b/>
                                <w:sz w:val="18"/>
                              </w:rPr>
                            </w:pPr>
                            <w:r w:rsidRPr="00B20578">
                              <w:rPr>
                                <w:rFonts w:ascii="Segoe UI" w:eastAsia="MS Mincho" w:hAnsi="Segoe UI" w:cs="Segoe UI"/>
                                <w:b/>
                                <w:color w:val="000000"/>
                                <w:kern w:val="24"/>
                                <w:sz w:val="9"/>
                                <w:szCs w:val="9"/>
                                <w:lang w:eastAsia="en-US"/>
                              </w:rPr>
                              <w:t>Συνολικός Δείκτης Κεφαλαιακής Επάρκειας στο 16,</w:t>
                            </w:r>
                            <w:r w:rsidRPr="00006BDB">
                              <w:rPr>
                                <w:rFonts w:ascii="Segoe UI" w:eastAsia="MS Mincho" w:hAnsi="Segoe UI" w:cs="Segoe UI"/>
                                <w:b/>
                                <w:color w:val="000000"/>
                                <w:kern w:val="24"/>
                                <w:sz w:val="9"/>
                                <w:szCs w:val="9"/>
                                <w:lang w:eastAsia="en-US"/>
                              </w:rPr>
                              <w:t>9</w:t>
                            </w:r>
                            <w:r w:rsidRPr="00B20578">
                              <w:rPr>
                                <w:rFonts w:ascii="Segoe UI" w:eastAsia="MS Mincho" w:hAnsi="Segoe UI" w:cs="Segoe UI"/>
                                <w:b/>
                                <w:color w:val="000000"/>
                                <w:kern w:val="24"/>
                                <w:sz w:val="9"/>
                                <w:szCs w:val="9"/>
                                <w:lang w:eastAsia="en-US"/>
                              </w:rPr>
                              <w:t>% ή 14,0% με πλήρη επίδραση του ΔΠΧΑ 9</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7008F40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27" o:spid="_x0000_s1036" type="#_x0000_t61" style="position:absolute;margin-left:276.55pt;margin-top:9.85pt;width:98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" adj="436,7784" filled="f" stroked="f" strokeweight="1pt">
                <v:path arrowok="t"/>
                <v:textbox>
                  <w:txbxContent>
                    <w:p w:rsidR="00D95F56" w:rsidRPr="00B20578" w:rsidRDefault="00D95F56" w:rsidP="00E55AED">
                      <w:pPr>
                        <w:pStyle w:val="Web"/>
                        <w:spacing w:before="0" w:beforeAutospacing="0" w:after="0" w:afterAutospacing="0"/>
                        <w:jc w:val="center"/>
                        <w:textAlignment w:val="baseline"/>
                        <w:rPr>
                          <w:b/>
                          <w:sz w:val="18"/>
                        </w:rPr>
                      </w:pPr>
                      <w:r w:rsidRPr="00B20578">
                        <w:rPr>
                          <w:rFonts w:ascii="Segoe UI" w:eastAsia="MS Mincho" w:hAnsi="Segoe UI" w:cs="Segoe UI"/>
                          <w:b/>
                          <w:color w:val="000000"/>
                          <w:kern w:val="24"/>
                          <w:sz w:val="9"/>
                          <w:szCs w:val="9"/>
                          <w:lang w:eastAsia="en-US"/>
                        </w:rPr>
                        <w:t>Συνολικός Δείκτης Κεφαλαιακής Επάρκειας στο 16,</w:t>
                      </w:r>
                      <w:r w:rsidRPr="00006BDB">
                        <w:rPr>
                          <w:rFonts w:ascii="Segoe UI" w:eastAsia="MS Mincho" w:hAnsi="Segoe UI" w:cs="Segoe UI"/>
                          <w:b/>
                          <w:color w:val="000000"/>
                          <w:kern w:val="24"/>
                          <w:sz w:val="9"/>
                          <w:szCs w:val="9"/>
                          <w:lang w:eastAsia="en-US"/>
                        </w:rPr>
                        <w:t>9</w:t>
                      </w:r>
                      <w:r w:rsidRPr="00B20578">
                        <w:rPr>
                          <w:rFonts w:ascii="Segoe UI" w:eastAsia="MS Mincho" w:hAnsi="Segoe UI" w:cs="Segoe UI"/>
                          <w:b/>
                          <w:color w:val="000000"/>
                          <w:kern w:val="24"/>
                          <w:sz w:val="9"/>
                          <w:szCs w:val="9"/>
                          <w:lang w:eastAsia="en-US"/>
                        </w:rPr>
                        <w:t>% ή 14,0% με πλήρη επίδραση του ΔΠΧΑ 9</w:t>
                      </w:r>
                    </w:p>
                  </w:txbxContent>
                </v:textbox>
              </v:shape>
            </w:pict>
          </mc:Fallback>
        </mc:AlternateContent>
      </w:r>
      <w:r w:rsidR="00AC0708">
        <w:rPr>
          <w:rFonts w:ascii="Segoe UI" w:hAnsi="Segoe UI" w:cs="Segoe UI"/>
          <w:noProof/>
          <w:sz w:val="20"/>
          <w:lang w:eastAsia="el-GR"/>
        </w:rPr>
        <mc:AlternateContent>
          <mc:Choice Requires="wps">
            <w:drawing>
              <wp:anchor distT="0" distB="0" distL="114300" distR="114300" simplePos="0" relativeHeight="251682304" behindDoc="0" locked="0" layoutInCell="1" allowOverlap="1" wp14:anchorId="7316688C" wp14:editId="3DB5AD09">
                <wp:simplePos x="0" y="0"/>
                <wp:positionH relativeFrom="column">
                  <wp:posOffset>239824</wp:posOffset>
                </wp:positionH>
                <wp:positionV relativeFrom="paragraph">
                  <wp:posOffset>1334135</wp:posOffset>
                </wp:positionV>
                <wp:extent cx="538480" cy="416560"/>
                <wp:effectExtent l="0" t="0" r="13970" b="2159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80" cy="416560"/>
                        </a:xfrm>
                        <a:prstGeom prst="rect">
                          <a:avLst/>
                        </a:prstGeom>
                        <a:solidFill>
                          <a:sysClr val="window" lastClr="FFFFFF"/>
                        </a:solidFill>
                        <a:ln w="9525" cap="flat" cmpd="sng" algn="ctr">
                          <a:solidFill>
                            <a:srgbClr val="008080"/>
                          </a:solidFill>
                          <a:prstDash val="solid"/>
                        </a:ln>
                        <a:effectLst/>
                      </wps:spPr>
                      <wps:txbx>
                        <w:txbxContent>
                          <w:p w:rsidR="00D95F56" w:rsidRPr="004C4BF5" w:rsidRDefault="00D95F56" w:rsidP="00A72714">
                            <w:pPr>
                              <w:pStyle w:val="Norm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sidRPr="004C4BF5">
                              <w:rPr>
                                <w:rFonts w:ascii="Calibri" w:eastAsia="MS Mincho" w:hAnsi="Calibri"/>
                                <w:color w:val="000000"/>
                                <w:kern w:val="24"/>
                                <w:sz w:val="10"/>
                                <w:szCs w:val="10"/>
                                <w:lang w:eastAsia="en-US"/>
                              </w:rPr>
                              <w:t>€3</w:t>
                            </w:r>
                            <w:r>
                              <w:rPr>
                                <w:rFonts w:ascii="Calibri" w:eastAsia="MS Mincho" w:hAnsi="Calibri"/>
                                <w:color w:val="000000"/>
                                <w:kern w:val="24"/>
                                <w:sz w:val="10"/>
                                <w:szCs w:val="10"/>
                                <w:lang w:eastAsia="en-US"/>
                              </w:rPr>
                              <w:t>6,1 δισ.</w:t>
                            </w: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7316688C" id="Rectangle 15" o:spid="_x0000_s1037" style="position:absolute;margin-left:18.9pt;margin-top:105.05pt;width:42.4pt;height:32.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" fillcolor="window" strokecolor="teal">
                <v:path arrowok="t"/>
                <v:textbox>
                  <w:txbxContent>
                    <w:p w:rsidR="00D95F56" w:rsidRPr="004C4BF5" w:rsidRDefault="00D95F56" w:rsidP="00A72714">
                      <w:pPr>
                        <w:pStyle w:v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sidRPr="004C4BF5">
                        <w:rPr>
                          <w:rFonts w:ascii="Calibri" w:eastAsia="MS Mincho" w:hAnsi="Calibri"/>
                          <w:color w:val="000000"/>
                          <w:kern w:val="24"/>
                          <w:sz w:val="10"/>
                          <w:szCs w:val="10"/>
                          <w:lang w:eastAsia="en-US"/>
                        </w:rPr>
                        <w:t>€3</w:t>
                      </w:r>
                      <w:r>
                        <w:rPr>
                          <w:rFonts w:ascii="Calibri" w:eastAsia="MS Mincho" w:hAnsi="Calibri"/>
                          <w:color w:val="000000"/>
                          <w:kern w:val="24"/>
                          <w:sz w:val="10"/>
                          <w:szCs w:val="10"/>
                          <w:lang w:eastAsia="en-US"/>
                        </w:rPr>
                        <w:t>6,1 δισ.</w:t>
                      </w:r>
                    </w:p>
                  </w:txbxContent>
                </v:textbox>
              </v:rect>
            </w:pict>
          </mc:Fallback>
        </mc:AlternateContent>
      </w:r>
      <w:r w:rsidR="00AC0708">
        <w:rPr>
          <w:rFonts w:ascii="Segoe UI" w:hAnsi="Segoe UI" w:cs="Segoe UI"/>
          <w:noProof/>
          <w:sz w:val="20"/>
          <w:lang w:eastAsia="el-GR"/>
        </w:rPr>
        <mc:AlternateContent>
          <mc:Choice Requires="wps">
            <w:drawing>
              <wp:anchor distT="0" distB="0" distL="114300" distR="114300" simplePos="0" relativeHeight="251671040" behindDoc="0" locked="0" layoutInCell="1" allowOverlap="1" wp14:anchorId="17288193" wp14:editId="07FF957C">
                <wp:simplePos x="0" y="0"/>
                <wp:positionH relativeFrom="column">
                  <wp:posOffset>287134</wp:posOffset>
                </wp:positionH>
                <wp:positionV relativeFrom="paragraph">
                  <wp:posOffset>959019</wp:posOffset>
                </wp:positionV>
                <wp:extent cx="431800" cy="288290"/>
                <wp:effectExtent l="0" t="0" r="25400" b="16510"/>
                <wp:wrapNone/>
                <wp:docPr id="5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288290"/>
                        </a:xfrm>
                        <a:prstGeom prst="rect">
                          <a:avLst/>
                        </a:prstGeom>
                        <a:solidFill>
                          <a:sysClr val="window" lastClr="FFFFFF"/>
                        </a:solidFill>
                        <a:ln w="9525" cap="flat" cmpd="sng" algn="ctr">
                          <a:solidFill>
                            <a:srgbClr val="008080"/>
                          </a:solidFill>
                          <a:prstDash val="solid"/>
                        </a:ln>
                        <a:effectLst/>
                      </wps:spPr>
                      <wps:txbx>
                        <w:txbxContent>
                          <w:p w:rsidR="00D95F56" w:rsidRPr="007F5EB5" w:rsidRDefault="00D95F56" w:rsidP="00E55AED">
                            <w:pPr>
                              <w:pStyle w:val="NormalWeb"/>
                              <w:spacing w:before="0" w:beforeAutospacing="0" w:after="0" w:afterAutospacing="0"/>
                              <w:jc w:val="center"/>
                              <w:textAlignment w:val="baseline"/>
                              <w:rPr>
                                <w:rFonts w:asciiTheme="minorHAnsi" w:hAnsi="Calibri" w:cstheme="minorBidi"/>
                                <w:color w:val="000000" w:themeColor="text1"/>
                                <w:kern w:val="24"/>
                                <w:sz w:val="10"/>
                                <w:szCs w:val="16"/>
                                <w:lang w:val="en-US"/>
                              </w:rPr>
                            </w:pPr>
                            <w:r w:rsidRPr="007F5EB5">
                              <w:rPr>
                                <w:rFonts w:asciiTheme="minorHAnsi" w:hAnsi="Calibri" w:cstheme="minorBidi"/>
                                <w:color w:val="000000" w:themeColor="text1"/>
                                <w:kern w:val="24"/>
                                <w:sz w:val="10"/>
                                <w:szCs w:val="16"/>
                                <w:lang w:val="en-US"/>
                              </w:rPr>
                              <w:t xml:space="preserve">CET1: </w:t>
                            </w:r>
                          </w:p>
                          <w:p w:rsidR="00D95F56" w:rsidRPr="007F5EB5" w:rsidRDefault="00D95F56" w:rsidP="00E55AED">
                            <w:pPr>
                              <w:pStyle w:val="NormalWeb"/>
                              <w:spacing w:before="0" w:beforeAutospacing="0" w:after="0" w:afterAutospacing="0"/>
                              <w:jc w:val="center"/>
                              <w:textAlignment w:val="baseline"/>
                              <w:rPr>
                                <w:sz w:val="16"/>
                              </w:rPr>
                            </w:pPr>
                            <w:r w:rsidRPr="007F5EB5">
                              <w:rPr>
                                <w:rFonts w:asciiTheme="minorHAnsi" w:hAnsi="Calibri" w:cstheme="minorBidi"/>
                                <w:color w:val="000000" w:themeColor="text1"/>
                                <w:kern w:val="24"/>
                                <w:sz w:val="10"/>
                                <w:szCs w:val="16"/>
                              </w:rPr>
                              <w:t>€</w:t>
                            </w:r>
                            <w:r>
                              <w:rPr>
                                <w:rFonts w:asciiTheme="minorHAnsi" w:hAnsi="Calibri" w:cstheme="minorBidi"/>
                                <w:color w:val="000000" w:themeColor="text1"/>
                                <w:kern w:val="24"/>
                                <w:sz w:val="10"/>
                                <w:szCs w:val="16"/>
                              </w:rPr>
                              <w:t>5</w:t>
                            </w:r>
                            <w:r w:rsidRPr="007F5EB5">
                              <w:rPr>
                                <w:rFonts w:asciiTheme="minorHAnsi" w:hAnsi="Calibri" w:cstheme="minorBidi"/>
                                <w:color w:val="000000" w:themeColor="text1"/>
                                <w:kern w:val="24"/>
                                <w:sz w:val="10"/>
                                <w:szCs w:val="16"/>
                              </w:rPr>
                              <w:t>,</w:t>
                            </w:r>
                            <w:r>
                              <w:rPr>
                                <w:rFonts w:asciiTheme="minorHAnsi" w:hAnsi="Calibri" w:cstheme="minorBidi"/>
                                <w:color w:val="000000" w:themeColor="text1"/>
                                <w:kern w:val="24"/>
                                <w:sz w:val="10"/>
                                <w:szCs w:val="16"/>
                              </w:rPr>
                              <w:t>7</w:t>
                            </w:r>
                            <w:r w:rsidRPr="007F5EB5">
                              <w:rPr>
                                <w:rFonts w:asciiTheme="minorHAnsi" w:hAnsi="Calibri" w:cstheme="minorBidi"/>
                                <w:color w:val="000000" w:themeColor="text1"/>
                                <w:kern w:val="24"/>
                                <w:sz w:val="10"/>
                                <w:szCs w:val="16"/>
                              </w:rPr>
                              <w:t xml:space="preserve"> δισ.</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17288193" id="_x0000_s1038" style="position:absolute;margin-left:22.6pt;margin-top:75.5pt;width:34pt;height:2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" fillcolor="window" strokecolor="teal">
                <v:path arrowok="t"/>
                <v:textbox>
                  <w:txbxContent>
                    <w:p w:rsidR="00D95F56" w:rsidRPr="007F5EB5" w:rsidRDefault="00D95F56" w:rsidP="00E55AED">
                      <w:pPr>
                        <w:pStyle w:val="Web"/>
                        <w:spacing w:before="0" w:beforeAutospacing="0" w:after="0" w:afterAutospacing="0"/>
                        <w:jc w:val="center"/>
                        <w:textAlignment w:val="baseline"/>
                        <w:rPr>
                          <w:rFonts w:asciiTheme="minorHAnsi" w:hAnsi="Calibri" w:cstheme="minorBidi"/>
                          <w:color w:val="000000" w:themeColor="text1"/>
                          <w:kern w:val="24"/>
                          <w:sz w:val="10"/>
                          <w:szCs w:val="16"/>
                          <w:lang w:val="en-US"/>
                        </w:rPr>
                      </w:pPr>
                      <w:r w:rsidRPr="007F5EB5">
                        <w:rPr>
                          <w:rFonts w:asciiTheme="minorHAnsi" w:hAnsi="Calibri" w:cstheme="minorBidi"/>
                          <w:color w:val="000000" w:themeColor="text1"/>
                          <w:kern w:val="24"/>
                          <w:sz w:val="10"/>
                          <w:szCs w:val="16"/>
                          <w:lang w:val="en-US"/>
                        </w:rPr>
                        <w:t xml:space="preserve">CET1: </w:t>
                      </w:r>
                    </w:p>
                    <w:p w:rsidR="00D95F56" w:rsidRPr="007F5EB5" w:rsidRDefault="00D95F56" w:rsidP="00E55AED">
                      <w:pPr>
                        <w:pStyle w:val="Web"/>
                        <w:spacing w:before="0" w:beforeAutospacing="0" w:after="0" w:afterAutospacing="0"/>
                        <w:jc w:val="center"/>
                        <w:textAlignment w:val="baseline"/>
                        <w:rPr>
                          <w:sz w:val="16"/>
                        </w:rPr>
                      </w:pPr>
                      <w:r w:rsidRPr="007F5EB5">
                        <w:rPr>
                          <w:rFonts w:asciiTheme="minorHAnsi" w:hAnsi="Calibri" w:cstheme="minorBidi"/>
                          <w:color w:val="000000" w:themeColor="text1"/>
                          <w:kern w:val="24"/>
                          <w:sz w:val="10"/>
                          <w:szCs w:val="16"/>
                        </w:rPr>
                        <w:t>€</w:t>
                      </w:r>
                      <w:r>
                        <w:rPr>
                          <w:rFonts w:asciiTheme="minorHAnsi" w:hAnsi="Calibri" w:cstheme="minorBidi"/>
                          <w:color w:val="000000" w:themeColor="text1"/>
                          <w:kern w:val="24"/>
                          <w:sz w:val="10"/>
                          <w:szCs w:val="16"/>
                        </w:rPr>
                        <w:t>5</w:t>
                      </w:r>
                      <w:r w:rsidRPr="007F5EB5">
                        <w:rPr>
                          <w:rFonts w:asciiTheme="minorHAnsi" w:hAnsi="Calibri" w:cstheme="minorBidi"/>
                          <w:color w:val="000000" w:themeColor="text1"/>
                          <w:kern w:val="24"/>
                          <w:sz w:val="10"/>
                          <w:szCs w:val="16"/>
                        </w:rPr>
                        <w:t>,</w:t>
                      </w:r>
                      <w:r>
                        <w:rPr>
                          <w:rFonts w:asciiTheme="minorHAnsi" w:hAnsi="Calibri" w:cstheme="minorBidi"/>
                          <w:color w:val="000000" w:themeColor="text1"/>
                          <w:kern w:val="24"/>
                          <w:sz w:val="10"/>
                          <w:szCs w:val="16"/>
                        </w:rPr>
                        <w:t>7</w:t>
                      </w:r>
                      <w:r w:rsidRPr="007F5EB5">
                        <w:rPr>
                          <w:rFonts w:asciiTheme="minorHAnsi" w:hAnsi="Calibri" w:cstheme="minorBidi"/>
                          <w:color w:val="000000" w:themeColor="text1"/>
                          <w:kern w:val="24"/>
                          <w:sz w:val="10"/>
                          <w:szCs w:val="16"/>
                        </w:rPr>
                        <w:t xml:space="preserve"> δισ.</w:t>
                      </w:r>
                    </w:p>
                  </w:txbxContent>
                </v:textbox>
              </v:rect>
            </w:pict>
          </mc:Fallback>
        </mc:AlternateContent>
      </w:r>
      <w:r w:rsidR="00AC0708">
        <w:rPr>
          <w:rFonts w:ascii="Segoe UI" w:hAnsi="Segoe UI" w:cs="Segoe UI"/>
          <w:noProof/>
          <w:sz w:val="20"/>
          <w:lang w:eastAsia="el-GR"/>
        </w:rPr>
        <mc:AlternateContent>
          <mc:Choice Requires="wps">
            <w:drawing>
              <wp:anchor distT="0" distB="0" distL="114300" distR="114300" simplePos="0" relativeHeight="251670016" behindDoc="0" locked="0" layoutInCell="1" allowOverlap="1" wp14:anchorId="362BB7F1" wp14:editId="463C6CD8">
                <wp:simplePos x="0" y="0"/>
                <wp:positionH relativeFrom="column">
                  <wp:posOffset>4497276</wp:posOffset>
                </wp:positionH>
                <wp:positionV relativeFrom="paragraph">
                  <wp:posOffset>1062282</wp:posOffset>
                </wp:positionV>
                <wp:extent cx="467995" cy="287655"/>
                <wp:effectExtent l="95250" t="0" r="27305" b="17145"/>
                <wp:wrapNone/>
                <wp:docPr id="45" name="Rectangular Callou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287655"/>
                        </a:xfrm>
                        <a:prstGeom prst="wedgeRectCallout">
                          <a:avLst>
                            <a:gd name="adj1" fmla="val -69986"/>
                            <a:gd name="adj2" fmla="val -44823"/>
                          </a:avLst>
                        </a:prstGeom>
                        <a:solidFill>
                          <a:sysClr val="window" lastClr="FFFFFF"/>
                        </a:solidFill>
                        <a:ln w="12700" cap="flat" cmpd="sng" algn="ctr">
                          <a:solidFill>
                            <a:schemeClr val="bg1">
                              <a:lumMod val="50000"/>
                            </a:schemeClr>
                          </a:solidFill>
                          <a:prstDash val="solid"/>
                        </a:ln>
                        <a:effectLst/>
                      </wps:spPr>
                      <wps:txbx>
                        <w:txbxContent>
                          <w:p w:rsidR="00D95F56" w:rsidRPr="007F5EB5" w:rsidRDefault="00D95F56" w:rsidP="00E55AED">
                            <w:pPr>
                              <w:pStyle w:val="Norm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CET1 FL</w:t>
                            </w:r>
                            <w:r w:rsidRPr="007F5EB5">
                              <w:rPr>
                                <w:rFonts w:asciiTheme="minorHAnsi" w:hAnsi="Calibri" w:cstheme="minorBidi"/>
                                <w:color w:val="000000" w:themeColor="text1"/>
                                <w:kern w:val="24"/>
                                <w:sz w:val="8"/>
                                <w:szCs w:val="16"/>
                                <w:lang w:val="en-US"/>
                              </w:rPr>
                              <w:t xml:space="preserve">: </w:t>
                            </w:r>
                            <w:r w:rsidRPr="007F5EB5">
                              <w:rPr>
                                <w:rFonts w:asciiTheme="minorHAnsi" w:hAnsi="Calibri" w:cstheme="minorBidi"/>
                                <w:color w:val="000000" w:themeColor="text1"/>
                                <w:kern w:val="24"/>
                                <w:sz w:val="10"/>
                                <w:szCs w:val="16"/>
                                <w:lang w:val="en-US"/>
                              </w:rPr>
                              <w:t>1</w:t>
                            </w:r>
                            <w:r>
                              <w:rPr>
                                <w:rFonts w:asciiTheme="minorHAnsi" w:hAnsi="Calibri" w:cstheme="minorBidi"/>
                                <w:color w:val="000000" w:themeColor="text1"/>
                                <w:kern w:val="24"/>
                                <w:sz w:val="10"/>
                                <w:szCs w:val="16"/>
                              </w:rPr>
                              <w:t>3,0</w:t>
                            </w:r>
                            <w:r w:rsidRPr="007F5EB5">
                              <w:rPr>
                                <w:rFonts w:asciiTheme="minorHAnsi" w:hAnsi="Calibri" w:cstheme="minorBidi"/>
                                <w:color w:val="000000" w:themeColor="text1"/>
                                <w:kern w:val="24"/>
                                <w:sz w:val="10"/>
                                <w:szCs w:val="16"/>
                                <w:lang w:val="en-US"/>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362BB7F1" id="Rectangular Callout 28" o:spid="_x0000_s1039" type="#_x0000_t61" style="position:absolute;margin-left:354.1pt;margin-top:83.65pt;width:36.85pt;height:2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" adj="-4317,1118" fillcolor="window" strokecolor="#7f7f7f [1612]" strokeweight="1pt">
                <v:path arrowok="t"/>
                <v:textbox>
                  <w:txbxContent>
                    <w:p w:rsidR="00D95F56" w:rsidRPr="007F5EB5" w:rsidRDefault="00D95F56" w:rsidP="00E55AED">
                      <w:pPr>
                        <w:pStyle w:v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CET1 FL</w:t>
                      </w:r>
                      <w:r w:rsidRPr="007F5EB5">
                        <w:rPr>
                          <w:rFonts w:asciiTheme="minorHAnsi" w:hAnsi="Calibri" w:cstheme="minorBidi"/>
                          <w:color w:val="000000" w:themeColor="text1"/>
                          <w:kern w:val="24"/>
                          <w:sz w:val="8"/>
                          <w:szCs w:val="16"/>
                          <w:lang w:val="en-US"/>
                        </w:rPr>
                        <w:t xml:space="preserve">: </w:t>
                      </w:r>
                      <w:r w:rsidRPr="007F5EB5">
                        <w:rPr>
                          <w:rFonts w:asciiTheme="minorHAnsi" w:hAnsi="Calibri" w:cstheme="minorBidi"/>
                          <w:color w:val="000000" w:themeColor="text1"/>
                          <w:kern w:val="24"/>
                          <w:sz w:val="10"/>
                          <w:szCs w:val="16"/>
                          <w:lang w:val="en-US"/>
                        </w:rPr>
                        <w:t>1</w:t>
                      </w:r>
                      <w:r>
                        <w:rPr>
                          <w:rFonts w:asciiTheme="minorHAnsi" w:hAnsi="Calibri" w:cstheme="minorBidi"/>
                          <w:color w:val="000000" w:themeColor="text1"/>
                          <w:kern w:val="24"/>
                          <w:sz w:val="10"/>
                          <w:szCs w:val="16"/>
                        </w:rPr>
                        <w:t>3,0</w:t>
                      </w:r>
                      <w:r w:rsidRPr="007F5EB5">
                        <w:rPr>
                          <w:rFonts w:asciiTheme="minorHAnsi" w:hAnsi="Calibri" w:cstheme="minorBidi"/>
                          <w:color w:val="000000" w:themeColor="text1"/>
                          <w:kern w:val="24"/>
                          <w:sz w:val="10"/>
                          <w:szCs w:val="16"/>
                          <w:lang w:val="en-US"/>
                        </w:rPr>
                        <w:t>%</w:t>
                      </w:r>
                    </w:p>
                  </w:txbxContent>
                </v:textbox>
              </v:shape>
            </w:pict>
          </mc:Fallback>
        </mc:AlternateContent>
      </w:r>
      <w:r w:rsidR="00AC0708" w:rsidRPr="007F5EB5">
        <w:rPr>
          <w:rFonts w:ascii="Segoe UI" w:hAnsi="Segoe UI" w:cs="Segoe UI"/>
          <w:noProof/>
          <w:sz w:val="20"/>
          <w:lang w:eastAsia="el-GR"/>
        </w:rPr>
        <mc:AlternateContent>
          <mc:Choice Requires="wps">
            <w:drawing>
              <wp:anchor distT="0" distB="0" distL="114300" distR="114300" simplePos="0" relativeHeight="251684352" behindDoc="0" locked="0" layoutInCell="1" allowOverlap="1" wp14:anchorId="35F0D931" wp14:editId="73C8F87A">
                <wp:simplePos x="0" y="0"/>
                <wp:positionH relativeFrom="column">
                  <wp:posOffset>3870325</wp:posOffset>
                </wp:positionH>
                <wp:positionV relativeFrom="paragraph">
                  <wp:posOffset>1320371</wp:posOffset>
                </wp:positionV>
                <wp:extent cx="538480" cy="416560"/>
                <wp:effectExtent l="0" t="0" r="13970" b="2159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80" cy="416560"/>
                        </a:xfrm>
                        <a:prstGeom prst="rect">
                          <a:avLst/>
                        </a:prstGeom>
                        <a:solidFill>
                          <a:sysClr val="window" lastClr="FFFFFF"/>
                        </a:solidFill>
                        <a:ln w="9525" cap="flat" cmpd="sng" algn="ctr">
                          <a:solidFill>
                            <a:srgbClr val="008080"/>
                          </a:solidFill>
                          <a:prstDash val="solid"/>
                        </a:ln>
                        <a:effectLst/>
                      </wps:spPr>
                      <wps:txbx>
                        <w:txbxContent>
                          <w:p w:rsidR="00D95F56" w:rsidRPr="004C4BF5" w:rsidRDefault="00D95F56" w:rsidP="007F5EB5">
                            <w:pPr>
                              <w:pStyle w:val="Norm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Pr>
                                <w:rFonts w:ascii="Calibri" w:eastAsia="MS Mincho" w:hAnsi="Calibri"/>
                                <w:color w:val="000000"/>
                                <w:kern w:val="24"/>
                                <w:sz w:val="10"/>
                                <w:szCs w:val="10"/>
                                <w:lang w:eastAsia="en-US"/>
                              </w:rPr>
                              <w:t>€36</w:t>
                            </w:r>
                            <w:r>
                              <w:rPr>
                                <w:rFonts w:ascii="Calibri" w:eastAsia="MS Mincho" w:hAnsi="Calibri"/>
                                <w:color w:val="000000"/>
                                <w:kern w:val="24"/>
                                <w:sz w:val="10"/>
                                <w:szCs w:val="10"/>
                                <w:lang w:val="en-US" w:eastAsia="en-US"/>
                              </w:rPr>
                              <w:t>,2</w:t>
                            </w:r>
                            <w:r>
                              <w:rPr>
                                <w:rFonts w:ascii="Calibri" w:eastAsia="MS Mincho" w:hAnsi="Calibri"/>
                                <w:color w:val="000000"/>
                                <w:kern w:val="24"/>
                                <w:sz w:val="10"/>
                                <w:szCs w:val="10"/>
                                <w:lang w:eastAsia="en-US"/>
                              </w:rPr>
                              <w:t xml:space="preserve"> δισ.</w:t>
                            </w: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35F0D931" id="_x0000_s1040" style="position:absolute;margin-left:304.75pt;margin-top:103.95pt;width:42.4pt;height:32.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" fillcolor="window" strokecolor="teal">
                <v:path arrowok="t"/>
                <v:textbox>
                  <w:txbxContent>
                    <w:p w:rsidR="00D95F56" w:rsidRPr="004C4BF5" w:rsidRDefault="00D95F56" w:rsidP="007F5EB5">
                      <w:pPr>
                        <w:pStyle w:v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Pr>
                          <w:rFonts w:ascii="Calibri" w:eastAsia="MS Mincho" w:hAnsi="Calibri"/>
                          <w:color w:val="000000"/>
                          <w:kern w:val="24"/>
                          <w:sz w:val="10"/>
                          <w:szCs w:val="10"/>
                          <w:lang w:eastAsia="en-US"/>
                        </w:rPr>
                        <w:t>€36</w:t>
                      </w:r>
                      <w:r>
                        <w:rPr>
                          <w:rFonts w:ascii="Calibri" w:eastAsia="MS Mincho" w:hAnsi="Calibri"/>
                          <w:color w:val="000000"/>
                          <w:kern w:val="24"/>
                          <w:sz w:val="10"/>
                          <w:szCs w:val="10"/>
                          <w:lang w:val="en-US" w:eastAsia="en-US"/>
                        </w:rPr>
                        <w:t>,2</w:t>
                      </w:r>
                      <w:r>
                        <w:rPr>
                          <w:rFonts w:ascii="Calibri" w:eastAsia="MS Mincho" w:hAnsi="Calibri"/>
                          <w:color w:val="000000"/>
                          <w:kern w:val="24"/>
                          <w:sz w:val="10"/>
                          <w:szCs w:val="10"/>
                          <w:lang w:eastAsia="en-US"/>
                        </w:rPr>
                        <w:t xml:space="preserve"> δισ.</w:t>
                      </w:r>
                    </w:p>
                  </w:txbxContent>
                </v:textbox>
              </v:rect>
            </w:pict>
          </mc:Fallback>
        </mc:AlternateContent>
      </w:r>
      <w:r w:rsidR="00AC0708">
        <w:rPr>
          <w:rFonts w:ascii="Segoe UI" w:hAnsi="Segoe UI" w:cs="Segoe UI"/>
          <w:noProof/>
          <w:sz w:val="20"/>
          <w:lang w:eastAsia="el-GR"/>
        </w:rPr>
        <mc:AlternateContent>
          <mc:Choice Requires="wps">
            <w:drawing>
              <wp:anchor distT="0" distB="0" distL="114300" distR="114300" simplePos="0" relativeHeight="251649024" behindDoc="0" locked="0" layoutInCell="1" allowOverlap="1" wp14:anchorId="7DBBF494" wp14:editId="2EA2C874">
                <wp:simplePos x="0" y="0"/>
                <wp:positionH relativeFrom="column">
                  <wp:posOffset>3914364</wp:posOffset>
                </wp:positionH>
                <wp:positionV relativeFrom="paragraph">
                  <wp:posOffset>940604</wp:posOffset>
                </wp:positionV>
                <wp:extent cx="431800" cy="288290"/>
                <wp:effectExtent l="0" t="0" r="25400" b="16510"/>
                <wp:wrapNone/>
                <wp:docPr id="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288290"/>
                        </a:xfrm>
                        <a:prstGeom prst="rect">
                          <a:avLst/>
                        </a:prstGeom>
                        <a:solidFill>
                          <a:sysClr val="window" lastClr="FFFFFF"/>
                        </a:solidFill>
                        <a:ln w="9525" cap="flat" cmpd="sng" algn="ctr">
                          <a:solidFill>
                            <a:srgbClr val="008080"/>
                          </a:solidFill>
                          <a:prstDash val="solid"/>
                        </a:ln>
                        <a:effectLst/>
                      </wps:spPr>
                      <wps:txbx>
                        <w:txbxContent>
                          <w:p w:rsidR="00D95F56" w:rsidRPr="007F5EB5" w:rsidRDefault="00D95F56" w:rsidP="00E55AED">
                            <w:pPr>
                              <w:pStyle w:val="Norm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 xml:space="preserve">CET1: </w:t>
                            </w:r>
                            <w:r w:rsidRPr="007F5EB5">
                              <w:rPr>
                                <w:rFonts w:asciiTheme="minorHAnsi" w:hAnsi="Calibri" w:cstheme="minorBidi"/>
                                <w:color w:val="000000" w:themeColor="text1"/>
                                <w:kern w:val="24"/>
                                <w:sz w:val="10"/>
                                <w:szCs w:val="16"/>
                              </w:rPr>
                              <w:t>€5</w:t>
                            </w:r>
                            <w:r w:rsidRPr="007F5EB5">
                              <w:rPr>
                                <w:rFonts w:asciiTheme="minorHAnsi" w:hAnsi="Calibri" w:cstheme="minorBidi"/>
                                <w:color w:val="000000" w:themeColor="text1"/>
                                <w:kern w:val="24"/>
                                <w:sz w:val="10"/>
                                <w:szCs w:val="16"/>
                                <w:lang w:val="en-US"/>
                              </w:rPr>
                              <w:t>,</w:t>
                            </w:r>
                            <w:r>
                              <w:rPr>
                                <w:rFonts w:asciiTheme="minorHAnsi" w:hAnsi="Calibri" w:cstheme="minorBidi"/>
                                <w:color w:val="000000" w:themeColor="text1"/>
                                <w:kern w:val="24"/>
                                <w:sz w:val="10"/>
                                <w:szCs w:val="16"/>
                                <w:lang w:val="en-US"/>
                              </w:rPr>
                              <w:t xml:space="preserve">8 </w:t>
                            </w:r>
                            <w:r w:rsidRPr="007F5EB5">
                              <w:rPr>
                                <w:rFonts w:asciiTheme="minorHAnsi" w:hAnsi="Calibri" w:cstheme="minorBidi"/>
                                <w:color w:val="000000" w:themeColor="text1"/>
                                <w:kern w:val="24"/>
                                <w:sz w:val="10"/>
                                <w:szCs w:val="16"/>
                                <w:lang w:val="en-US"/>
                              </w:rPr>
                              <w:t>δισ</w:t>
                            </w:r>
                            <w:r>
                              <w:rPr>
                                <w:rFonts w:asciiTheme="minorHAnsi" w:hAnsi="Calibri" w:cstheme="minorBidi"/>
                                <w:color w:val="000000" w:themeColor="text1"/>
                                <w:kern w:val="24"/>
                                <w:sz w:val="10"/>
                                <w:szCs w:val="16"/>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7DBBF494" id="_x0000_s1041" style="position:absolute;margin-left:308.2pt;margin-top:74.05pt;width:34pt;height:2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" fillcolor="window" strokecolor="teal">
                <v:path arrowok="t"/>
                <v:textbox>
                  <w:txbxContent>
                    <w:p w:rsidR="00D95F56" w:rsidRPr="007F5EB5" w:rsidRDefault="00D95F56" w:rsidP="00E55AED">
                      <w:pPr>
                        <w:pStyle w:v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 xml:space="preserve">CET1: </w:t>
                      </w:r>
                      <w:r w:rsidRPr="007F5EB5">
                        <w:rPr>
                          <w:rFonts w:asciiTheme="minorHAnsi" w:hAnsi="Calibri" w:cstheme="minorBidi"/>
                          <w:color w:val="000000" w:themeColor="text1"/>
                          <w:kern w:val="24"/>
                          <w:sz w:val="10"/>
                          <w:szCs w:val="16"/>
                        </w:rPr>
                        <w:t>€5</w:t>
                      </w:r>
                      <w:r w:rsidRPr="007F5EB5">
                        <w:rPr>
                          <w:rFonts w:asciiTheme="minorHAnsi" w:hAnsi="Calibri" w:cstheme="minorBidi"/>
                          <w:color w:val="000000" w:themeColor="text1"/>
                          <w:kern w:val="24"/>
                          <w:sz w:val="10"/>
                          <w:szCs w:val="16"/>
                          <w:lang w:val="en-US"/>
                        </w:rPr>
                        <w:t>,</w:t>
                      </w:r>
                      <w:r>
                        <w:rPr>
                          <w:rFonts w:asciiTheme="minorHAnsi" w:hAnsi="Calibri" w:cstheme="minorBidi"/>
                          <w:color w:val="000000" w:themeColor="text1"/>
                          <w:kern w:val="24"/>
                          <w:sz w:val="10"/>
                          <w:szCs w:val="16"/>
                          <w:lang w:val="en-US"/>
                        </w:rPr>
                        <w:t xml:space="preserve">8 </w:t>
                      </w:r>
                      <w:r w:rsidRPr="007F5EB5">
                        <w:rPr>
                          <w:rFonts w:asciiTheme="minorHAnsi" w:hAnsi="Calibri" w:cstheme="minorBidi"/>
                          <w:color w:val="000000" w:themeColor="text1"/>
                          <w:kern w:val="24"/>
                          <w:sz w:val="10"/>
                          <w:szCs w:val="16"/>
                          <w:lang w:val="en-US"/>
                        </w:rPr>
                        <w:t>δισ</w:t>
                      </w:r>
                      <w:r>
                        <w:rPr>
                          <w:rFonts w:asciiTheme="minorHAnsi" w:hAnsi="Calibri" w:cstheme="minorBidi"/>
                          <w:color w:val="000000" w:themeColor="text1"/>
                          <w:kern w:val="24"/>
                          <w:sz w:val="10"/>
                          <w:szCs w:val="16"/>
                        </w:rPr>
                        <w:t>.</w:t>
                      </w:r>
                    </w:p>
                  </w:txbxContent>
                </v:textbox>
              </v:rect>
            </w:pict>
          </mc:Fallback>
        </mc:AlternateContent>
      </w:r>
      <w:r w:rsidR="00AC0708">
        <w:rPr>
          <w:rFonts w:ascii="Segoe UI" w:hAnsi="Segoe UI" w:cs="Segoe UI"/>
          <w:noProof/>
          <w:sz w:val="20"/>
          <w:lang w:eastAsia="el-GR"/>
        </w:rPr>
        <mc:AlternateContent>
          <mc:Choice Requires="wps">
            <w:drawing>
              <wp:anchor distT="0" distB="0" distL="114300" distR="114300" simplePos="0" relativeHeight="251672064" behindDoc="0" locked="0" layoutInCell="1" allowOverlap="1" wp14:anchorId="220264B0" wp14:editId="50DD7C64">
                <wp:simplePos x="0" y="0"/>
                <wp:positionH relativeFrom="column">
                  <wp:posOffset>5115153</wp:posOffset>
                </wp:positionH>
                <wp:positionV relativeFrom="paragraph">
                  <wp:posOffset>1142325</wp:posOffset>
                </wp:positionV>
                <wp:extent cx="467995" cy="287655"/>
                <wp:effectExtent l="0" t="0" r="103505" b="17145"/>
                <wp:wrapNone/>
                <wp:docPr id="51" name="Rectangular Callou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287655"/>
                        </a:xfrm>
                        <a:prstGeom prst="wedgeRectCallout">
                          <a:avLst>
                            <a:gd name="adj1" fmla="val 64697"/>
                            <a:gd name="adj2" fmla="val -40090"/>
                          </a:avLst>
                        </a:prstGeom>
                        <a:solidFill>
                          <a:sysClr val="window" lastClr="FFFFFF"/>
                        </a:solidFill>
                        <a:ln w="12700" cap="flat" cmpd="sng" algn="ctr">
                          <a:solidFill>
                            <a:schemeClr val="bg1">
                              <a:lumMod val="50000"/>
                            </a:schemeClr>
                          </a:solidFill>
                          <a:prstDash val="solid"/>
                        </a:ln>
                        <a:effectLst/>
                      </wps:spPr>
                      <wps:txbx>
                        <w:txbxContent>
                          <w:p w:rsidR="00D95F56" w:rsidRPr="007F5EB5" w:rsidRDefault="00D95F56" w:rsidP="00E55AED">
                            <w:pPr>
                              <w:pStyle w:val="Norm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C</w:t>
                            </w:r>
                            <w:r>
                              <w:rPr>
                                <w:rFonts w:asciiTheme="minorHAnsi" w:hAnsi="Calibri" w:cstheme="minorBidi"/>
                                <w:color w:val="000000" w:themeColor="text1"/>
                                <w:kern w:val="24"/>
                                <w:sz w:val="10"/>
                                <w:szCs w:val="16"/>
                                <w:lang w:val="en-US"/>
                              </w:rPr>
                              <w:t>ET1 FL: 1</w:t>
                            </w:r>
                            <w:r>
                              <w:rPr>
                                <w:rFonts w:asciiTheme="minorHAnsi" w:hAnsi="Calibri" w:cstheme="minorBidi"/>
                                <w:color w:val="000000" w:themeColor="text1"/>
                                <w:kern w:val="24"/>
                                <w:sz w:val="10"/>
                                <w:szCs w:val="16"/>
                              </w:rPr>
                              <w:t>3</w:t>
                            </w:r>
                            <w:r w:rsidRPr="007F5EB5">
                              <w:rPr>
                                <w:rFonts w:asciiTheme="minorHAnsi" w:hAnsi="Calibri" w:cstheme="minorBidi"/>
                                <w:color w:val="000000" w:themeColor="text1"/>
                                <w:kern w:val="24"/>
                                <w:sz w:val="10"/>
                                <w:szCs w:val="16"/>
                                <w:lang w:val="en-US"/>
                              </w:rPr>
                              <w:t>,</w:t>
                            </w:r>
                            <w:r>
                              <w:rPr>
                                <w:rFonts w:asciiTheme="minorHAnsi" w:hAnsi="Calibri" w:cstheme="minorBidi"/>
                                <w:color w:val="000000" w:themeColor="text1"/>
                                <w:kern w:val="24"/>
                                <w:sz w:val="10"/>
                                <w:szCs w:val="16"/>
                              </w:rPr>
                              <w:t>1</w:t>
                            </w:r>
                            <w:r w:rsidRPr="007F5EB5">
                              <w:rPr>
                                <w:rFonts w:asciiTheme="minorHAnsi" w:hAnsi="Calibri" w:cstheme="minorBidi"/>
                                <w:color w:val="000000" w:themeColor="text1"/>
                                <w:kern w:val="24"/>
                                <w:sz w:val="10"/>
                                <w:szCs w:val="16"/>
                                <w:lang w:val="en-US"/>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220264B0" id="_x0000_s1042" type="#_x0000_t61" style="position:absolute;margin-left:402.75pt;margin-top:89.95pt;width:36.85pt;height:22.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" adj="24775,2141" fillcolor="window" strokecolor="#7f7f7f [1612]" strokeweight="1pt">
                <v:path arrowok="t"/>
                <v:textbox>
                  <w:txbxContent>
                    <w:p w:rsidR="00D95F56" w:rsidRPr="007F5EB5" w:rsidRDefault="00D95F56" w:rsidP="00E55AED">
                      <w:pPr>
                        <w:pStyle w:v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C</w:t>
                      </w:r>
                      <w:r>
                        <w:rPr>
                          <w:rFonts w:asciiTheme="minorHAnsi" w:hAnsi="Calibri" w:cstheme="minorBidi"/>
                          <w:color w:val="000000" w:themeColor="text1"/>
                          <w:kern w:val="24"/>
                          <w:sz w:val="10"/>
                          <w:szCs w:val="16"/>
                          <w:lang w:val="en-US"/>
                        </w:rPr>
                        <w:t>ET1 FL: 1</w:t>
                      </w:r>
                      <w:r>
                        <w:rPr>
                          <w:rFonts w:asciiTheme="minorHAnsi" w:hAnsi="Calibri" w:cstheme="minorBidi"/>
                          <w:color w:val="000000" w:themeColor="text1"/>
                          <w:kern w:val="24"/>
                          <w:sz w:val="10"/>
                          <w:szCs w:val="16"/>
                        </w:rPr>
                        <w:t>3</w:t>
                      </w:r>
                      <w:r w:rsidRPr="007F5EB5">
                        <w:rPr>
                          <w:rFonts w:asciiTheme="minorHAnsi" w:hAnsi="Calibri" w:cstheme="minorBidi"/>
                          <w:color w:val="000000" w:themeColor="text1"/>
                          <w:kern w:val="24"/>
                          <w:sz w:val="10"/>
                          <w:szCs w:val="16"/>
                          <w:lang w:val="en-US"/>
                        </w:rPr>
                        <w:t>,</w:t>
                      </w:r>
                      <w:r>
                        <w:rPr>
                          <w:rFonts w:asciiTheme="minorHAnsi" w:hAnsi="Calibri" w:cstheme="minorBidi"/>
                          <w:color w:val="000000" w:themeColor="text1"/>
                          <w:kern w:val="24"/>
                          <w:sz w:val="10"/>
                          <w:szCs w:val="16"/>
                        </w:rPr>
                        <w:t>1</w:t>
                      </w:r>
                      <w:r w:rsidRPr="007F5EB5">
                        <w:rPr>
                          <w:rFonts w:asciiTheme="minorHAnsi" w:hAnsi="Calibri" w:cstheme="minorBidi"/>
                          <w:color w:val="000000" w:themeColor="text1"/>
                          <w:kern w:val="24"/>
                          <w:sz w:val="10"/>
                          <w:szCs w:val="16"/>
                          <w:lang w:val="en-US"/>
                        </w:rPr>
                        <w:t>%</w:t>
                      </w:r>
                    </w:p>
                  </w:txbxContent>
                </v:textbox>
              </v:shape>
            </w:pict>
          </mc:Fallback>
        </mc:AlternateContent>
      </w:r>
      <w:r w:rsidR="00AC0708" w:rsidRPr="007F5EB5">
        <w:rPr>
          <w:rFonts w:ascii="Segoe UI" w:hAnsi="Segoe UI" w:cs="Segoe UI"/>
          <w:noProof/>
          <w:sz w:val="20"/>
          <w:lang w:eastAsia="el-GR"/>
        </w:rPr>
        <mc:AlternateContent>
          <mc:Choice Requires="wps">
            <w:drawing>
              <wp:anchor distT="0" distB="0" distL="114300" distR="114300" simplePos="0" relativeHeight="251686400" behindDoc="0" locked="0" layoutInCell="1" allowOverlap="1" wp14:anchorId="3320C972" wp14:editId="0BDCF18F">
                <wp:simplePos x="0" y="0"/>
                <wp:positionH relativeFrom="column">
                  <wp:posOffset>5676471</wp:posOffset>
                </wp:positionH>
                <wp:positionV relativeFrom="paragraph">
                  <wp:posOffset>1334135</wp:posOffset>
                </wp:positionV>
                <wp:extent cx="538480" cy="416560"/>
                <wp:effectExtent l="0" t="0" r="13970" b="2159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80" cy="416560"/>
                        </a:xfrm>
                        <a:prstGeom prst="rect">
                          <a:avLst/>
                        </a:prstGeom>
                        <a:solidFill>
                          <a:sysClr val="window" lastClr="FFFFFF"/>
                        </a:solidFill>
                        <a:ln w="9525" cap="flat" cmpd="sng" algn="ctr">
                          <a:solidFill>
                            <a:srgbClr val="008080"/>
                          </a:solidFill>
                          <a:prstDash val="solid"/>
                        </a:ln>
                        <a:effectLst/>
                      </wps:spPr>
                      <wps:txbx>
                        <w:txbxContent>
                          <w:p w:rsidR="00D95F56" w:rsidRPr="004C4BF5" w:rsidRDefault="00D95F56" w:rsidP="007F5EB5">
                            <w:pPr>
                              <w:pStyle w:val="Norm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sidRPr="004C4BF5">
                              <w:rPr>
                                <w:rFonts w:ascii="Calibri" w:eastAsia="MS Mincho" w:hAnsi="Calibri"/>
                                <w:color w:val="000000"/>
                                <w:kern w:val="24"/>
                                <w:sz w:val="10"/>
                                <w:szCs w:val="10"/>
                                <w:lang w:eastAsia="en-US"/>
                              </w:rPr>
                              <w:t>€</w:t>
                            </w:r>
                            <w:r>
                              <w:rPr>
                                <w:rFonts w:ascii="Calibri" w:eastAsia="MS Mincho" w:hAnsi="Calibri"/>
                                <w:color w:val="000000"/>
                                <w:kern w:val="24"/>
                                <w:sz w:val="10"/>
                                <w:szCs w:val="10"/>
                                <w:lang w:eastAsia="en-US"/>
                              </w:rPr>
                              <w:t>35,</w:t>
                            </w:r>
                            <w:r>
                              <w:rPr>
                                <w:rFonts w:ascii="Calibri" w:eastAsia="MS Mincho" w:hAnsi="Calibri"/>
                                <w:color w:val="000000"/>
                                <w:kern w:val="24"/>
                                <w:sz w:val="10"/>
                                <w:szCs w:val="10"/>
                                <w:lang w:val="en-US" w:eastAsia="en-US"/>
                              </w:rPr>
                              <w:t>8</w:t>
                            </w:r>
                            <w:r>
                              <w:rPr>
                                <w:rFonts w:ascii="Calibri" w:eastAsia="MS Mincho" w:hAnsi="Calibri"/>
                                <w:color w:val="000000"/>
                                <w:kern w:val="24"/>
                                <w:sz w:val="10"/>
                                <w:szCs w:val="10"/>
                                <w:lang w:eastAsia="en-US"/>
                              </w:rPr>
                              <w:t xml:space="preserve"> δισ.</w:t>
                            </w: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3320C972" id="_x0000_s1043" style="position:absolute;margin-left:446.95pt;margin-top:105.05pt;width:42.4pt;height:32.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" fillcolor="window" strokecolor="teal">
                <v:path arrowok="t"/>
                <v:textbox>
                  <w:txbxContent>
                    <w:p w:rsidR="00D95F56" w:rsidRPr="004C4BF5" w:rsidRDefault="00D95F56" w:rsidP="007F5EB5">
                      <w:pPr>
                        <w:pStyle w:v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sidRPr="004C4BF5">
                        <w:rPr>
                          <w:rFonts w:ascii="Calibri" w:eastAsia="MS Mincho" w:hAnsi="Calibri"/>
                          <w:color w:val="000000"/>
                          <w:kern w:val="24"/>
                          <w:sz w:val="10"/>
                          <w:szCs w:val="10"/>
                          <w:lang w:eastAsia="en-US"/>
                        </w:rPr>
                        <w:t>€</w:t>
                      </w:r>
                      <w:r>
                        <w:rPr>
                          <w:rFonts w:ascii="Calibri" w:eastAsia="MS Mincho" w:hAnsi="Calibri"/>
                          <w:color w:val="000000"/>
                          <w:kern w:val="24"/>
                          <w:sz w:val="10"/>
                          <w:szCs w:val="10"/>
                          <w:lang w:eastAsia="en-US"/>
                        </w:rPr>
                        <w:t>35,</w:t>
                      </w:r>
                      <w:r>
                        <w:rPr>
                          <w:rFonts w:ascii="Calibri" w:eastAsia="MS Mincho" w:hAnsi="Calibri"/>
                          <w:color w:val="000000"/>
                          <w:kern w:val="24"/>
                          <w:sz w:val="10"/>
                          <w:szCs w:val="10"/>
                          <w:lang w:val="en-US" w:eastAsia="en-US"/>
                        </w:rPr>
                        <w:t>8</w:t>
                      </w:r>
                      <w:r>
                        <w:rPr>
                          <w:rFonts w:ascii="Calibri" w:eastAsia="MS Mincho" w:hAnsi="Calibri"/>
                          <w:color w:val="000000"/>
                          <w:kern w:val="24"/>
                          <w:sz w:val="10"/>
                          <w:szCs w:val="10"/>
                          <w:lang w:eastAsia="en-US"/>
                        </w:rPr>
                        <w:t xml:space="preserve"> δισ.</w:t>
                      </w:r>
                    </w:p>
                  </w:txbxContent>
                </v:textbox>
              </v:rect>
            </w:pict>
          </mc:Fallback>
        </mc:AlternateContent>
      </w:r>
      <w:r w:rsidR="00AC0708">
        <w:rPr>
          <w:rFonts w:ascii="Segoe UI" w:hAnsi="Segoe UI" w:cs="Segoe UI"/>
          <w:noProof/>
          <w:sz w:val="20"/>
          <w:lang w:eastAsia="el-GR"/>
        </w:rPr>
        <mc:AlternateContent>
          <mc:Choice Requires="wps">
            <w:drawing>
              <wp:anchor distT="0" distB="0" distL="114300" distR="114300" simplePos="0" relativeHeight="251646976" behindDoc="0" locked="0" layoutInCell="1" allowOverlap="1" wp14:anchorId="5BF9FAF8" wp14:editId="201DD27D">
                <wp:simplePos x="0" y="0"/>
                <wp:positionH relativeFrom="column">
                  <wp:posOffset>5726859</wp:posOffset>
                </wp:positionH>
                <wp:positionV relativeFrom="paragraph">
                  <wp:posOffset>940435</wp:posOffset>
                </wp:positionV>
                <wp:extent cx="431800" cy="288290"/>
                <wp:effectExtent l="0" t="0" r="25400" b="1651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288290"/>
                        </a:xfrm>
                        <a:prstGeom prst="rect">
                          <a:avLst/>
                        </a:prstGeom>
                        <a:solidFill>
                          <a:sysClr val="window" lastClr="FFFFFF"/>
                        </a:solidFill>
                        <a:ln w="9525" cap="flat" cmpd="sng" algn="ctr">
                          <a:solidFill>
                            <a:srgbClr val="008080"/>
                          </a:solidFill>
                          <a:prstDash val="solid"/>
                        </a:ln>
                        <a:effectLst/>
                      </wps:spPr>
                      <wps:txbx>
                        <w:txbxContent>
                          <w:p w:rsidR="00D95F56" w:rsidRPr="007F5EB5" w:rsidRDefault="00D95F56" w:rsidP="00E55AED">
                            <w:pPr>
                              <w:pStyle w:val="NormalWeb"/>
                              <w:spacing w:before="0" w:beforeAutospacing="0" w:after="0" w:afterAutospacing="0"/>
                              <w:jc w:val="center"/>
                              <w:textAlignment w:val="baseline"/>
                              <w:rPr>
                                <w:rFonts w:asciiTheme="minorHAnsi" w:hAnsi="Calibri" w:cstheme="minorBidi"/>
                                <w:color w:val="000000" w:themeColor="text1"/>
                                <w:kern w:val="24"/>
                                <w:sz w:val="10"/>
                                <w:szCs w:val="16"/>
                              </w:rPr>
                            </w:pPr>
                            <w:r w:rsidRPr="007F5EB5">
                              <w:rPr>
                                <w:rFonts w:asciiTheme="minorHAnsi" w:hAnsi="Calibri" w:cstheme="minorBidi"/>
                                <w:color w:val="000000" w:themeColor="text1"/>
                                <w:kern w:val="24"/>
                                <w:sz w:val="10"/>
                                <w:szCs w:val="16"/>
                                <w:lang w:val="en-US"/>
                              </w:rPr>
                              <w:t xml:space="preserve">CET1: </w:t>
                            </w:r>
                          </w:p>
                          <w:p w:rsidR="00D95F56" w:rsidRPr="007F5EB5" w:rsidRDefault="00D95F56" w:rsidP="00E55AED">
                            <w:pPr>
                              <w:pStyle w:val="Norm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rPr>
                              <w:t>€5</w:t>
                            </w:r>
                            <w:r w:rsidRPr="007F5EB5">
                              <w:rPr>
                                <w:rFonts w:asciiTheme="minorHAnsi" w:hAnsi="Calibri" w:cstheme="minorBidi"/>
                                <w:color w:val="000000" w:themeColor="text1"/>
                                <w:kern w:val="24"/>
                                <w:sz w:val="10"/>
                                <w:szCs w:val="16"/>
                                <w:lang w:val="en-US"/>
                              </w:rPr>
                              <w:t>,</w:t>
                            </w:r>
                            <w:r>
                              <w:rPr>
                                <w:rFonts w:asciiTheme="minorHAnsi" w:hAnsi="Calibri" w:cstheme="minorBidi"/>
                                <w:color w:val="000000" w:themeColor="text1"/>
                                <w:kern w:val="24"/>
                                <w:sz w:val="10"/>
                                <w:szCs w:val="16"/>
                                <w:lang w:val="en-US"/>
                              </w:rPr>
                              <w:t>8</w:t>
                            </w:r>
                            <w:r>
                              <w:rPr>
                                <w:rFonts w:asciiTheme="minorHAnsi" w:hAnsi="Calibri" w:cstheme="minorBidi"/>
                                <w:color w:val="000000" w:themeColor="text1"/>
                                <w:kern w:val="24"/>
                                <w:sz w:val="10"/>
                                <w:szCs w:val="16"/>
                              </w:rPr>
                              <w:t xml:space="preserve"> </w:t>
                            </w:r>
                            <w:r w:rsidRPr="007F5EB5">
                              <w:rPr>
                                <w:rFonts w:asciiTheme="minorHAnsi" w:hAnsi="Calibri" w:cstheme="minorBidi"/>
                                <w:color w:val="000000" w:themeColor="text1"/>
                                <w:kern w:val="24"/>
                                <w:sz w:val="10"/>
                                <w:szCs w:val="16"/>
                              </w:rPr>
                              <w:t>δισ.</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5BF9FAF8" id="_x0000_s1044" style="position:absolute;margin-left:450.95pt;margin-top:74.05pt;width:34pt;height:2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" fillcolor="window" strokecolor="teal">
                <v:path arrowok="t"/>
                <v:textbox>
                  <w:txbxContent>
                    <w:p w:rsidR="00D95F56" w:rsidRPr="007F5EB5" w:rsidRDefault="00D95F56" w:rsidP="00E55AED">
                      <w:pPr>
                        <w:pStyle w:val="Web"/>
                        <w:spacing w:before="0" w:beforeAutospacing="0" w:after="0" w:afterAutospacing="0"/>
                        <w:jc w:val="center"/>
                        <w:textAlignment w:val="baseline"/>
                        <w:rPr>
                          <w:rFonts w:asciiTheme="minorHAnsi" w:hAnsi="Calibri" w:cstheme="minorBidi"/>
                          <w:color w:val="000000" w:themeColor="text1"/>
                          <w:kern w:val="24"/>
                          <w:sz w:val="10"/>
                          <w:szCs w:val="16"/>
                        </w:rPr>
                      </w:pPr>
                      <w:r w:rsidRPr="007F5EB5">
                        <w:rPr>
                          <w:rFonts w:asciiTheme="minorHAnsi" w:hAnsi="Calibri" w:cstheme="minorBidi"/>
                          <w:color w:val="000000" w:themeColor="text1"/>
                          <w:kern w:val="24"/>
                          <w:sz w:val="10"/>
                          <w:szCs w:val="16"/>
                          <w:lang w:val="en-US"/>
                        </w:rPr>
                        <w:t xml:space="preserve">CET1: </w:t>
                      </w:r>
                    </w:p>
                    <w:p w:rsidR="00D95F56" w:rsidRPr="007F5EB5" w:rsidRDefault="00D95F56" w:rsidP="00E55AED">
                      <w:pPr>
                        <w:pStyle w:v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rPr>
                        <w:t>€5</w:t>
                      </w:r>
                      <w:r w:rsidRPr="007F5EB5">
                        <w:rPr>
                          <w:rFonts w:asciiTheme="minorHAnsi" w:hAnsi="Calibri" w:cstheme="minorBidi"/>
                          <w:color w:val="000000" w:themeColor="text1"/>
                          <w:kern w:val="24"/>
                          <w:sz w:val="10"/>
                          <w:szCs w:val="16"/>
                          <w:lang w:val="en-US"/>
                        </w:rPr>
                        <w:t>,</w:t>
                      </w:r>
                      <w:r>
                        <w:rPr>
                          <w:rFonts w:asciiTheme="minorHAnsi" w:hAnsi="Calibri" w:cstheme="minorBidi"/>
                          <w:color w:val="000000" w:themeColor="text1"/>
                          <w:kern w:val="24"/>
                          <w:sz w:val="10"/>
                          <w:szCs w:val="16"/>
                          <w:lang w:val="en-US"/>
                        </w:rPr>
                        <w:t>8</w:t>
                      </w:r>
                      <w:r>
                        <w:rPr>
                          <w:rFonts w:asciiTheme="minorHAnsi" w:hAnsi="Calibri" w:cstheme="minorBidi"/>
                          <w:color w:val="000000" w:themeColor="text1"/>
                          <w:kern w:val="24"/>
                          <w:sz w:val="10"/>
                          <w:szCs w:val="16"/>
                        </w:rPr>
                        <w:t xml:space="preserve"> </w:t>
                      </w:r>
                      <w:r w:rsidRPr="007F5EB5">
                        <w:rPr>
                          <w:rFonts w:asciiTheme="minorHAnsi" w:hAnsi="Calibri" w:cstheme="minorBidi"/>
                          <w:color w:val="000000" w:themeColor="text1"/>
                          <w:kern w:val="24"/>
                          <w:sz w:val="10"/>
                          <w:szCs w:val="16"/>
                        </w:rPr>
                        <w:t>δισ.</w:t>
                      </w:r>
                    </w:p>
                  </w:txbxContent>
                </v:textbox>
              </v:rect>
            </w:pict>
          </mc:Fallback>
        </mc:AlternateContent>
      </w:r>
      <w:r w:rsidR="00E55AED" w:rsidRPr="006E13AD">
        <w:rPr>
          <w:rFonts w:ascii="Segoe UI" w:eastAsia="Segoe UI" w:hAnsi="Segoe UI" w:cs="Segoe UI"/>
          <w:b/>
          <w:noProof/>
          <w:color w:val="008080"/>
          <w:kern w:val="24"/>
          <w:sz w:val="18"/>
          <w:lang w:eastAsia="el-GR"/>
        </w:rPr>
        <w:drawing>
          <wp:inline distT="0" distB="0" distL="0" distR="0" wp14:anchorId="08048777" wp14:editId="30CD8492">
            <wp:extent cx="6467475" cy="2409825"/>
            <wp:effectExtent l="0" t="0" r="9525" b="9525"/>
            <wp:docPr id="750847114" name="Γράφημα 750847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55AED" w:rsidRPr="001A2FB5" w:rsidRDefault="00334556" w:rsidP="00334556">
      <w:pPr>
        <w:rPr>
          <w:rFonts w:ascii="Segoe UI" w:hAnsi="Segoe UI" w:cs="Segoe UI"/>
          <w:sz w:val="8"/>
          <w:szCs w:val="10"/>
        </w:rPr>
      </w:pPr>
      <w:r w:rsidRPr="001A2FB5">
        <w:rPr>
          <w:rFonts w:ascii="Segoe UI" w:hAnsi="Segoe UI" w:cs="Segoe UI"/>
          <w:b/>
          <w:sz w:val="8"/>
          <w:szCs w:val="10"/>
        </w:rPr>
        <w:t>*</w:t>
      </w:r>
      <w:r w:rsidRPr="001A2FB5">
        <w:rPr>
          <w:rFonts w:ascii="Segoe UI" w:hAnsi="Segoe UI" w:cs="Segoe UI"/>
          <w:sz w:val="8"/>
          <w:szCs w:val="10"/>
        </w:rPr>
        <w:t>Περιλαμβάνει</w:t>
      </w:r>
      <w:r w:rsidRPr="001A2FB5">
        <w:rPr>
          <w:rFonts w:ascii="Segoe UI" w:hAnsi="Segoe UI" w:cs="Segoe UI"/>
          <w:b/>
          <w:sz w:val="8"/>
          <w:szCs w:val="10"/>
        </w:rPr>
        <w:t xml:space="preserve"> </w:t>
      </w:r>
      <w:r w:rsidRPr="001A2FB5">
        <w:rPr>
          <w:rFonts w:ascii="Segoe UI" w:hAnsi="Segoe UI" w:cs="Segoe UI"/>
          <w:sz w:val="8"/>
          <w:szCs w:val="10"/>
        </w:rPr>
        <w:t>το αποτέλεσμα αποτίμησης ομολόγων (FVTOCI),</w:t>
      </w:r>
      <w:r w:rsidR="007A5DE5">
        <w:rPr>
          <w:rFonts w:ascii="Segoe UI" w:hAnsi="Segoe UI" w:cs="Segoe UI"/>
          <w:sz w:val="8"/>
          <w:szCs w:val="10"/>
        </w:rPr>
        <w:t xml:space="preserve"> </w:t>
      </w:r>
      <w:r w:rsidR="00CB0809">
        <w:rPr>
          <w:rFonts w:ascii="Segoe UI" w:hAnsi="Segoe UI" w:cs="Segoe UI"/>
          <w:sz w:val="8"/>
          <w:szCs w:val="10"/>
        </w:rPr>
        <w:t>τα Σταθμισμένα Στοιχεία Ενεργητικού,</w:t>
      </w:r>
      <w:r w:rsidRPr="001A2FB5">
        <w:rPr>
          <w:rFonts w:ascii="Segoe UI" w:hAnsi="Segoe UI" w:cs="Segoe UI"/>
          <w:sz w:val="8"/>
          <w:szCs w:val="10"/>
        </w:rPr>
        <w:t xml:space="preserve"> τις Σημαντικές επενδύσεις (SI) και την </w:t>
      </w:r>
      <w:r w:rsidR="001A2FB5" w:rsidRPr="001A2FB5">
        <w:rPr>
          <w:rFonts w:ascii="Segoe UI" w:hAnsi="Segoe UI" w:cs="Segoe UI"/>
          <w:sz w:val="8"/>
          <w:szCs w:val="10"/>
        </w:rPr>
        <w:t>επίπτωση από την εφαρμογή των μεταβατικών διατάξεων</w:t>
      </w:r>
      <w:r w:rsidRPr="001A2FB5">
        <w:rPr>
          <w:rFonts w:ascii="Segoe UI" w:hAnsi="Segoe UI" w:cs="Segoe UI"/>
          <w:sz w:val="8"/>
          <w:szCs w:val="10"/>
        </w:rPr>
        <w:t xml:space="preserve"> του ΔΛΠΧ 9</w:t>
      </w:r>
    </w:p>
    <w:p w:rsidR="00C92797" w:rsidRDefault="00C92797" w:rsidP="008E0A91">
      <w:pPr>
        <w:pStyle w:val="TITLEINBODY"/>
        <w:rPr>
          <w:rFonts w:ascii="Segoe UI" w:hAnsi="Segoe UI" w:cs="Segoe UI"/>
          <w:lang w:val="el-GR"/>
        </w:rPr>
      </w:pPr>
    </w:p>
    <w:p w:rsidR="008E0A91" w:rsidRPr="000F701B" w:rsidRDefault="001E012B" w:rsidP="008E0A91">
      <w:pPr>
        <w:pStyle w:val="TITLEINBODY"/>
        <w:rPr>
          <w:rFonts w:ascii="Segoe UI" w:hAnsi="Segoe UI" w:cs="Segoe UI"/>
          <w:lang w:val="el-GR"/>
        </w:rPr>
      </w:pPr>
      <w:r w:rsidRPr="000F701B">
        <w:rPr>
          <w:rFonts w:ascii="Segoe UI" w:hAnsi="Segoe UI" w:cs="Segoe UI"/>
          <w:lang w:val="el-GR"/>
        </w:rPr>
        <w:t>Ρευστότητα</w:t>
      </w:r>
    </w:p>
    <w:p w:rsidR="00ED38A5" w:rsidRPr="00ED38A5" w:rsidRDefault="00305DE9" w:rsidP="00ED38A5">
      <w:pPr>
        <w:autoSpaceDE w:val="0"/>
        <w:autoSpaceDN w:val="0"/>
        <w:adjustRightInd w:val="0"/>
        <w:spacing w:before="240" w:after="160" w:line="320" w:lineRule="atLeast"/>
        <w:jc w:val="both"/>
        <w:rPr>
          <w:rFonts w:ascii="Segoe UI" w:eastAsia="MS Mincho" w:hAnsi="Segoe UI" w:cs="Segoe UI"/>
          <w:sz w:val="20"/>
          <w:szCs w:val="22"/>
          <w:lang w:eastAsia="el-GR" w:bidi="el-GR"/>
        </w:rPr>
      </w:pPr>
      <w:r>
        <w:rPr>
          <w:rFonts w:ascii="Segoe UI" w:eastAsia="MS Mincho" w:hAnsi="Segoe UI" w:cs="Segoe UI"/>
          <w:sz w:val="20"/>
          <w:szCs w:val="22"/>
          <w:lang w:eastAsia="el-GR" w:bidi="el-GR"/>
        </w:rPr>
        <w:t>Ο</w:t>
      </w:r>
      <w:r w:rsidRPr="00305DE9">
        <w:rPr>
          <w:rFonts w:ascii="Segoe UI" w:eastAsia="MS Mincho" w:hAnsi="Segoe UI" w:cs="Segoe UI"/>
          <w:sz w:val="20"/>
          <w:szCs w:val="22"/>
          <w:lang w:eastAsia="el-GR" w:bidi="el-GR"/>
        </w:rPr>
        <w:t xml:space="preserve">ι </w:t>
      </w:r>
      <w:r w:rsidRPr="00A425DC">
        <w:rPr>
          <w:rFonts w:ascii="Segoe UI" w:eastAsia="MS Mincho" w:hAnsi="Segoe UI" w:cs="Segoe UI"/>
          <w:b/>
          <w:sz w:val="20"/>
          <w:szCs w:val="22"/>
          <w:lang w:eastAsia="el-GR" w:bidi="el-GR"/>
        </w:rPr>
        <w:t>καταθέσεις</w:t>
      </w:r>
      <w:r w:rsidRPr="00305DE9">
        <w:rPr>
          <w:rFonts w:ascii="Segoe UI" w:eastAsia="MS Mincho" w:hAnsi="Segoe UI" w:cs="Segoe UI"/>
          <w:sz w:val="20"/>
          <w:szCs w:val="22"/>
          <w:lang w:eastAsia="el-GR" w:bidi="el-GR"/>
        </w:rPr>
        <w:t xml:space="preserve"> του Ομίλου αυξήθηκαν κατά </w:t>
      </w:r>
      <w:r w:rsidR="00A425DC">
        <w:rPr>
          <w:rFonts w:ascii="Segoe UI" w:eastAsia="MS Mincho" w:hAnsi="Segoe UI" w:cs="Segoe UI"/>
          <w:sz w:val="20"/>
          <w:szCs w:val="22"/>
          <w:lang w:eastAsia="el-GR" w:bidi="el-GR"/>
        </w:rPr>
        <w:t>1,0</w:t>
      </w:r>
      <w:r w:rsidRPr="00305DE9">
        <w:rPr>
          <w:rFonts w:ascii="Segoe UI" w:eastAsia="MS Mincho" w:hAnsi="Segoe UI" w:cs="Segoe UI"/>
          <w:sz w:val="20"/>
          <w:szCs w:val="22"/>
          <w:lang w:eastAsia="el-GR" w:bidi="el-GR"/>
        </w:rPr>
        <w:t xml:space="preserve">% σε </w:t>
      </w:r>
      <w:r w:rsidR="00A425DC">
        <w:rPr>
          <w:rFonts w:ascii="Segoe UI" w:eastAsia="MS Mincho" w:hAnsi="Segoe UI" w:cs="Segoe UI"/>
          <w:sz w:val="20"/>
          <w:szCs w:val="22"/>
          <w:lang w:eastAsia="el-GR" w:bidi="el-GR"/>
        </w:rPr>
        <w:t>τριμηνιαία βάση</w:t>
      </w:r>
      <w:r w:rsidR="003C6BDB">
        <w:rPr>
          <w:rFonts w:ascii="Segoe UI" w:eastAsia="MS Mincho" w:hAnsi="Segoe UI" w:cs="Segoe UI"/>
          <w:sz w:val="20"/>
          <w:szCs w:val="22"/>
          <w:lang w:eastAsia="el-GR" w:bidi="el-GR"/>
        </w:rPr>
        <w:t>,</w:t>
      </w:r>
      <w:r w:rsidR="00A425DC">
        <w:rPr>
          <w:rFonts w:ascii="Segoe UI" w:eastAsia="MS Mincho" w:hAnsi="Segoe UI" w:cs="Segoe UI"/>
          <w:sz w:val="20"/>
          <w:szCs w:val="22"/>
          <w:lang w:eastAsia="el-GR" w:bidi="el-GR"/>
        </w:rPr>
        <w:t xml:space="preserve"> σε €45,2</w:t>
      </w:r>
      <w:r w:rsidR="00A425DC" w:rsidRPr="00A425DC">
        <w:rPr>
          <w:rFonts w:ascii="Segoe UI" w:eastAsia="MS Mincho" w:hAnsi="Segoe UI" w:cs="Segoe UI"/>
          <w:sz w:val="20"/>
          <w:szCs w:val="22"/>
          <w:lang w:eastAsia="el-GR" w:bidi="el-GR"/>
        </w:rPr>
        <w:t xml:space="preserve"> δισ., </w:t>
      </w:r>
      <w:r w:rsidRPr="00305DE9">
        <w:rPr>
          <w:rFonts w:ascii="Segoe UI" w:eastAsia="MS Mincho" w:hAnsi="Segoe UI" w:cs="Segoe UI"/>
          <w:sz w:val="20"/>
          <w:szCs w:val="22"/>
          <w:lang w:eastAsia="el-GR" w:bidi="el-GR"/>
        </w:rPr>
        <w:t xml:space="preserve">αντανακλώντας </w:t>
      </w:r>
      <w:r w:rsidR="00A425DC">
        <w:rPr>
          <w:rFonts w:ascii="Segoe UI" w:eastAsia="MS Mincho" w:hAnsi="Segoe UI" w:cs="Segoe UI"/>
          <w:sz w:val="20"/>
          <w:szCs w:val="22"/>
          <w:lang w:eastAsia="el-GR" w:bidi="el-GR"/>
        </w:rPr>
        <w:t xml:space="preserve">τις εξελίξεις στην εγχώρια αγορά. </w:t>
      </w:r>
      <w:r w:rsidRPr="00305DE9">
        <w:rPr>
          <w:rFonts w:ascii="Segoe UI" w:eastAsia="MS Mincho" w:hAnsi="Segoe UI" w:cs="Segoe UI"/>
          <w:sz w:val="20"/>
          <w:szCs w:val="22"/>
          <w:lang w:eastAsia="el-GR" w:bidi="el-GR"/>
        </w:rPr>
        <w:t>Στην Ελλάδα, οι καταθέσεις ανήλθαν σε €4</w:t>
      </w:r>
      <w:r w:rsidR="00A425DC">
        <w:rPr>
          <w:rFonts w:ascii="Segoe UI" w:eastAsia="MS Mincho" w:hAnsi="Segoe UI" w:cs="Segoe UI"/>
          <w:sz w:val="20"/>
          <w:szCs w:val="22"/>
          <w:lang w:eastAsia="el-GR" w:bidi="el-GR"/>
        </w:rPr>
        <w:t>3,7</w:t>
      </w:r>
      <w:r w:rsidRPr="00305DE9">
        <w:rPr>
          <w:rFonts w:ascii="Segoe UI" w:eastAsia="MS Mincho" w:hAnsi="Segoe UI" w:cs="Segoe UI"/>
          <w:sz w:val="20"/>
          <w:szCs w:val="22"/>
          <w:lang w:eastAsia="el-GR" w:bidi="el-GR"/>
        </w:rPr>
        <w:t xml:space="preserve"> δισ., αντικατοπτρίζοντας εισροές καταθέσεων ύψους €</w:t>
      </w:r>
      <w:r w:rsidR="00A425DC">
        <w:rPr>
          <w:rFonts w:ascii="Segoe UI" w:eastAsia="MS Mincho" w:hAnsi="Segoe UI" w:cs="Segoe UI"/>
          <w:sz w:val="20"/>
          <w:szCs w:val="22"/>
          <w:lang w:eastAsia="el-GR" w:bidi="el-GR"/>
        </w:rPr>
        <w:t>0,4</w:t>
      </w:r>
      <w:r w:rsidRPr="00305DE9">
        <w:rPr>
          <w:rFonts w:ascii="Segoe UI" w:eastAsia="MS Mincho" w:hAnsi="Segoe UI" w:cs="Segoe UI"/>
          <w:sz w:val="20"/>
          <w:szCs w:val="22"/>
          <w:lang w:eastAsia="el-GR" w:bidi="el-GR"/>
        </w:rPr>
        <w:t xml:space="preserve"> δισ. σε </w:t>
      </w:r>
      <w:r w:rsidR="00A425DC">
        <w:rPr>
          <w:rFonts w:ascii="Segoe UI" w:eastAsia="MS Mincho" w:hAnsi="Segoe UI" w:cs="Segoe UI"/>
          <w:sz w:val="20"/>
          <w:szCs w:val="22"/>
          <w:lang w:eastAsia="el-GR" w:bidi="el-GR"/>
        </w:rPr>
        <w:t>σχέση με το προηγούμενο τρίμηνο.</w:t>
      </w:r>
      <w:r w:rsidRPr="00305DE9">
        <w:rPr>
          <w:rFonts w:ascii="Segoe UI" w:eastAsia="MS Mincho" w:hAnsi="Segoe UI" w:cs="Segoe UI"/>
          <w:sz w:val="20"/>
          <w:szCs w:val="22"/>
          <w:lang w:eastAsia="el-GR" w:bidi="el-GR"/>
        </w:rPr>
        <w:t xml:space="preserve"> Οι καταθέσεις στις διεθνείς δραστηριότητες</w:t>
      </w:r>
      <w:r w:rsidR="003C6BDB" w:rsidRPr="004531D1">
        <w:rPr>
          <w:rFonts w:ascii="Segoe UI" w:hAnsi="Segoe UI" w:cs="Segoe UI"/>
          <w:vertAlign w:val="superscript"/>
        </w:rPr>
        <w:footnoteReference w:id="7"/>
      </w:r>
      <w:r w:rsidRPr="00305DE9">
        <w:rPr>
          <w:rFonts w:ascii="Segoe UI" w:eastAsia="MS Mincho" w:hAnsi="Segoe UI" w:cs="Segoe UI"/>
          <w:sz w:val="20"/>
          <w:szCs w:val="22"/>
          <w:lang w:eastAsia="el-GR" w:bidi="el-GR"/>
        </w:rPr>
        <w:t xml:space="preserve"> </w:t>
      </w:r>
      <w:r w:rsidR="00A425DC">
        <w:rPr>
          <w:rFonts w:ascii="Segoe UI" w:eastAsia="MS Mincho" w:hAnsi="Segoe UI" w:cs="Segoe UI"/>
          <w:sz w:val="20"/>
          <w:szCs w:val="22"/>
          <w:lang w:eastAsia="el-GR" w:bidi="el-GR"/>
        </w:rPr>
        <w:t xml:space="preserve">παρέμειναν αμετάβλητες σε τριμηνιαία βάση, σε </w:t>
      </w:r>
      <w:r w:rsidRPr="00305DE9">
        <w:rPr>
          <w:rFonts w:ascii="Segoe UI" w:eastAsia="MS Mincho" w:hAnsi="Segoe UI" w:cs="Segoe UI"/>
          <w:sz w:val="20"/>
          <w:szCs w:val="22"/>
          <w:lang w:eastAsia="el-GR" w:bidi="el-GR"/>
        </w:rPr>
        <w:t>€1,</w:t>
      </w:r>
      <w:r w:rsidR="00A425DC">
        <w:rPr>
          <w:rFonts w:ascii="Segoe UI" w:eastAsia="MS Mincho" w:hAnsi="Segoe UI" w:cs="Segoe UI"/>
          <w:sz w:val="20"/>
          <w:szCs w:val="22"/>
          <w:lang w:eastAsia="el-GR" w:bidi="el-GR"/>
        </w:rPr>
        <w:t>5</w:t>
      </w:r>
      <w:r w:rsidRPr="00305DE9">
        <w:rPr>
          <w:rFonts w:ascii="Segoe UI" w:eastAsia="MS Mincho" w:hAnsi="Segoe UI" w:cs="Segoe UI"/>
          <w:sz w:val="20"/>
          <w:szCs w:val="22"/>
          <w:lang w:eastAsia="el-GR" w:bidi="el-GR"/>
        </w:rPr>
        <w:t xml:space="preserve"> δισ. </w:t>
      </w:r>
      <w:r w:rsidR="00A425DC">
        <w:rPr>
          <w:rFonts w:ascii="Segoe UI" w:eastAsia="MS Mincho" w:hAnsi="Segoe UI" w:cs="Segoe UI"/>
          <w:sz w:val="20"/>
          <w:szCs w:val="22"/>
          <w:lang w:eastAsia="el-GR" w:bidi="el-GR"/>
        </w:rPr>
        <w:t xml:space="preserve">Σε σχέση με το Δ’ τρίμηνο 2019, οι καταθέσεις σε </w:t>
      </w:r>
      <w:r w:rsidR="00F553D1">
        <w:rPr>
          <w:rFonts w:ascii="Segoe UI" w:eastAsia="MS Mincho" w:hAnsi="Segoe UI" w:cs="Segoe UI"/>
          <w:sz w:val="20"/>
          <w:szCs w:val="22"/>
          <w:lang w:eastAsia="el-GR" w:bidi="el-GR"/>
        </w:rPr>
        <w:t>επίπεδο Ομίλου</w:t>
      </w:r>
      <w:r w:rsidR="00A425DC">
        <w:rPr>
          <w:rFonts w:ascii="Segoe UI" w:eastAsia="MS Mincho" w:hAnsi="Segoe UI" w:cs="Segoe UI"/>
          <w:sz w:val="20"/>
          <w:szCs w:val="22"/>
          <w:lang w:eastAsia="el-GR" w:bidi="el-GR"/>
        </w:rPr>
        <w:t xml:space="preserve"> </w:t>
      </w:r>
      <w:r w:rsidR="00801765">
        <w:rPr>
          <w:rFonts w:ascii="Segoe UI" w:eastAsia="MS Mincho" w:hAnsi="Segoe UI" w:cs="Segoe UI"/>
          <w:sz w:val="20"/>
          <w:szCs w:val="22"/>
          <w:lang w:eastAsia="el-GR" w:bidi="el-GR"/>
        </w:rPr>
        <w:t>αυξήθηκαν</w:t>
      </w:r>
      <w:r w:rsidR="00A425DC">
        <w:rPr>
          <w:rFonts w:ascii="Segoe UI" w:eastAsia="MS Mincho" w:hAnsi="Segoe UI" w:cs="Segoe UI"/>
          <w:sz w:val="20"/>
          <w:szCs w:val="22"/>
          <w:lang w:eastAsia="el-GR" w:bidi="el-GR"/>
        </w:rPr>
        <w:t xml:space="preserve"> </w:t>
      </w:r>
      <w:r w:rsidR="00694882">
        <w:rPr>
          <w:rFonts w:ascii="Segoe UI" w:eastAsia="MS Mincho" w:hAnsi="Segoe UI" w:cs="Segoe UI"/>
          <w:sz w:val="20"/>
          <w:szCs w:val="22"/>
          <w:lang w:eastAsia="el-GR" w:bidi="el-GR"/>
        </w:rPr>
        <w:t xml:space="preserve">κατά </w:t>
      </w:r>
      <w:r w:rsidR="00A425DC">
        <w:rPr>
          <w:rFonts w:ascii="Segoe UI" w:eastAsia="MS Mincho" w:hAnsi="Segoe UI" w:cs="Segoe UI"/>
          <w:sz w:val="20"/>
          <w:szCs w:val="22"/>
          <w:lang w:eastAsia="el-GR" w:bidi="el-GR"/>
        </w:rPr>
        <w:t>3,5</w:t>
      </w:r>
      <w:r w:rsidR="00694882">
        <w:rPr>
          <w:rFonts w:ascii="Segoe UI" w:eastAsia="MS Mincho" w:hAnsi="Segoe UI" w:cs="Segoe UI"/>
          <w:sz w:val="20"/>
          <w:szCs w:val="22"/>
          <w:lang w:eastAsia="el-GR" w:bidi="el-GR"/>
        </w:rPr>
        <w:t>%, αντανακλώντας τις εισροές καταθέσεων ύψους €</w:t>
      </w:r>
      <w:r w:rsidR="00A425DC">
        <w:rPr>
          <w:rFonts w:ascii="Segoe UI" w:eastAsia="MS Mincho" w:hAnsi="Segoe UI" w:cs="Segoe UI"/>
          <w:sz w:val="20"/>
          <w:szCs w:val="22"/>
          <w:lang w:eastAsia="el-GR" w:bidi="el-GR"/>
        </w:rPr>
        <w:t>1,5</w:t>
      </w:r>
      <w:r w:rsidR="00694882">
        <w:rPr>
          <w:rFonts w:ascii="Segoe UI" w:eastAsia="MS Mincho" w:hAnsi="Segoe UI" w:cs="Segoe UI"/>
          <w:sz w:val="20"/>
          <w:szCs w:val="22"/>
          <w:lang w:eastAsia="el-GR" w:bidi="el-GR"/>
        </w:rPr>
        <w:t xml:space="preserve"> δισ. στην Ελλάδα</w:t>
      </w:r>
      <w:r w:rsidR="00A425DC">
        <w:rPr>
          <w:rFonts w:ascii="Segoe UI" w:eastAsia="MS Mincho" w:hAnsi="Segoe UI" w:cs="Segoe UI"/>
          <w:sz w:val="20"/>
          <w:szCs w:val="22"/>
          <w:lang w:eastAsia="el-GR" w:bidi="el-GR"/>
        </w:rPr>
        <w:t xml:space="preserve">, </w:t>
      </w:r>
      <w:r w:rsidR="00A425DC" w:rsidRPr="00A425DC">
        <w:rPr>
          <w:rFonts w:ascii="Segoe UI" w:eastAsia="MS Mincho" w:hAnsi="Segoe UI" w:cs="Segoe UI"/>
          <w:sz w:val="20"/>
          <w:szCs w:val="22"/>
          <w:lang w:eastAsia="el-GR" w:bidi="el-GR"/>
        </w:rPr>
        <w:t>ως αποτέλεσμα της αύξησης των αποταμιεύσεων των επιχειρήσεων και των νοικοκυριών</w:t>
      </w:r>
      <w:r w:rsidR="00AB75D5">
        <w:rPr>
          <w:rFonts w:ascii="Segoe UI" w:eastAsia="MS Mincho" w:hAnsi="Segoe UI" w:cs="Segoe UI"/>
          <w:sz w:val="20"/>
          <w:szCs w:val="22"/>
          <w:lang w:eastAsia="el-GR" w:bidi="el-GR"/>
        </w:rPr>
        <w:t>.</w:t>
      </w:r>
      <w:r w:rsidR="00F553D1" w:rsidRPr="00F553D1">
        <w:rPr>
          <w:rFonts w:ascii="Segoe UI" w:eastAsia="MS Mincho" w:hAnsi="Segoe UI" w:cs="Segoe UI"/>
          <w:sz w:val="20"/>
          <w:szCs w:val="22"/>
          <w:lang w:eastAsia="el-GR" w:bidi="el-GR"/>
        </w:rPr>
        <w:t xml:space="preserve"> </w:t>
      </w:r>
    </w:p>
    <w:p w:rsidR="00ED38A5" w:rsidRPr="00ED38A5" w:rsidRDefault="00ED38A5" w:rsidP="00ED38A5">
      <w:pPr>
        <w:autoSpaceDE w:val="0"/>
        <w:autoSpaceDN w:val="0"/>
        <w:adjustRightInd w:val="0"/>
        <w:spacing w:after="160" w:line="320" w:lineRule="atLeast"/>
        <w:jc w:val="both"/>
        <w:rPr>
          <w:rFonts w:ascii="Segoe UI" w:eastAsia="MS Mincho" w:hAnsi="Segoe UI" w:cs="Segoe UI"/>
          <w:sz w:val="20"/>
          <w:szCs w:val="22"/>
          <w:lang w:eastAsia="el-GR" w:bidi="el-GR"/>
        </w:rPr>
      </w:pPr>
      <w:r w:rsidRPr="00ED38A5">
        <w:rPr>
          <w:rFonts w:ascii="Segoe UI" w:eastAsia="MS Mincho" w:hAnsi="Segoe UI" w:cs="Segoe UI"/>
          <w:sz w:val="20"/>
          <w:szCs w:val="22"/>
          <w:lang w:eastAsia="el-GR" w:bidi="el-GR"/>
        </w:rPr>
        <w:t xml:space="preserve">Ως αποτέλεσμα, ο </w:t>
      </w:r>
      <w:r w:rsidRPr="00ED38A5">
        <w:rPr>
          <w:rFonts w:ascii="Segoe UI" w:eastAsia="MS Mincho" w:hAnsi="Segoe UI" w:cs="Segoe UI"/>
          <w:b/>
          <w:sz w:val="20"/>
          <w:szCs w:val="22"/>
          <w:lang w:eastAsia="el-GR" w:bidi="el-GR"/>
        </w:rPr>
        <w:t>δείκτης Δανείων προς Καταθέσεις</w:t>
      </w:r>
      <w:r w:rsidRPr="00ED38A5">
        <w:rPr>
          <w:rFonts w:ascii="Segoe UI" w:eastAsia="MS Mincho" w:hAnsi="Segoe UI" w:cs="Segoe UI"/>
          <w:sz w:val="20"/>
          <w:szCs w:val="22"/>
          <w:lang w:eastAsia="el-GR" w:bidi="el-GR"/>
        </w:rPr>
        <w:t xml:space="preserve"> </w:t>
      </w:r>
      <w:r w:rsidR="00E31F22">
        <w:rPr>
          <w:rFonts w:ascii="Segoe UI" w:eastAsia="MS Mincho" w:hAnsi="Segoe UI" w:cs="Segoe UI"/>
          <w:sz w:val="20"/>
          <w:szCs w:val="22"/>
          <w:lang w:eastAsia="el-GR" w:bidi="el-GR"/>
        </w:rPr>
        <w:t xml:space="preserve">το Εννεάμηνο 2020 </w:t>
      </w:r>
      <w:r w:rsidRPr="00ED38A5">
        <w:rPr>
          <w:rFonts w:ascii="Segoe UI" w:eastAsia="MS Mincho" w:hAnsi="Segoe UI" w:cs="Segoe UI"/>
          <w:sz w:val="20"/>
          <w:szCs w:val="22"/>
          <w:lang w:eastAsia="el-GR" w:bidi="el-GR"/>
        </w:rPr>
        <w:t>διαμορφώθηκε σε 6</w:t>
      </w:r>
      <w:r w:rsidR="00E31F22">
        <w:rPr>
          <w:rFonts w:ascii="Segoe UI" w:eastAsia="MS Mincho" w:hAnsi="Segoe UI" w:cs="Segoe UI"/>
          <w:sz w:val="20"/>
          <w:szCs w:val="22"/>
          <w:lang w:eastAsia="el-GR" w:bidi="el-GR"/>
        </w:rPr>
        <w:t>4,0</w:t>
      </w:r>
      <w:r w:rsidRPr="00ED38A5">
        <w:rPr>
          <w:rFonts w:ascii="Segoe UI" w:eastAsia="MS Mincho" w:hAnsi="Segoe UI" w:cs="Segoe UI"/>
          <w:sz w:val="20"/>
          <w:szCs w:val="22"/>
          <w:lang w:eastAsia="el-GR" w:bidi="el-GR"/>
        </w:rPr>
        <w:t>% στην Ελλάδα και σε 6</w:t>
      </w:r>
      <w:r w:rsidR="00A81818">
        <w:rPr>
          <w:rFonts w:ascii="Segoe UI" w:eastAsia="MS Mincho" w:hAnsi="Segoe UI" w:cs="Segoe UI"/>
          <w:sz w:val="20"/>
          <w:szCs w:val="22"/>
          <w:lang w:eastAsia="el-GR" w:bidi="el-GR"/>
        </w:rPr>
        <w:t>4</w:t>
      </w:r>
      <w:r w:rsidR="00695851">
        <w:rPr>
          <w:rFonts w:ascii="Segoe UI" w:eastAsia="MS Mincho" w:hAnsi="Segoe UI" w:cs="Segoe UI"/>
          <w:sz w:val="20"/>
          <w:szCs w:val="22"/>
          <w:lang w:eastAsia="el-GR" w:bidi="el-GR"/>
        </w:rPr>
        <w:t>,</w:t>
      </w:r>
      <w:r w:rsidR="00E31F22">
        <w:rPr>
          <w:rFonts w:ascii="Segoe UI" w:eastAsia="MS Mincho" w:hAnsi="Segoe UI" w:cs="Segoe UI"/>
          <w:sz w:val="20"/>
          <w:szCs w:val="22"/>
          <w:lang w:eastAsia="el-GR" w:bidi="el-GR"/>
        </w:rPr>
        <w:t>8</w:t>
      </w:r>
      <w:r w:rsidRPr="00ED38A5">
        <w:rPr>
          <w:rFonts w:ascii="Segoe UI" w:eastAsia="MS Mincho" w:hAnsi="Segoe UI" w:cs="Segoe UI"/>
          <w:sz w:val="20"/>
          <w:szCs w:val="22"/>
          <w:lang w:eastAsia="el-GR" w:bidi="el-GR"/>
        </w:rPr>
        <w:t>% σε επίπεδο Ομίλου.</w:t>
      </w:r>
    </w:p>
    <w:p w:rsidR="007C2814" w:rsidRDefault="00ED38A5" w:rsidP="00C4582D">
      <w:pPr>
        <w:autoSpaceDE w:val="0"/>
        <w:autoSpaceDN w:val="0"/>
        <w:adjustRightInd w:val="0"/>
        <w:spacing w:before="240" w:after="160" w:line="320" w:lineRule="atLeast"/>
        <w:jc w:val="both"/>
        <w:rPr>
          <w:rFonts w:ascii="Segoe UI" w:eastAsia="Segoe UI" w:hAnsi="Segoe UI" w:cs="Segoe UI"/>
          <w:b/>
          <w:color w:val="008080"/>
          <w:kern w:val="24"/>
          <w:sz w:val="20"/>
          <w:lang w:eastAsia="el-GR"/>
        </w:rPr>
      </w:pPr>
      <w:r w:rsidRPr="00ED38A5">
        <w:rPr>
          <w:rFonts w:ascii="Segoe UI" w:eastAsia="MS Mincho" w:hAnsi="Segoe UI" w:cs="Segoe UI"/>
          <w:sz w:val="20"/>
          <w:szCs w:val="22"/>
          <w:lang w:eastAsia="el-GR" w:bidi="el-GR"/>
        </w:rPr>
        <w:t xml:space="preserve">Η </w:t>
      </w:r>
      <w:r w:rsidR="00E31F22" w:rsidRPr="00E31F22">
        <w:rPr>
          <w:rFonts w:ascii="Segoe UI" w:eastAsia="MS Mincho" w:hAnsi="Segoe UI" w:cs="Segoe UI"/>
          <w:sz w:val="20"/>
          <w:szCs w:val="22"/>
          <w:lang w:eastAsia="el-GR" w:bidi="el-GR"/>
        </w:rPr>
        <w:t>συμμετοχή</w:t>
      </w:r>
      <w:r w:rsidR="00E31F22">
        <w:rPr>
          <w:rFonts w:ascii="Segoe UI" w:eastAsia="MS Mincho" w:hAnsi="Segoe UI" w:cs="Segoe UI"/>
          <w:sz w:val="20"/>
          <w:szCs w:val="22"/>
          <w:lang w:eastAsia="el-GR" w:bidi="el-GR"/>
        </w:rPr>
        <w:t xml:space="preserve"> της </w:t>
      </w:r>
      <w:r w:rsidR="004E0884">
        <w:rPr>
          <w:rFonts w:ascii="Segoe UI" w:eastAsia="MS Mincho" w:hAnsi="Segoe UI" w:cs="Segoe UI"/>
          <w:sz w:val="20"/>
          <w:szCs w:val="22"/>
          <w:lang w:eastAsia="el-GR" w:bidi="el-GR"/>
        </w:rPr>
        <w:t>ΕΤΕ</w:t>
      </w:r>
      <w:r w:rsidR="00E31F22" w:rsidRPr="00E31F22">
        <w:rPr>
          <w:rFonts w:ascii="Segoe UI" w:eastAsia="MS Mincho" w:hAnsi="Segoe UI" w:cs="Segoe UI"/>
          <w:sz w:val="20"/>
          <w:szCs w:val="22"/>
          <w:lang w:eastAsia="el-GR" w:bidi="el-GR"/>
        </w:rPr>
        <w:t xml:space="preserve"> στο </w:t>
      </w:r>
      <w:r w:rsidR="00E31F22" w:rsidRPr="00E31F22">
        <w:rPr>
          <w:rFonts w:ascii="Segoe UI" w:eastAsia="MS Mincho" w:hAnsi="Segoe UI" w:cs="Segoe UI"/>
          <w:b/>
          <w:sz w:val="20"/>
          <w:szCs w:val="22"/>
          <w:lang w:eastAsia="el-GR" w:bidi="el-GR"/>
        </w:rPr>
        <w:t>Πρόγραμμα Συναλλαγών Μακροχρόνιας Αναχρηματοδότησης (TLTRO)</w:t>
      </w:r>
      <w:r w:rsidR="00E31F22" w:rsidRPr="00E31F22">
        <w:rPr>
          <w:rFonts w:ascii="Segoe UI" w:eastAsia="MS Mincho" w:hAnsi="Segoe UI" w:cs="Segoe UI"/>
          <w:sz w:val="20"/>
          <w:szCs w:val="22"/>
          <w:lang w:eastAsia="el-GR" w:bidi="el-GR"/>
        </w:rPr>
        <w:t xml:space="preserve"> </w:t>
      </w:r>
      <w:r w:rsidR="00E31F22">
        <w:rPr>
          <w:rFonts w:ascii="Segoe UI" w:eastAsia="MS Mincho" w:hAnsi="Segoe UI" w:cs="Segoe UI"/>
          <w:sz w:val="20"/>
          <w:szCs w:val="22"/>
          <w:lang w:eastAsia="el-GR" w:bidi="el-GR"/>
        </w:rPr>
        <w:t xml:space="preserve">παρέμεινε αμετάβλητη </w:t>
      </w:r>
      <w:r w:rsidR="002F4367">
        <w:rPr>
          <w:rFonts w:ascii="Segoe UI" w:eastAsia="MS Mincho" w:hAnsi="Segoe UI" w:cs="Segoe UI"/>
          <w:sz w:val="20"/>
          <w:szCs w:val="22"/>
          <w:lang w:eastAsia="el-GR" w:bidi="el-GR"/>
        </w:rPr>
        <w:t xml:space="preserve">σε τριμηνιαία βάση, </w:t>
      </w:r>
      <w:r w:rsidR="00E31F22">
        <w:rPr>
          <w:rFonts w:ascii="Segoe UI" w:eastAsia="MS Mincho" w:hAnsi="Segoe UI" w:cs="Segoe UI"/>
          <w:sz w:val="20"/>
          <w:szCs w:val="22"/>
          <w:lang w:eastAsia="el-GR" w:bidi="el-GR"/>
        </w:rPr>
        <w:t>σ</w:t>
      </w:r>
      <w:r w:rsidR="002F4367">
        <w:rPr>
          <w:rFonts w:ascii="Segoe UI" w:eastAsia="MS Mincho" w:hAnsi="Segoe UI" w:cs="Segoe UI"/>
          <w:sz w:val="20"/>
          <w:szCs w:val="22"/>
          <w:lang w:eastAsia="el-GR" w:bidi="el-GR"/>
        </w:rPr>
        <w:t>ε</w:t>
      </w:r>
      <w:r w:rsidR="00E31F22">
        <w:rPr>
          <w:rFonts w:ascii="Segoe UI" w:eastAsia="MS Mincho" w:hAnsi="Segoe UI" w:cs="Segoe UI"/>
          <w:sz w:val="20"/>
          <w:szCs w:val="22"/>
          <w:lang w:eastAsia="el-GR" w:bidi="el-GR"/>
        </w:rPr>
        <w:t xml:space="preserve"> </w:t>
      </w:r>
      <w:r w:rsidRPr="00ED38A5">
        <w:rPr>
          <w:rFonts w:ascii="Segoe UI" w:eastAsia="MS Mincho" w:hAnsi="Segoe UI" w:cs="Segoe UI"/>
          <w:sz w:val="20"/>
          <w:szCs w:val="22"/>
          <w:lang w:eastAsia="el-GR" w:bidi="el-GR"/>
        </w:rPr>
        <w:t>€</w:t>
      </w:r>
      <w:r w:rsidR="00695851">
        <w:rPr>
          <w:rFonts w:ascii="Segoe UI" w:eastAsia="MS Mincho" w:hAnsi="Segoe UI" w:cs="Segoe UI"/>
          <w:sz w:val="20"/>
          <w:szCs w:val="22"/>
          <w:lang w:eastAsia="el-GR" w:bidi="el-GR"/>
        </w:rPr>
        <w:t>10,5</w:t>
      </w:r>
      <w:r w:rsidRPr="00ED38A5">
        <w:rPr>
          <w:rFonts w:ascii="Segoe UI" w:eastAsia="MS Mincho" w:hAnsi="Segoe UI" w:cs="Segoe UI"/>
          <w:sz w:val="20"/>
          <w:szCs w:val="22"/>
          <w:lang w:eastAsia="el-GR" w:bidi="el-GR"/>
        </w:rPr>
        <w:t xml:space="preserve"> δισ. </w:t>
      </w:r>
      <w:r w:rsidR="00A81818">
        <w:rPr>
          <w:rFonts w:ascii="Segoe UI" w:eastAsia="MS Mincho" w:hAnsi="Segoe UI" w:cs="Segoe UI"/>
          <w:sz w:val="20"/>
          <w:szCs w:val="22"/>
          <w:lang w:eastAsia="el-GR" w:bidi="el-GR"/>
        </w:rPr>
        <w:t xml:space="preserve">το </w:t>
      </w:r>
      <w:r w:rsidR="00E31F22">
        <w:rPr>
          <w:rFonts w:ascii="Segoe UI" w:eastAsia="MS Mincho" w:hAnsi="Segoe UI" w:cs="Segoe UI"/>
          <w:sz w:val="20"/>
          <w:szCs w:val="22"/>
          <w:lang w:eastAsia="el-GR" w:bidi="el-GR"/>
        </w:rPr>
        <w:t>Γ</w:t>
      </w:r>
      <w:r w:rsidR="00695851" w:rsidRPr="00695851">
        <w:rPr>
          <w:rFonts w:ascii="Segoe UI" w:eastAsia="MS Mincho" w:hAnsi="Segoe UI" w:cs="Segoe UI"/>
          <w:sz w:val="20"/>
          <w:szCs w:val="22"/>
          <w:lang w:eastAsia="el-GR" w:bidi="el-GR"/>
        </w:rPr>
        <w:t>’ τρίμηνο 2020</w:t>
      </w:r>
      <w:r w:rsidR="00695851">
        <w:rPr>
          <w:rFonts w:ascii="Segoe UI" w:eastAsia="MS Mincho" w:hAnsi="Segoe UI" w:cs="Segoe UI"/>
          <w:sz w:val="20"/>
          <w:szCs w:val="22"/>
          <w:lang w:eastAsia="el-GR" w:bidi="el-GR"/>
        </w:rPr>
        <w:t xml:space="preserve">, </w:t>
      </w:r>
      <w:r w:rsidR="00E31F22">
        <w:rPr>
          <w:rFonts w:ascii="Segoe UI" w:eastAsia="MS Mincho" w:hAnsi="Segoe UI" w:cs="Segoe UI"/>
          <w:sz w:val="20"/>
          <w:szCs w:val="22"/>
          <w:lang w:eastAsia="el-GR" w:bidi="el-GR"/>
        </w:rPr>
        <w:t xml:space="preserve">επιδρώντας θετικά στα καθαρά έσοδα από τόκους της Τράπεζας. </w:t>
      </w:r>
      <w:r w:rsidR="00695851">
        <w:rPr>
          <w:rFonts w:ascii="Segoe UI" w:eastAsia="MS Mincho" w:hAnsi="Segoe UI" w:cs="Segoe UI"/>
          <w:sz w:val="20"/>
          <w:szCs w:val="22"/>
          <w:lang w:eastAsia="el-GR" w:bidi="el-GR"/>
        </w:rPr>
        <w:t>Αντανακλώντας την ανατιμολόγηση των καταθέσεων προθεσμίας και τη</w:t>
      </w:r>
      <w:r w:rsidR="00824156">
        <w:rPr>
          <w:rFonts w:ascii="Segoe UI" w:eastAsia="MS Mincho" w:hAnsi="Segoe UI" w:cs="Segoe UI"/>
          <w:sz w:val="20"/>
          <w:szCs w:val="22"/>
          <w:lang w:eastAsia="el-GR" w:bidi="el-GR"/>
        </w:rPr>
        <w:t>ν παροχή</w:t>
      </w:r>
      <w:r w:rsidR="00695851">
        <w:rPr>
          <w:rFonts w:ascii="Segoe UI" w:eastAsia="MS Mincho" w:hAnsi="Segoe UI" w:cs="Segoe UI"/>
          <w:sz w:val="20"/>
          <w:szCs w:val="22"/>
          <w:lang w:eastAsia="el-GR" w:bidi="el-GR"/>
        </w:rPr>
        <w:t xml:space="preserve"> ρευστότητα</w:t>
      </w:r>
      <w:r w:rsidR="00824156">
        <w:rPr>
          <w:rFonts w:ascii="Segoe UI" w:eastAsia="MS Mincho" w:hAnsi="Segoe UI" w:cs="Segoe UI"/>
          <w:sz w:val="20"/>
          <w:szCs w:val="22"/>
          <w:lang w:eastAsia="el-GR" w:bidi="el-GR"/>
        </w:rPr>
        <w:t>ς</w:t>
      </w:r>
      <w:r w:rsidR="00695851">
        <w:rPr>
          <w:rFonts w:ascii="Segoe UI" w:eastAsia="MS Mincho" w:hAnsi="Segoe UI" w:cs="Segoe UI"/>
          <w:sz w:val="20"/>
          <w:szCs w:val="22"/>
          <w:lang w:eastAsia="el-GR" w:bidi="el-GR"/>
        </w:rPr>
        <w:t xml:space="preserve"> χαμηλού κόστους από την ΕΚΤ,</w:t>
      </w:r>
      <w:r w:rsidR="00695851" w:rsidRPr="00695851">
        <w:rPr>
          <w:rFonts w:ascii="Segoe UI" w:eastAsia="MS Mincho" w:hAnsi="Segoe UI" w:cs="Segoe UI"/>
          <w:sz w:val="20"/>
          <w:szCs w:val="22"/>
          <w:lang w:eastAsia="el-GR" w:bidi="el-GR"/>
        </w:rPr>
        <w:t xml:space="preserve"> το κόστος χρηματοδότησης </w:t>
      </w:r>
      <w:r w:rsidR="00695851">
        <w:rPr>
          <w:rFonts w:ascii="Segoe UI" w:eastAsia="MS Mincho" w:hAnsi="Segoe UI" w:cs="Segoe UI"/>
          <w:sz w:val="20"/>
          <w:szCs w:val="22"/>
          <w:lang w:eastAsia="el-GR" w:bidi="el-GR"/>
        </w:rPr>
        <w:t xml:space="preserve">της Τράπεζας </w:t>
      </w:r>
      <w:r w:rsidR="00695851" w:rsidRPr="00695851">
        <w:rPr>
          <w:rFonts w:ascii="Segoe UI" w:eastAsia="MS Mincho" w:hAnsi="Segoe UI" w:cs="Segoe UI"/>
          <w:sz w:val="20"/>
          <w:szCs w:val="22"/>
          <w:lang w:eastAsia="el-GR" w:bidi="el-GR"/>
        </w:rPr>
        <w:t>διαμορφώ</w:t>
      </w:r>
      <w:r w:rsidR="00695851">
        <w:rPr>
          <w:rFonts w:ascii="Segoe UI" w:eastAsia="MS Mincho" w:hAnsi="Segoe UI" w:cs="Segoe UI"/>
          <w:sz w:val="20"/>
          <w:szCs w:val="22"/>
          <w:lang w:eastAsia="el-GR" w:bidi="el-GR"/>
        </w:rPr>
        <w:t>θηκε</w:t>
      </w:r>
      <w:r w:rsidR="00695851" w:rsidRPr="00695851">
        <w:rPr>
          <w:rFonts w:ascii="Segoe UI" w:eastAsia="MS Mincho" w:hAnsi="Segoe UI" w:cs="Segoe UI"/>
          <w:sz w:val="20"/>
          <w:szCs w:val="22"/>
          <w:lang w:eastAsia="el-GR" w:bidi="el-GR"/>
        </w:rPr>
        <w:t xml:space="preserve"> σε επίπεδα της τάξεως των 1</w:t>
      </w:r>
      <w:r w:rsidR="00E31F22">
        <w:rPr>
          <w:rFonts w:ascii="Segoe UI" w:eastAsia="MS Mincho" w:hAnsi="Segoe UI" w:cs="Segoe UI"/>
          <w:sz w:val="20"/>
          <w:szCs w:val="22"/>
          <w:lang w:eastAsia="el-GR" w:bidi="el-GR"/>
        </w:rPr>
        <w:t>2</w:t>
      </w:r>
      <w:r w:rsidR="00695851" w:rsidRPr="00695851">
        <w:rPr>
          <w:rFonts w:ascii="Segoe UI" w:eastAsia="MS Mincho" w:hAnsi="Segoe UI" w:cs="Segoe UI"/>
          <w:sz w:val="20"/>
          <w:szCs w:val="22"/>
          <w:lang w:eastAsia="el-GR" w:bidi="el-GR"/>
        </w:rPr>
        <w:t>μ.β</w:t>
      </w:r>
      <w:r w:rsidR="0072294B">
        <w:rPr>
          <w:rFonts w:ascii="Segoe UI" w:eastAsia="MS Mincho" w:hAnsi="Segoe UI" w:cs="Segoe UI"/>
          <w:sz w:val="20"/>
          <w:szCs w:val="22"/>
          <w:lang w:eastAsia="el-GR" w:bidi="el-GR"/>
        </w:rPr>
        <w:t xml:space="preserve">. </w:t>
      </w:r>
      <w:r w:rsidR="00A81818">
        <w:rPr>
          <w:rFonts w:ascii="Segoe UI" w:eastAsia="MS Mincho" w:hAnsi="Segoe UI" w:cs="Segoe UI"/>
          <w:sz w:val="20"/>
          <w:szCs w:val="22"/>
          <w:lang w:eastAsia="el-GR" w:bidi="el-GR"/>
        </w:rPr>
        <w:t>Οι</w:t>
      </w:r>
      <w:r w:rsidRPr="00ED38A5">
        <w:rPr>
          <w:rFonts w:ascii="Segoe UI" w:eastAsia="MS Mincho" w:hAnsi="Segoe UI" w:cs="Segoe UI"/>
          <w:sz w:val="20"/>
          <w:szCs w:val="22"/>
          <w:lang w:eastAsia="el-GR" w:bidi="el-GR"/>
        </w:rPr>
        <w:t xml:space="preserve"> </w:t>
      </w:r>
      <w:r w:rsidRPr="00ED38A5">
        <w:rPr>
          <w:rFonts w:ascii="Segoe UI" w:eastAsia="MS Mincho" w:hAnsi="Segoe UI" w:cs="Segoe UI"/>
          <w:b/>
          <w:sz w:val="20"/>
          <w:szCs w:val="22"/>
          <w:lang w:eastAsia="el-GR" w:bidi="el-GR"/>
        </w:rPr>
        <w:t>δείκτες LCR</w:t>
      </w:r>
      <w:r w:rsidRPr="00ED38A5">
        <w:rPr>
          <w:rFonts w:ascii="Segoe UI" w:eastAsia="MS Mincho" w:hAnsi="Segoe UI" w:cs="Segoe UI"/>
          <w:sz w:val="20"/>
          <w:szCs w:val="22"/>
          <w:lang w:eastAsia="el-GR" w:bidi="el-GR"/>
        </w:rPr>
        <w:t xml:space="preserve"> και </w:t>
      </w:r>
      <w:r w:rsidRPr="00ED38A5">
        <w:rPr>
          <w:rFonts w:ascii="Segoe UI" w:eastAsia="MS Mincho" w:hAnsi="Segoe UI" w:cs="Segoe UI"/>
          <w:b/>
          <w:sz w:val="20"/>
          <w:szCs w:val="22"/>
          <w:lang w:eastAsia="el-GR" w:bidi="el-GR"/>
        </w:rPr>
        <w:t>NSFR</w:t>
      </w:r>
      <w:r w:rsidRPr="00ED38A5">
        <w:rPr>
          <w:rFonts w:ascii="Segoe UI" w:eastAsia="MS Mincho" w:hAnsi="Segoe UI" w:cs="Segoe UI"/>
          <w:sz w:val="20"/>
          <w:szCs w:val="22"/>
          <w:lang w:eastAsia="el-GR" w:bidi="el-GR"/>
        </w:rPr>
        <w:t xml:space="preserve"> διατηρ</w:t>
      </w:r>
      <w:r w:rsidR="00FC742D">
        <w:rPr>
          <w:rFonts w:ascii="Segoe UI" w:eastAsia="MS Mincho" w:hAnsi="Segoe UI" w:cs="Segoe UI"/>
          <w:sz w:val="20"/>
          <w:szCs w:val="22"/>
          <w:lang w:eastAsia="el-GR" w:bidi="el-GR"/>
        </w:rPr>
        <w:t>ήθηκαν</w:t>
      </w:r>
      <w:r w:rsidRPr="00ED38A5">
        <w:rPr>
          <w:rFonts w:ascii="Segoe UI" w:eastAsia="MS Mincho" w:hAnsi="Segoe UI" w:cs="Segoe UI"/>
          <w:sz w:val="20"/>
          <w:szCs w:val="22"/>
          <w:lang w:eastAsia="el-GR" w:bidi="el-GR"/>
        </w:rPr>
        <w:t xml:space="preserve"> σε </w:t>
      </w:r>
      <w:r w:rsidR="00BE238D">
        <w:rPr>
          <w:rFonts w:ascii="Segoe UI" w:eastAsia="MS Mincho" w:hAnsi="Segoe UI" w:cs="Segoe UI"/>
          <w:sz w:val="20"/>
          <w:szCs w:val="22"/>
          <w:lang w:eastAsia="el-GR" w:bidi="el-GR"/>
        </w:rPr>
        <w:t xml:space="preserve">πολύ </w:t>
      </w:r>
      <w:r w:rsidRPr="00ED38A5">
        <w:rPr>
          <w:rFonts w:ascii="Segoe UI" w:eastAsia="MS Mincho" w:hAnsi="Segoe UI" w:cs="Segoe UI"/>
          <w:sz w:val="20"/>
          <w:szCs w:val="22"/>
          <w:lang w:eastAsia="el-GR" w:bidi="el-GR"/>
        </w:rPr>
        <w:t xml:space="preserve">υψηλά επίπεδα </w:t>
      </w:r>
      <w:r w:rsidR="009E63C1" w:rsidRPr="009E63C1">
        <w:rPr>
          <w:rFonts w:ascii="Segoe UI" w:eastAsia="MS Mincho" w:hAnsi="Segoe UI" w:cs="Segoe UI"/>
          <w:sz w:val="20"/>
          <w:szCs w:val="22"/>
          <w:lang w:eastAsia="el-GR" w:bidi="el-GR"/>
        </w:rPr>
        <w:t>πλέον του 100%, υπερβαίνοντας κατά πολύ το ελάχιστο εποπτικό όριο</w:t>
      </w:r>
      <w:r w:rsidRPr="00ED38A5">
        <w:rPr>
          <w:rFonts w:ascii="Segoe UI" w:eastAsia="MS Mincho" w:hAnsi="Segoe UI" w:cs="Segoe UI"/>
          <w:sz w:val="20"/>
          <w:szCs w:val="22"/>
          <w:lang w:eastAsia="el-GR" w:bidi="el-GR"/>
        </w:rPr>
        <w:t xml:space="preserve">. </w:t>
      </w:r>
      <w:r w:rsidR="007C2814">
        <w:rPr>
          <w:rFonts w:ascii="Segoe UI" w:eastAsia="Segoe UI" w:hAnsi="Segoe UI" w:cs="Segoe UI"/>
          <w:b/>
          <w:color w:val="008080"/>
          <w:kern w:val="24"/>
          <w:sz w:val="20"/>
          <w:lang w:eastAsia="el-GR"/>
        </w:rPr>
        <w:br w:type="page"/>
      </w:r>
    </w:p>
    <w:p w:rsidR="009450BE" w:rsidRPr="000F701B" w:rsidRDefault="008E01D0" w:rsidP="00E55AED">
      <w:pPr>
        <w:kinsoku w:val="0"/>
        <w:overflowPunct w:val="0"/>
        <w:spacing w:before="40"/>
        <w:ind w:left="547" w:hanging="547"/>
        <w:textAlignment w:val="baseline"/>
        <w:rPr>
          <w:rFonts w:ascii="Segoe UI" w:eastAsia="Segoe UI" w:hAnsi="Segoe UI" w:cs="Segoe UI"/>
          <w:b/>
          <w:color w:val="008080"/>
          <w:kern w:val="24"/>
          <w:sz w:val="6"/>
          <w:szCs w:val="6"/>
          <w:lang w:eastAsia="el-GR"/>
        </w:rPr>
      </w:pPr>
      <w:r w:rsidRPr="000F701B">
        <w:rPr>
          <w:rFonts w:ascii="Segoe UI" w:eastAsia="Segoe UI" w:hAnsi="Segoe UI" w:cs="Segoe UI"/>
          <w:b/>
          <w:color w:val="008080"/>
          <w:kern w:val="24"/>
          <w:sz w:val="20"/>
          <w:lang w:eastAsia="el-GR"/>
        </w:rPr>
        <w:lastRenderedPageBreak/>
        <w:t>Χρηματοδότηση από το Ευρωσύστημα (€ δισ.)</w:t>
      </w:r>
      <w:r w:rsidR="00DC2CB0" w:rsidRPr="00DC2CB0">
        <w:rPr>
          <w:noProof/>
          <w:lang w:eastAsia="el-GR"/>
        </w:rPr>
        <w:t xml:space="preserve"> </w:t>
      </w:r>
    </w:p>
    <w:p w:rsidR="00E55AED" w:rsidRPr="00EE40A0" w:rsidRDefault="00ED0061" w:rsidP="0016376C">
      <w:pPr>
        <w:autoSpaceDE w:val="0"/>
        <w:autoSpaceDN w:val="0"/>
        <w:adjustRightInd w:val="0"/>
        <w:spacing w:after="160" w:line="320" w:lineRule="atLeast"/>
        <w:rPr>
          <w:rFonts w:ascii="Segoe UI" w:hAnsi="Segoe UI" w:cs="Segoe UI"/>
          <w:b/>
          <w:color w:val="000000"/>
          <w:sz w:val="20"/>
          <w:lang w:val="en-US"/>
        </w:rPr>
      </w:pPr>
      <w:r w:rsidRPr="00DC2CB0">
        <w:rPr>
          <w:noProof/>
          <w:lang w:eastAsia="el-GR"/>
        </w:rPr>
        <mc:AlternateContent>
          <mc:Choice Requires="wps">
            <w:drawing>
              <wp:anchor distT="0" distB="0" distL="114300" distR="114300" simplePos="0" relativeHeight="251690496" behindDoc="0" locked="0" layoutInCell="1" allowOverlap="1" wp14:anchorId="72443D00" wp14:editId="3EE51F2A">
                <wp:simplePos x="0" y="0"/>
                <wp:positionH relativeFrom="column">
                  <wp:posOffset>4402807</wp:posOffset>
                </wp:positionH>
                <wp:positionV relativeFrom="paragraph">
                  <wp:posOffset>667196</wp:posOffset>
                </wp:positionV>
                <wp:extent cx="1000125" cy="287655"/>
                <wp:effectExtent l="0" t="0" r="142875" b="131445"/>
                <wp:wrapNone/>
                <wp:docPr id="11" name="Rectangular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287655"/>
                        </a:xfrm>
                        <a:prstGeom prst="wedgeRectCallout">
                          <a:avLst>
                            <a:gd name="adj1" fmla="val 61057"/>
                            <a:gd name="adj2" fmla="val 89568"/>
                          </a:avLst>
                        </a:prstGeom>
                        <a:solidFill>
                          <a:sysClr val="window" lastClr="FFFFFF"/>
                        </a:solidFill>
                        <a:ln w="12700" cap="flat" cmpd="sng" algn="ctr">
                          <a:solidFill>
                            <a:sysClr val="window" lastClr="FFFFFF">
                              <a:lumMod val="85000"/>
                            </a:sysClr>
                          </a:solidFill>
                          <a:prstDash val="solid"/>
                        </a:ln>
                        <a:effectLst/>
                      </wps:spPr>
                      <wps:txbx>
                        <w:txbxContent>
                          <w:p w:rsidR="00D95F56" w:rsidRPr="00ED0061" w:rsidRDefault="00D95F56" w:rsidP="00DC2CB0">
                            <w:pPr>
                              <w:jc w:val="center"/>
                              <w:textAlignment w:val="baseline"/>
                              <w:rPr>
                                <w:rFonts w:ascii="Calibri" w:eastAsia="Times New Roman" w:hAnsi="Calibri" w:cs="Times New Roman"/>
                                <w:color w:val="000000"/>
                                <w:kern w:val="24"/>
                                <w:sz w:val="10"/>
                                <w:szCs w:val="14"/>
                                <w:lang w:eastAsia="el-GR"/>
                              </w:rPr>
                            </w:pPr>
                            <w:r w:rsidRPr="00ED0061">
                              <w:rPr>
                                <w:rFonts w:ascii="Calibri" w:eastAsia="Times New Roman" w:hAnsi="Calibri" w:cs="Times New Roman"/>
                                <w:color w:val="000000"/>
                                <w:kern w:val="24"/>
                                <w:sz w:val="10"/>
                                <w:szCs w:val="14"/>
                                <w:lang w:eastAsia="el-GR"/>
                              </w:rPr>
                              <w:t>Κόστος χρηματοδότησης της Τράπεζας στις 12μ.β.</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72443D00" id="Rectangular Callout 18" o:spid="_x0000_s1045" type="#_x0000_t61" style="position:absolute;margin-left:346.7pt;margin-top:52.55pt;width:78.75pt;height:22.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" adj="23988,30147" fillcolor="window" strokecolor="#d9d9d9" strokeweight="1pt">
                <v:path arrowok="t"/>
                <v:textbox>
                  <w:txbxContent>
                    <w:p w:rsidR="00D95F56" w:rsidRPr="00ED0061" w:rsidRDefault="00D95F56" w:rsidP="00DC2CB0">
                      <w:pPr>
                        <w:jc w:val="center"/>
                        <w:textAlignment w:val="baseline"/>
                        <w:rPr>
                          <w:rFonts w:ascii="Calibri" w:eastAsia="Times New Roman" w:hAnsi="Calibri" w:cs="Times New Roman"/>
                          <w:color w:val="000000"/>
                          <w:kern w:val="24"/>
                          <w:sz w:val="10"/>
                          <w:szCs w:val="14"/>
                          <w:lang w:eastAsia="el-GR"/>
                        </w:rPr>
                      </w:pPr>
                      <w:r w:rsidRPr="00ED0061">
                        <w:rPr>
                          <w:rFonts w:ascii="Calibri" w:eastAsia="Times New Roman" w:hAnsi="Calibri" w:cs="Times New Roman"/>
                          <w:color w:val="000000"/>
                          <w:kern w:val="24"/>
                          <w:sz w:val="10"/>
                          <w:szCs w:val="14"/>
                          <w:lang w:eastAsia="el-GR"/>
                        </w:rPr>
                        <w:t>Κόστος χρηματοδότησης της Τράπεζας στις 12μ.β.</w:t>
                      </w:r>
                    </w:p>
                  </w:txbxContent>
                </v:textbox>
              </v:shape>
            </w:pict>
          </mc:Fallback>
        </mc:AlternateContent>
      </w:r>
      <w:r>
        <w:rPr>
          <w:rFonts w:ascii="Segoe UI" w:hAnsi="Segoe UI" w:cs="Segoe UI"/>
          <w:noProof/>
          <w:color w:val="000000"/>
          <w:lang w:eastAsia="el-GR"/>
        </w:rPr>
        <mc:AlternateContent>
          <mc:Choice Requires="wps">
            <w:drawing>
              <wp:anchor distT="0" distB="0" distL="114300" distR="114300" simplePos="0" relativeHeight="251661824" behindDoc="0" locked="0" layoutInCell="1" allowOverlap="1" wp14:anchorId="3BE6E775" wp14:editId="244A3B70">
                <wp:simplePos x="0" y="0"/>
                <wp:positionH relativeFrom="column">
                  <wp:posOffset>5493750</wp:posOffset>
                </wp:positionH>
                <wp:positionV relativeFrom="paragraph">
                  <wp:posOffset>554028</wp:posOffset>
                </wp:positionV>
                <wp:extent cx="855345" cy="410210"/>
                <wp:effectExtent l="0" t="0" r="20955" b="142240"/>
                <wp:wrapNone/>
                <wp:docPr id="22" name="Rectangular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345" cy="410210"/>
                        </a:xfrm>
                        <a:prstGeom prst="wedgeRectCallout">
                          <a:avLst>
                            <a:gd name="adj1" fmla="val -20385"/>
                            <a:gd name="adj2" fmla="val 76750"/>
                          </a:avLst>
                        </a:prstGeom>
                        <a:solidFill>
                          <a:sysClr val="window" lastClr="FFFFFF"/>
                        </a:solidFill>
                        <a:ln w="12700" cap="flat" cmpd="sng" algn="ctr">
                          <a:solidFill>
                            <a:sysClr val="window" lastClr="FFFFFF">
                              <a:lumMod val="85000"/>
                            </a:sysClr>
                          </a:solidFill>
                          <a:prstDash val="solid"/>
                        </a:ln>
                        <a:effectLst/>
                      </wps:spPr>
                      <wps:txbx>
                        <w:txbxContent>
                          <w:p w:rsidR="00D95F56" w:rsidRPr="00ED0061" w:rsidRDefault="00D95F56" w:rsidP="00E55AED">
                            <w:pPr>
                              <w:jc w:val="center"/>
                              <w:textAlignment w:val="baseline"/>
                            </w:pPr>
                            <w:r w:rsidRPr="00ED0061">
                              <w:rPr>
                                <w:rFonts w:ascii="Calibri" w:eastAsia="Times New Roman" w:hAnsi="Calibri" w:cs="Times New Roman"/>
                                <w:color w:val="000000"/>
                                <w:kern w:val="24"/>
                                <w:sz w:val="10"/>
                                <w:szCs w:val="14"/>
                                <w:lang w:eastAsia="el-GR"/>
                              </w:rPr>
                              <w:t>-€0,2 δισ. χρηματοδότηση μέσω συμφωνιών επαναγοράς (</w:t>
                            </w:r>
                            <w:r w:rsidRPr="00ED0061">
                              <w:rPr>
                                <w:rFonts w:ascii="Calibri" w:eastAsia="Times New Roman" w:hAnsi="Calibri" w:cs="Times New Roman"/>
                                <w:color w:val="000000"/>
                                <w:kern w:val="24"/>
                                <w:sz w:val="10"/>
                                <w:szCs w:val="14"/>
                                <w:lang w:val="en-US" w:eastAsia="el-GR"/>
                              </w:rPr>
                              <w:t>repos</w:t>
                            </w:r>
                            <w:r w:rsidRPr="00ED0061">
                              <w:rPr>
                                <w:rFonts w:ascii="Calibri" w:eastAsia="Times New Roman" w:hAnsi="Calibri" w:cs="Times New Roman"/>
                                <w:color w:val="000000"/>
                                <w:kern w:val="24"/>
                                <w:sz w:val="10"/>
                                <w:szCs w:val="14"/>
                                <w:lang w:eastAsia="el-GR"/>
                              </w:rPr>
                              <w:t xml:space="preserve">, </w:t>
                            </w:r>
                            <w:r w:rsidRPr="00ED0061">
                              <w:rPr>
                                <w:rFonts w:ascii="Calibri" w:eastAsia="Times New Roman" w:hAnsi="Calibri" w:cs="Times New Roman"/>
                                <w:color w:val="000000"/>
                                <w:kern w:val="24"/>
                                <w:sz w:val="10"/>
                                <w:szCs w:val="14"/>
                                <w:lang w:val="en-US" w:eastAsia="el-GR"/>
                              </w:rPr>
                              <w:t>net</w:t>
                            </w:r>
                            <w:r w:rsidRPr="00ED0061">
                              <w:rPr>
                                <w:rFonts w:ascii="Calibri" w:eastAsia="Times New Roman" w:hAnsi="Calibri" w:cs="Times New Roman"/>
                                <w:color w:val="000000"/>
                                <w:kern w:val="24"/>
                                <w:sz w:val="10"/>
                                <w:szCs w:val="14"/>
                                <w:lang w:eastAsia="el-GR"/>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3BE6E775" id="_x0000_s1046" type="#_x0000_t61" style="position:absolute;margin-left:432.6pt;margin-top:43.6pt;width:67.35pt;height:32.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" adj="6397,27378" fillcolor="window" strokecolor="#d9d9d9" strokeweight="1pt">
                <v:path arrowok="t"/>
                <v:textbox>
                  <w:txbxContent>
                    <w:p w:rsidR="00D95F56" w:rsidRPr="00ED0061" w:rsidRDefault="00D95F56" w:rsidP="00E55AED">
                      <w:pPr>
                        <w:jc w:val="center"/>
                        <w:textAlignment w:val="baseline"/>
                      </w:pPr>
                      <w:r w:rsidRPr="00ED0061">
                        <w:rPr>
                          <w:rFonts w:ascii="Calibri" w:eastAsia="Times New Roman" w:hAnsi="Calibri" w:cs="Times New Roman"/>
                          <w:color w:val="000000"/>
                          <w:kern w:val="24"/>
                          <w:sz w:val="10"/>
                          <w:szCs w:val="14"/>
                          <w:lang w:eastAsia="el-GR"/>
                        </w:rPr>
                        <w:t>-€0,2 δισ. χρηματοδότηση μέσω συμφωνιών επαναγοράς (</w:t>
                      </w:r>
                      <w:r w:rsidRPr="00ED0061">
                        <w:rPr>
                          <w:rFonts w:ascii="Calibri" w:eastAsia="Times New Roman" w:hAnsi="Calibri" w:cs="Times New Roman"/>
                          <w:color w:val="000000"/>
                          <w:kern w:val="24"/>
                          <w:sz w:val="10"/>
                          <w:szCs w:val="14"/>
                          <w:lang w:val="en-US" w:eastAsia="el-GR"/>
                        </w:rPr>
                        <w:t>repos</w:t>
                      </w:r>
                      <w:r w:rsidRPr="00ED0061">
                        <w:rPr>
                          <w:rFonts w:ascii="Calibri" w:eastAsia="Times New Roman" w:hAnsi="Calibri" w:cs="Times New Roman"/>
                          <w:color w:val="000000"/>
                          <w:kern w:val="24"/>
                          <w:sz w:val="10"/>
                          <w:szCs w:val="14"/>
                          <w:lang w:eastAsia="el-GR"/>
                        </w:rPr>
                        <w:t xml:space="preserve">, </w:t>
                      </w:r>
                      <w:r w:rsidRPr="00ED0061">
                        <w:rPr>
                          <w:rFonts w:ascii="Calibri" w:eastAsia="Times New Roman" w:hAnsi="Calibri" w:cs="Times New Roman"/>
                          <w:color w:val="000000"/>
                          <w:kern w:val="24"/>
                          <w:sz w:val="10"/>
                          <w:szCs w:val="14"/>
                          <w:lang w:val="en-US" w:eastAsia="el-GR"/>
                        </w:rPr>
                        <w:t>net</w:t>
                      </w:r>
                      <w:r w:rsidRPr="00ED0061">
                        <w:rPr>
                          <w:rFonts w:ascii="Calibri" w:eastAsia="Times New Roman" w:hAnsi="Calibri" w:cs="Times New Roman"/>
                          <w:color w:val="000000"/>
                          <w:kern w:val="24"/>
                          <w:sz w:val="10"/>
                          <w:szCs w:val="14"/>
                          <w:lang w:eastAsia="el-GR"/>
                        </w:rPr>
                        <w:t>)</w:t>
                      </w:r>
                    </w:p>
                  </w:txbxContent>
                </v:textbox>
              </v:shape>
            </w:pict>
          </mc:Fallback>
        </mc:AlternateContent>
      </w:r>
      <w:r w:rsidR="00741CA9">
        <w:rPr>
          <w:rFonts w:ascii="Segoe UI" w:hAnsi="Segoe UI" w:cs="Segoe UI"/>
          <w:noProof/>
          <w:color w:val="000000"/>
          <w:lang w:eastAsia="el-GR"/>
        </w:rPr>
        <mc:AlternateContent>
          <mc:Choice Requires="wps">
            <w:drawing>
              <wp:anchor distT="0" distB="0" distL="114300" distR="114300" simplePos="0" relativeHeight="251688448" behindDoc="0" locked="0" layoutInCell="1" allowOverlap="1" wp14:anchorId="2770CAF4" wp14:editId="2D26B780">
                <wp:simplePos x="0" y="0"/>
                <wp:positionH relativeFrom="column">
                  <wp:posOffset>-73137</wp:posOffset>
                </wp:positionH>
                <wp:positionV relativeFrom="paragraph">
                  <wp:posOffset>2184337</wp:posOffset>
                </wp:positionV>
                <wp:extent cx="4180115" cy="232410"/>
                <wp:effectExtent l="0" t="0" r="0" b="0"/>
                <wp:wrapNone/>
                <wp:docPr id="10" name="Rectangular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80115" cy="232410"/>
                        </a:xfrm>
                        <a:prstGeom prst="wedgeRectCallout">
                          <a:avLst>
                            <a:gd name="adj1" fmla="val 13004"/>
                            <a:gd name="adj2" fmla="val 24652"/>
                          </a:avLst>
                        </a:prstGeom>
                        <a:noFill/>
                        <a:ln w="12700" cap="flat" cmpd="sng" algn="ctr">
                          <a:noFill/>
                          <a:prstDash val="solid"/>
                        </a:ln>
                        <a:effectLst/>
                      </wps:spPr>
                      <wps:txbx>
                        <w:txbxContent>
                          <w:p w:rsidR="00D95F56" w:rsidRPr="00F60990" w:rsidRDefault="00D95F56" w:rsidP="00741CA9">
                            <w:pPr>
                              <w:kinsoku w:val="0"/>
                              <w:overflowPunct w:val="0"/>
                              <w:ind w:left="544" w:hanging="544"/>
                              <w:textAlignment w:val="baseline"/>
                              <w:rPr>
                                <w:rFonts w:ascii="Segoe UI" w:eastAsia="Segoe UI" w:hAnsi="Segoe UI" w:cs="Segoe UI"/>
                                <w:kern w:val="24"/>
                                <w:sz w:val="10"/>
                                <w:szCs w:val="12"/>
                                <w:lang w:eastAsia="el-GR"/>
                              </w:rPr>
                            </w:pPr>
                            <w:r w:rsidRPr="00F60990">
                              <w:rPr>
                                <w:rFonts w:ascii="Segoe UI" w:eastAsia="Segoe UI" w:hAnsi="Segoe UI" w:cs="Segoe UI"/>
                                <w:kern w:val="24"/>
                                <w:sz w:val="10"/>
                                <w:szCs w:val="12"/>
                                <w:vertAlign w:val="superscript"/>
                                <w:lang w:eastAsia="el-GR"/>
                              </w:rPr>
                              <w:t>1</w:t>
                            </w:r>
                            <w:r>
                              <w:rPr>
                                <w:rFonts w:ascii="Segoe UI" w:eastAsia="Segoe UI" w:hAnsi="Segoe UI" w:cs="Segoe UI"/>
                                <w:kern w:val="24"/>
                                <w:sz w:val="10"/>
                                <w:szCs w:val="12"/>
                                <w:lang w:eastAsia="el-GR"/>
                              </w:rPr>
                              <w:t>Πλήρης αποπληρωμή της χρηματοδότησης από τον έκτακτο μηχανισμό ρευστότητας (</w:t>
                            </w:r>
                            <w:r>
                              <w:rPr>
                                <w:rFonts w:ascii="Segoe UI" w:eastAsia="Segoe UI" w:hAnsi="Segoe UI" w:cs="Segoe UI"/>
                                <w:kern w:val="24"/>
                                <w:sz w:val="10"/>
                                <w:szCs w:val="12"/>
                                <w:lang w:val="en-US" w:eastAsia="el-GR"/>
                              </w:rPr>
                              <w:t>E</w:t>
                            </w:r>
                            <w:r>
                              <w:rPr>
                                <w:rFonts w:ascii="Segoe UI" w:eastAsia="Segoe UI" w:hAnsi="Segoe UI" w:cs="Segoe UI"/>
                                <w:kern w:val="24"/>
                                <w:sz w:val="10"/>
                                <w:szCs w:val="12"/>
                                <w:lang w:val="en-GB" w:eastAsia="el-GR"/>
                              </w:rPr>
                              <w:t>LA</w:t>
                            </w:r>
                            <w:r w:rsidRPr="00D6644E">
                              <w:rPr>
                                <w:rFonts w:ascii="Segoe UI" w:eastAsia="Segoe UI" w:hAnsi="Segoe UI" w:cs="Segoe UI"/>
                                <w:kern w:val="24"/>
                                <w:sz w:val="10"/>
                                <w:szCs w:val="12"/>
                                <w:lang w:eastAsia="el-GR"/>
                              </w:rPr>
                              <w:t xml:space="preserve">) </w:t>
                            </w:r>
                            <w:r>
                              <w:rPr>
                                <w:rFonts w:ascii="Segoe UI" w:eastAsia="Segoe UI" w:hAnsi="Segoe UI" w:cs="Segoe UI"/>
                                <w:kern w:val="24"/>
                                <w:sz w:val="10"/>
                                <w:szCs w:val="12"/>
                                <w:lang w:eastAsia="el-GR"/>
                              </w:rPr>
                              <w:t xml:space="preserve">της Τράπεζας της Ελλάδος (ΤτΕ) το </w:t>
                            </w:r>
                            <w:r w:rsidRPr="00F60990">
                              <w:rPr>
                                <w:rFonts w:ascii="Segoe UI" w:eastAsia="Segoe UI" w:hAnsi="Segoe UI" w:cs="Segoe UI"/>
                                <w:kern w:val="24"/>
                                <w:sz w:val="10"/>
                                <w:szCs w:val="12"/>
                                <w:lang w:eastAsia="el-GR"/>
                              </w:rPr>
                              <w:t>2017</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2770CAF4" id="_x0000_s1047" type="#_x0000_t61" style="position:absolute;margin-left:-5.75pt;margin-top:172pt;width:329.15pt;height:18.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" adj="13609,16125" filled="f" stroked="f" strokeweight="1pt">
                <v:path arrowok="t"/>
                <v:textbox>
                  <w:txbxContent>
                    <w:p w:rsidR="00D95F56" w:rsidRPr="00F60990" w:rsidRDefault="00D95F56" w:rsidP="00741CA9">
                      <w:pPr>
                        <w:kinsoku w:val="0"/>
                        <w:overflowPunct w:val="0"/>
                        <w:ind w:left="544" w:hanging="544"/>
                        <w:textAlignment w:val="baseline"/>
                        <w:rPr>
                          <w:rFonts w:ascii="Segoe UI" w:eastAsia="Segoe UI" w:hAnsi="Segoe UI" w:cs="Segoe UI"/>
                          <w:kern w:val="24"/>
                          <w:sz w:val="10"/>
                          <w:szCs w:val="12"/>
                          <w:lang w:eastAsia="el-GR"/>
                        </w:rPr>
                      </w:pPr>
                      <w:r w:rsidRPr="00F60990">
                        <w:rPr>
                          <w:rFonts w:ascii="Segoe UI" w:eastAsia="Segoe UI" w:hAnsi="Segoe UI" w:cs="Segoe UI"/>
                          <w:kern w:val="24"/>
                          <w:sz w:val="10"/>
                          <w:szCs w:val="12"/>
                          <w:vertAlign w:val="superscript"/>
                          <w:lang w:eastAsia="el-GR"/>
                        </w:rPr>
                        <w:t>1</w:t>
                      </w:r>
                      <w:r>
                        <w:rPr>
                          <w:rFonts w:ascii="Segoe UI" w:eastAsia="Segoe UI" w:hAnsi="Segoe UI" w:cs="Segoe UI"/>
                          <w:kern w:val="24"/>
                          <w:sz w:val="10"/>
                          <w:szCs w:val="12"/>
                          <w:lang w:eastAsia="el-GR"/>
                        </w:rPr>
                        <w:t>Πλήρης αποπληρωμή της χρηματοδότησης από τον έκτακτο μηχανισμό ρευστότητας (</w:t>
                      </w:r>
                      <w:r>
                        <w:rPr>
                          <w:rFonts w:ascii="Segoe UI" w:eastAsia="Segoe UI" w:hAnsi="Segoe UI" w:cs="Segoe UI"/>
                          <w:kern w:val="24"/>
                          <w:sz w:val="10"/>
                          <w:szCs w:val="12"/>
                          <w:lang w:val="en-US" w:eastAsia="el-GR"/>
                        </w:rPr>
                        <w:t>E</w:t>
                      </w:r>
                      <w:r>
                        <w:rPr>
                          <w:rFonts w:ascii="Segoe UI" w:eastAsia="Segoe UI" w:hAnsi="Segoe UI" w:cs="Segoe UI"/>
                          <w:kern w:val="24"/>
                          <w:sz w:val="10"/>
                          <w:szCs w:val="12"/>
                          <w:lang w:val="en-GB" w:eastAsia="el-GR"/>
                        </w:rPr>
                        <w:t>LA</w:t>
                      </w:r>
                      <w:r w:rsidRPr="00D6644E">
                        <w:rPr>
                          <w:rFonts w:ascii="Segoe UI" w:eastAsia="Segoe UI" w:hAnsi="Segoe UI" w:cs="Segoe UI"/>
                          <w:kern w:val="24"/>
                          <w:sz w:val="10"/>
                          <w:szCs w:val="12"/>
                          <w:lang w:eastAsia="el-GR"/>
                        </w:rPr>
                        <w:t xml:space="preserve">) </w:t>
                      </w:r>
                      <w:r>
                        <w:rPr>
                          <w:rFonts w:ascii="Segoe UI" w:eastAsia="Segoe UI" w:hAnsi="Segoe UI" w:cs="Segoe UI"/>
                          <w:kern w:val="24"/>
                          <w:sz w:val="10"/>
                          <w:szCs w:val="12"/>
                          <w:lang w:eastAsia="el-GR"/>
                        </w:rPr>
                        <w:t xml:space="preserve">της Τράπεζας της Ελλάδος (ΤτΕ) το </w:t>
                      </w:r>
                      <w:r w:rsidRPr="00F60990">
                        <w:rPr>
                          <w:rFonts w:ascii="Segoe UI" w:eastAsia="Segoe UI" w:hAnsi="Segoe UI" w:cs="Segoe UI"/>
                          <w:kern w:val="24"/>
                          <w:sz w:val="10"/>
                          <w:szCs w:val="12"/>
                          <w:lang w:eastAsia="el-GR"/>
                        </w:rPr>
                        <w:t>2017</w:t>
                      </w:r>
                    </w:p>
                  </w:txbxContent>
                </v:textbox>
              </v:shape>
            </w:pict>
          </mc:Fallback>
        </mc:AlternateContent>
      </w:r>
      <w:r w:rsidR="00BA1D72">
        <w:rPr>
          <w:rFonts w:ascii="Segoe UI" w:hAnsi="Segoe UI" w:cs="Segoe UI"/>
          <w:noProof/>
          <w:lang w:eastAsia="el-GR"/>
        </w:rPr>
        <mc:AlternateContent>
          <mc:Choice Requires="wps">
            <w:drawing>
              <wp:anchor distT="0" distB="0" distL="114300" distR="114300" simplePos="0" relativeHeight="251663872" behindDoc="0" locked="0" layoutInCell="1" allowOverlap="1" wp14:anchorId="415A8091" wp14:editId="48031710">
                <wp:simplePos x="0" y="0"/>
                <wp:positionH relativeFrom="column">
                  <wp:posOffset>192405</wp:posOffset>
                </wp:positionH>
                <wp:positionV relativeFrom="paragraph">
                  <wp:posOffset>1550988</wp:posOffset>
                </wp:positionV>
                <wp:extent cx="388620" cy="197485"/>
                <wp:effectExtent l="0" t="0" r="0" b="0"/>
                <wp:wrapNone/>
                <wp:docPr id="6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197485"/>
                        </a:xfrm>
                        <a:prstGeom prst="rect">
                          <a:avLst/>
                        </a:prstGeom>
                        <a:noFill/>
                      </wps:spPr>
                      <wps:txbx>
                        <w:txbxContent>
                          <w:p w:rsidR="00D95F56" w:rsidRPr="00842227" w:rsidRDefault="00D95F56" w:rsidP="00E55AED">
                            <w:pPr>
                              <w:textAlignment w:val="baseline"/>
                            </w:pPr>
                            <w:r w:rsidRPr="00842227">
                              <w:rPr>
                                <w:rFonts w:cs="Arial"/>
                                <w:b/>
                                <w:bCs/>
                                <w:color w:val="000000" w:themeColor="text1"/>
                                <w:kern w:val="24"/>
                                <w:sz w:val="14"/>
                                <w:szCs w:val="16"/>
                                <w:lang w:val="en-US"/>
                              </w:rPr>
                              <w:t>E</w:t>
                            </w:r>
                            <w:r>
                              <w:rPr>
                                <w:rFonts w:cs="Arial"/>
                                <w:b/>
                                <w:bCs/>
                                <w:color w:val="000000" w:themeColor="text1"/>
                                <w:kern w:val="24"/>
                                <w:sz w:val="14"/>
                                <w:szCs w:val="16"/>
                                <w:lang w:val="en-US"/>
                              </w:rPr>
                              <w:t>KT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5A8091" id="TextBox 15" o:spid="_x0000_s1048" type="#_x0000_t202" style="position:absolute;margin-left:15.15pt;margin-top:122.15pt;width:30.6pt;height:15.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" filled="f" stroked="f">
                <v:path arrowok="t"/>
                <v:textbox>
                  <w:txbxContent>
                    <w:p w:rsidR="00D95F56" w:rsidRPr="00842227" w:rsidRDefault="00D95F56" w:rsidP="00E55AED">
                      <w:pPr>
                        <w:textAlignment w:val="baseline"/>
                      </w:pPr>
                      <w:r w:rsidRPr="00842227">
                        <w:rPr>
                          <w:rFonts w:cs="Arial"/>
                          <w:b/>
                          <w:bCs/>
                          <w:color w:val="000000" w:themeColor="text1"/>
                          <w:kern w:val="24"/>
                          <w:sz w:val="14"/>
                          <w:szCs w:val="16"/>
                          <w:lang w:val="en-US"/>
                        </w:rPr>
                        <w:t>E</w:t>
                      </w:r>
                      <w:r>
                        <w:rPr>
                          <w:rFonts w:cs="Arial"/>
                          <w:b/>
                          <w:bCs/>
                          <w:color w:val="000000" w:themeColor="text1"/>
                          <w:kern w:val="24"/>
                          <w:sz w:val="14"/>
                          <w:szCs w:val="16"/>
                          <w:lang w:val="en-US"/>
                        </w:rPr>
                        <w:t>KT</w:t>
                      </w:r>
                    </w:p>
                  </w:txbxContent>
                </v:textbox>
              </v:shape>
            </w:pict>
          </mc:Fallback>
        </mc:AlternateContent>
      </w:r>
      <w:r w:rsidR="003D0C47">
        <w:rPr>
          <w:rFonts w:ascii="Segoe UI" w:hAnsi="Segoe UI" w:cs="Segoe UI"/>
          <w:noProof/>
          <w:lang w:eastAsia="el-GR"/>
        </w:rPr>
        <mc:AlternateContent>
          <mc:Choice Requires="wps">
            <w:drawing>
              <wp:anchor distT="0" distB="0" distL="114300" distR="114300" simplePos="0" relativeHeight="251662848" behindDoc="0" locked="0" layoutInCell="1" allowOverlap="1" wp14:anchorId="3998993B" wp14:editId="2E3B2CCC">
                <wp:simplePos x="0" y="0"/>
                <wp:positionH relativeFrom="column">
                  <wp:posOffset>193675</wp:posOffset>
                </wp:positionH>
                <wp:positionV relativeFrom="paragraph">
                  <wp:posOffset>661670</wp:posOffset>
                </wp:positionV>
                <wp:extent cx="396000" cy="176530"/>
                <wp:effectExtent l="0" t="0" r="0" b="0"/>
                <wp:wrapNone/>
                <wp:docPr id="750847110"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000" cy="176530"/>
                        </a:xfrm>
                        <a:prstGeom prst="rect">
                          <a:avLst/>
                        </a:prstGeom>
                        <a:noFill/>
                      </wps:spPr>
                      <wps:txbx>
                        <w:txbxContent>
                          <w:p w:rsidR="00D95F56" w:rsidRPr="00842227" w:rsidRDefault="00D95F56" w:rsidP="00E55AED">
                            <w:pPr>
                              <w:textAlignment w:val="baseline"/>
                            </w:pPr>
                            <w:r w:rsidRPr="00842227">
                              <w:rPr>
                                <w:rFonts w:cs="Arial"/>
                                <w:b/>
                                <w:bCs/>
                                <w:color w:val="000000" w:themeColor="text1"/>
                                <w:kern w:val="24"/>
                                <w:sz w:val="14"/>
                                <w:szCs w:val="16"/>
                                <w:lang w:val="en-US"/>
                              </w:rPr>
                              <w:t>ELA</w:t>
                            </w:r>
                            <w:r w:rsidRPr="00741CA9">
                              <w:rPr>
                                <w:rFonts w:cs="Arial"/>
                                <w:b/>
                                <w:bCs/>
                                <w:color w:val="000000" w:themeColor="text1"/>
                                <w:kern w:val="24"/>
                                <w:sz w:val="14"/>
                                <w:szCs w:val="16"/>
                                <w:vertAlign w:val="superscript"/>
                                <w:lang w:val="en-US"/>
                              </w:rPr>
                              <w:t>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998993B" id="_x0000_s1049" type="#_x0000_t202" style="position:absolute;margin-left:15.25pt;margin-top:52.1pt;width:31.2pt;height:1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" filled="f" stroked="f">
                <v:path arrowok="t"/>
                <v:textbox>
                  <w:txbxContent>
                    <w:p w:rsidR="00D95F56" w:rsidRPr="00842227" w:rsidRDefault="00D95F56" w:rsidP="00E55AED">
                      <w:pPr>
                        <w:textAlignment w:val="baseline"/>
                      </w:pPr>
                      <w:r w:rsidRPr="00842227">
                        <w:rPr>
                          <w:rFonts w:cs="Arial"/>
                          <w:b/>
                          <w:bCs/>
                          <w:color w:val="000000" w:themeColor="text1"/>
                          <w:kern w:val="24"/>
                          <w:sz w:val="14"/>
                          <w:szCs w:val="16"/>
                          <w:lang w:val="en-US"/>
                        </w:rPr>
                        <w:t>ELA</w:t>
                      </w:r>
                      <w:r w:rsidRPr="00741CA9">
                        <w:rPr>
                          <w:rFonts w:cs="Arial"/>
                          <w:b/>
                          <w:bCs/>
                          <w:color w:val="000000" w:themeColor="text1"/>
                          <w:kern w:val="24"/>
                          <w:sz w:val="14"/>
                          <w:szCs w:val="16"/>
                          <w:vertAlign w:val="superscript"/>
                          <w:lang w:val="en-US"/>
                        </w:rPr>
                        <w:t>1</w:t>
                      </w:r>
                    </w:p>
                  </w:txbxContent>
                </v:textbox>
              </v:shape>
            </w:pict>
          </mc:Fallback>
        </mc:AlternateContent>
      </w:r>
      <w:r w:rsidR="00E55AED" w:rsidRPr="00EE40A0">
        <w:rPr>
          <w:rFonts w:ascii="Segoe UI" w:hAnsi="Segoe UI" w:cs="Segoe UI"/>
          <w:b/>
          <w:noProof/>
          <w:color w:val="000000"/>
          <w:sz w:val="20"/>
          <w:lang w:eastAsia="el-GR"/>
        </w:rPr>
        <w:drawing>
          <wp:inline distT="0" distB="0" distL="0" distR="0" wp14:anchorId="03938C78" wp14:editId="4E8078A3">
            <wp:extent cx="6422066" cy="2232837"/>
            <wp:effectExtent l="0" t="0" r="17145" b="15240"/>
            <wp:docPr id="750847115"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6376C" w:rsidRDefault="0016376C"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p>
    <w:p w:rsidR="00E55AED" w:rsidRPr="000F701B" w:rsidRDefault="008E01D0" w:rsidP="00E55AED">
      <w:pPr>
        <w:kinsoku w:val="0"/>
        <w:overflowPunct w:val="0"/>
        <w:spacing w:before="40"/>
        <w:ind w:left="547" w:hanging="547"/>
        <w:textAlignment w:val="baseline"/>
        <w:rPr>
          <w:rFonts w:ascii="Segoe UI" w:eastAsia="Segoe UI" w:hAnsi="Segoe UI" w:cs="Segoe UI"/>
          <w:b/>
          <w:color w:val="008080"/>
          <w:kern w:val="24"/>
          <w:sz w:val="20"/>
          <w:lang w:eastAsia="el-GR"/>
        </w:rPr>
      </w:pPr>
      <w:r w:rsidRPr="000F701B">
        <w:rPr>
          <w:rFonts w:ascii="Segoe UI" w:eastAsia="Segoe UI" w:hAnsi="Segoe UI" w:cs="Segoe UI"/>
          <w:b/>
          <w:color w:val="008080"/>
          <w:kern w:val="24"/>
          <w:sz w:val="20"/>
          <w:lang w:eastAsia="el-GR"/>
        </w:rPr>
        <w:t>Εγχώριες ροές καταθέσεων (€ δι</w:t>
      </w:r>
      <w:r>
        <w:rPr>
          <w:rFonts w:ascii="Segoe UI" w:eastAsia="Segoe UI" w:hAnsi="Segoe UI" w:cs="Segoe UI"/>
          <w:b/>
          <w:color w:val="008080"/>
          <w:kern w:val="24"/>
          <w:sz w:val="20"/>
          <w:lang w:eastAsia="el-GR"/>
        </w:rPr>
        <w:t>σ</w:t>
      </w:r>
      <w:r w:rsidRPr="000F701B">
        <w:rPr>
          <w:rFonts w:ascii="Segoe UI" w:eastAsia="Segoe UI" w:hAnsi="Segoe UI" w:cs="Segoe UI"/>
          <w:b/>
          <w:color w:val="008080"/>
          <w:kern w:val="24"/>
          <w:sz w:val="20"/>
          <w:lang w:eastAsia="el-GR"/>
        </w:rPr>
        <w:t>.</w:t>
      </w:r>
      <w:r w:rsidR="00E55AED" w:rsidRPr="000F701B">
        <w:rPr>
          <w:rFonts w:ascii="Segoe UI" w:eastAsia="Segoe UI" w:hAnsi="Segoe UI" w:cs="Segoe UI"/>
          <w:b/>
          <w:color w:val="008080"/>
          <w:kern w:val="24"/>
          <w:sz w:val="20"/>
          <w:lang w:eastAsia="el-GR"/>
        </w:rPr>
        <w:t>)</w:t>
      </w:r>
    </w:p>
    <w:p w:rsidR="009450BE" w:rsidRPr="000F701B" w:rsidRDefault="009450BE" w:rsidP="00E55AED">
      <w:pPr>
        <w:kinsoku w:val="0"/>
        <w:overflowPunct w:val="0"/>
        <w:spacing w:before="40"/>
        <w:ind w:left="547" w:hanging="547"/>
        <w:textAlignment w:val="baseline"/>
        <w:rPr>
          <w:rFonts w:ascii="Segoe UI" w:eastAsia="Segoe UI" w:hAnsi="Segoe UI" w:cs="Segoe UI"/>
          <w:b/>
          <w:color w:val="008080"/>
          <w:kern w:val="24"/>
          <w:sz w:val="6"/>
          <w:szCs w:val="6"/>
          <w:lang w:eastAsia="el-GR"/>
        </w:rPr>
      </w:pPr>
    </w:p>
    <w:p w:rsidR="00E55AED" w:rsidRPr="00EE40A0" w:rsidRDefault="000C1A73" w:rsidP="0016376C">
      <w:pPr>
        <w:kinsoku w:val="0"/>
        <w:overflowPunct w:val="0"/>
        <w:spacing w:before="40"/>
        <w:ind w:left="547" w:hanging="547"/>
        <w:textAlignment w:val="baseline"/>
        <w:rPr>
          <w:rFonts w:ascii="Segoe UI" w:eastAsia="Segoe UI" w:hAnsi="Segoe UI" w:cs="Segoe UI"/>
          <w:b/>
          <w:color w:val="008080"/>
          <w:kern w:val="24"/>
          <w:sz w:val="18"/>
          <w:lang w:val="en-US" w:eastAsia="el-GR"/>
        </w:rPr>
      </w:pPr>
      <w:r>
        <w:rPr>
          <w:rFonts w:ascii="Segoe UI" w:hAnsi="Segoe UI" w:cs="Segoe UI"/>
          <w:noProof/>
          <w:lang w:eastAsia="el-GR"/>
        </w:rPr>
        <mc:AlternateContent>
          <mc:Choice Requires="wps">
            <w:drawing>
              <wp:anchor distT="0" distB="0" distL="114300" distR="114300" simplePos="0" relativeHeight="251675136" behindDoc="0" locked="0" layoutInCell="1" allowOverlap="1" wp14:anchorId="0B1CD3F4" wp14:editId="6BFBFBAC">
                <wp:simplePos x="0" y="0"/>
                <wp:positionH relativeFrom="column">
                  <wp:posOffset>2249805</wp:posOffset>
                </wp:positionH>
                <wp:positionV relativeFrom="paragraph">
                  <wp:posOffset>20955</wp:posOffset>
                </wp:positionV>
                <wp:extent cx="4173855" cy="1900555"/>
                <wp:effectExtent l="0" t="0" r="17145" b="23495"/>
                <wp:wrapNone/>
                <wp:docPr id="1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3855" cy="1900555"/>
                        </a:xfrm>
                        <a:prstGeom prst="rect">
                          <a:avLst/>
                        </a:prstGeom>
                        <a:noFill/>
                        <a:ln w="19050" cap="flat" cmpd="sng" algn="ctr">
                          <a:solidFill>
                            <a:sysClr val="window" lastClr="FFFFFF">
                              <a:lumMod val="50000"/>
                            </a:sys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C8298" id="Rectangle 40" o:spid="_x0000_s1026" style="position:absolute;margin-left:177.15pt;margin-top:1.65pt;width:328.65pt;height:149.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" filled="f" strokecolor="#7f7f7f" strokeweight="1.5pt">
                <v:stroke dashstyle="3 1"/>
                <v:path arrowok="t"/>
              </v:rect>
            </w:pict>
          </mc:Fallback>
        </mc:AlternateContent>
      </w:r>
      <w:r>
        <w:rPr>
          <w:rFonts w:ascii="Segoe UI" w:hAnsi="Segoe UI" w:cs="Segoe UI"/>
          <w:noProof/>
          <w:lang w:eastAsia="el-GR"/>
        </w:rPr>
        <mc:AlternateContent>
          <mc:Choice Requires="wps">
            <w:drawing>
              <wp:anchor distT="0" distB="0" distL="114300" distR="114300" simplePos="0" relativeHeight="251674112" behindDoc="0" locked="0" layoutInCell="1" allowOverlap="1" wp14:anchorId="7CAAF0B4" wp14:editId="44E11CDB">
                <wp:simplePos x="0" y="0"/>
                <wp:positionH relativeFrom="column">
                  <wp:posOffset>-635</wp:posOffset>
                </wp:positionH>
                <wp:positionV relativeFrom="paragraph">
                  <wp:posOffset>26670</wp:posOffset>
                </wp:positionV>
                <wp:extent cx="2006600" cy="1900555"/>
                <wp:effectExtent l="0" t="0" r="12700" b="23495"/>
                <wp:wrapNone/>
                <wp:docPr id="4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0" cy="1900555"/>
                        </a:xfrm>
                        <a:prstGeom prst="rect">
                          <a:avLst/>
                        </a:prstGeom>
                        <a:noFill/>
                        <a:ln w="19050">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3D319" id="Rectangle 40" o:spid="_x0000_s1026" style="position:absolute;margin-left:-.05pt;margin-top:2.1pt;width:158pt;height:149.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" filled="f" strokecolor="#7f7f7f [1612]" strokeweight="1.5pt">
                <v:stroke dashstyle="3 1"/>
                <v:path arrowok="t"/>
              </v:rect>
            </w:pict>
          </mc:Fallback>
        </mc:AlternateContent>
      </w:r>
      <w:r w:rsidR="00E55AED" w:rsidRPr="00EE40A0">
        <w:rPr>
          <w:rFonts w:ascii="Segoe UI" w:eastAsia="Segoe UI" w:hAnsi="Segoe UI" w:cs="Segoe UI"/>
          <w:b/>
          <w:noProof/>
          <w:color w:val="008080"/>
          <w:kern w:val="24"/>
          <w:sz w:val="18"/>
          <w:lang w:eastAsia="el-GR"/>
        </w:rPr>
        <w:drawing>
          <wp:inline distT="0" distB="0" distL="0" distR="0" wp14:anchorId="08321D9F" wp14:editId="05A71A0F">
            <wp:extent cx="6422066" cy="1871330"/>
            <wp:effectExtent l="0" t="0" r="0" b="0"/>
            <wp:docPr id="7508471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55AED" w:rsidRPr="00EE40A0" w:rsidRDefault="00E55AED"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p>
    <w:p w:rsidR="00E55AED" w:rsidRPr="00EE40A0" w:rsidRDefault="000C1A73"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r>
        <w:rPr>
          <w:rFonts w:ascii="Segoe UI" w:hAnsi="Segoe UI" w:cs="Segoe UI"/>
          <w:noProof/>
          <w:lang w:eastAsia="el-GR"/>
        </w:rPr>
        <mc:AlternateContent>
          <mc:Choice Requires="wps">
            <w:drawing>
              <wp:anchor distT="0" distB="0" distL="114300" distR="114300" simplePos="0" relativeHeight="251664896" behindDoc="0" locked="0" layoutInCell="1" allowOverlap="1" wp14:anchorId="76365E1D" wp14:editId="1EC57EE4">
                <wp:simplePos x="0" y="0"/>
                <wp:positionH relativeFrom="column">
                  <wp:posOffset>3806825</wp:posOffset>
                </wp:positionH>
                <wp:positionV relativeFrom="paragraph">
                  <wp:posOffset>17780</wp:posOffset>
                </wp:positionV>
                <wp:extent cx="810260" cy="245110"/>
                <wp:effectExtent l="0" t="76200" r="27940" b="21590"/>
                <wp:wrapNone/>
                <wp:docPr id="38" name="Rectangular Callout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260" cy="245110"/>
                        </a:xfrm>
                        <a:prstGeom prst="wedgeRectCallout">
                          <a:avLst>
                            <a:gd name="adj1" fmla="val -3033"/>
                            <a:gd name="adj2" fmla="val -73557"/>
                          </a:avLst>
                        </a:prstGeom>
                        <a:solidFill>
                          <a:srgbClr val="FFFFFF"/>
                        </a:solidFill>
                        <a:ln w="12700" cap="flat" cmpd="sng" algn="ctr">
                          <a:solidFill>
                            <a:srgbClr val="56608A"/>
                          </a:solidFill>
                          <a:prstDash val="solid"/>
                        </a:ln>
                        <a:effectLst/>
                      </wps:spPr>
                      <wps:txbx>
                        <w:txbxContent>
                          <w:p w:rsidR="00D95F56" w:rsidRPr="00D23243" w:rsidRDefault="00D95F56" w:rsidP="00E55AED">
                            <w:pPr>
                              <w:jc w:val="center"/>
                              <w:textAlignment w:val="baseline"/>
                            </w:pPr>
                            <w:r w:rsidRPr="00D23243">
                              <w:rPr>
                                <w:rFonts w:ascii="Segoe UI" w:eastAsia="+mn-ea" w:hAnsi="Segoe UI" w:cs="+mn-cs"/>
                                <w:b/>
                                <w:bCs/>
                                <w:color w:val="00B050"/>
                                <w:kern w:val="24"/>
                                <w:sz w:val="16"/>
                                <w:szCs w:val="16"/>
                                <w:lang w:val="en-US"/>
                              </w:rPr>
                              <w:t>+</w:t>
                            </w:r>
                            <w:r w:rsidRPr="00D23243">
                              <w:rPr>
                                <w:rFonts w:ascii="Segoe UI" w:eastAsia="+mn-ea" w:hAnsi="Segoe UI" w:cs="+mn-cs"/>
                                <w:b/>
                                <w:bCs/>
                                <w:color w:val="00B050"/>
                                <w:kern w:val="24"/>
                                <w:sz w:val="16"/>
                                <w:szCs w:val="16"/>
                              </w:rPr>
                              <w:t>€</w:t>
                            </w:r>
                            <w:r>
                              <w:rPr>
                                <w:rFonts w:ascii="Segoe UI" w:eastAsia="+mn-ea" w:hAnsi="Segoe UI" w:cs="+mn-cs"/>
                                <w:b/>
                                <w:bCs/>
                                <w:color w:val="00B050"/>
                                <w:kern w:val="24"/>
                                <w:sz w:val="16"/>
                                <w:szCs w:val="16"/>
                              </w:rPr>
                              <w:t>8,2 δισ.</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76365E1D" id="Rectangular Callout 37" o:spid="_x0000_s1050" type="#_x0000_t61" style="position:absolute;left:0;text-align:left;margin-left:299.75pt;margin-top:1.4pt;width:63.8pt;height:19.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" adj="10145,-5088" strokecolor="#56608a" strokeweight="1pt">
                <v:path arrowok="t"/>
                <v:textbox>
                  <w:txbxContent>
                    <w:p w:rsidR="00D95F56" w:rsidRPr="00D23243" w:rsidRDefault="00D95F56" w:rsidP="00E55AED">
                      <w:pPr>
                        <w:jc w:val="center"/>
                        <w:textAlignment w:val="baseline"/>
                      </w:pPr>
                      <w:r w:rsidRPr="00D23243">
                        <w:rPr>
                          <w:rFonts w:ascii="Segoe UI" w:eastAsia="+mn-ea" w:hAnsi="Segoe UI" w:cs="+mn-cs"/>
                          <w:b/>
                          <w:bCs/>
                          <w:color w:val="00B050"/>
                          <w:kern w:val="24"/>
                          <w:sz w:val="16"/>
                          <w:szCs w:val="16"/>
                          <w:lang w:val="en-US"/>
                        </w:rPr>
                        <w:t>+</w:t>
                      </w:r>
                      <w:r w:rsidRPr="00D23243">
                        <w:rPr>
                          <w:rFonts w:ascii="Segoe UI" w:eastAsia="+mn-ea" w:hAnsi="Segoe UI" w:cs="+mn-cs"/>
                          <w:b/>
                          <w:bCs/>
                          <w:color w:val="00B050"/>
                          <w:kern w:val="24"/>
                          <w:sz w:val="16"/>
                          <w:szCs w:val="16"/>
                        </w:rPr>
                        <w:t>€</w:t>
                      </w:r>
                      <w:r>
                        <w:rPr>
                          <w:rFonts w:ascii="Segoe UI" w:eastAsia="+mn-ea" w:hAnsi="Segoe UI" w:cs="+mn-cs"/>
                          <w:b/>
                          <w:bCs/>
                          <w:color w:val="00B050"/>
                          <w:kern w:val="24"/>
                          <w:sz w:val="16"/>
                          <w:szCs w:val="16"/>
                        </w:rPr>
                        <w:t>8,2 δισ.</w:t>
                      </w:r>
                    </w:p>
                  </w:txbxContent>
                </v:textbox>
              </v:shape>
            </w:pict>
          </mc:Fallback>
        </mc:AlternateContent>
      </w:r>
      <w:r>
        <w:rPr>
          <w:rFonts w:ascii="Segoe UI" w:hAnsi="Segoe UI" w:cs="Segoe UI"/>
          <w:noProof/>
          <w:lang w:eastAsia="el-GR"/>
        </w:rPr>
        <mc:AlternateContent>
          <mc:Choice Requires="wps">
            <w:drawing>
              <wp:anchor distT="0" distB="0" distL="114300" distR="114300" simplePos="0" relativeHeight="251665920" behindDoc="0" locked="0" layoutInCell="1" allowOverlap="1" wp14:anchorId="627ACFD0" wp14:editId="1C835A92">
                <wp:simplePos x="0" y="0"/>
                <wp:positionH relativeFrom="column">
                  <wp:posOffset>638810</wp:posOffset>
                </wp:positionH>
                <wp:positionV relativeFrom="paragraph">
                  <wp:posOffset>15875</wp:posOffset>
                </wp:positionV>
                <wp:extent cx="810260" cy="245110"/>
                <wp:effectExtent l="0" t="76200" r="27940" b="21590"/>
                <wp:wrapNone/>
                <wp:docPr id="24" name="Rectangular Callout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260" cy="245110"/>
                        </a:xfrm>
                        <a:prstGeom prst="wedgeRectCallout">
                          <a:avLst>
                            <a:gd name="adj1" fmla="val -3033"/>
                            <a:gd name="adj2" fmla="val -73557"/>
                          </a:avLst>
                        </a:prstGeom>
                        <a:solidFill>
                          <a:srgbClr val="FFFFFF"/>
                        </a:solidFill>
                        <a:ln w="12700" cap="flat" cmpd="sng" algn="ctr">
                          <a:solidFill>
                            <a:srgbClr val="56608A"/>
                          </a:solidFill>
                          <a:prstDash val="solid"/>
                        </a:ln>
                        <a:effectLst/>
                      </wps:spPr>
                      <wps:txbx>
                        <w:txbxContent>
                          <w:p w:rsidR="00D95F56" w:rsidRPr="00D23243" w:rsidRDefault="00D95F56" w:rsidP="00E55AED">
                            <w:pPr>
                              <w:jc w:val="center"/>
                              <w:textAlignment w:val="baseline"/>
                              <w:rPr>
                                <w:color w:val="FF0000"/>
                              </w:rPr>
                            </w:pPr>
                            <w:r w:rsidRPr="00D23243">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rPr>
                              <w:t>€</w:t>
                            </w:r>
                            <w:r w:rsidRPr="00D23243">
                              <w:rPr>
                                <w:rFonts w:ascii="Segoe UI" w:eastAsia="+mn-ea" w:hAnsi="Segoe UI" w:cs="+mn-cs"/>
                                <w:b/>
                                <w:bCs/>
                                <w:color w:val="FF0000"/>
                                <w:kern w:val="24"/>
                                <w:sz w:val="16"/>
                                <w:szCs w:val="16"/>
                                <w:lang w:val="en-US"/>
                              </w:rPr>
                              <w:t>10</w:t>
                            </w:r>
                            <w:r>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lang w:val="en-US"/>
                              </w:rPr>
                              <w:t>6</w:t>
                            </w:r>
                            <w:r>
                              <w:rPr>
                                <w:rFonts w:ascii="Segoe UI" w:eastAsia="+mn-ea" w:hAnsi="Segoe UI" w:cs="+mn-cs"/>
                                <w:b/>
                                <w:bCs/>
                                <w:color w:val="FF0000"/>
                                <w:kern w:val="24"/>
                                <w:sz w:val="16"/>
                                <w:szCs w:val="16"/>
                              </w:rPr>
                              <w:t xml:space="preserve"> δισ.</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627ACFD0" id="_x0000_s1051" type="#_x0000_t61" style="position:absolute;left:0;text-align:left;margin-left:50.3pt;margin-top:1.25pt;width:63.8pt;height:19.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" adj="10145,-5088" strokecolor="#56608a" strokeweight="1pt">
                <v:path arrowok="t"/>
                <v:textbox>
                  <w:txbxContent>
                    <w:p w:rsidR="00D95F56" w:rsidRPr="00D23243" w:rsidRDefault="00D95F56" w:rsidP="00E55AED">
                      <w:pPr>
                        <w:jc w:val="center"/>
                        <w:textAlignment w:val="baseline"/>
                        <w:rPr>
                          <w:color w:val="FF0000"/>
                        </w:rPr>
                      </w:pPr>
                      <w:r w:rsidRPr="00D23243">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rPr>
                        <w:t>€</w:t>
                      </w:r>
                      <w:r w:rsidRPr="00D23243">
                        <w:rPr>
                          <w:rFonts w:ascii="Segoe UI" w:eastAsia="+mn-ea" w:hAnsi="Segoe UI" w:cs="+mn-cs"/>
                          <w:b/>
                          <w:bCs/>
                          <w:color w:val="FF0000"/>
                          <w:kern w:val="24"/>
                          <w:sz w:val="16"/>
                          <w:szCs w:val="16"/>
                          <w:lang w:val="en-US"/>
                        </w:rPr>
                        <w:t>10</w:t>
                      </w:r>
                      <w:r>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lang w:val="en-US"/>
                        </w:rPr>
                        <w:t>6</w:t>
                      </w:r>
                      <w:r>
                        <w:rPr>
                          <w:rFonts w:ascii="Segoe UI" w:eastAsia="+mn-ea" w:hAnsi="Segoe UI" w:cs="+mn-cs"/>
                          <w:b/>
                          <w:bCs/>
                          <w:color w:val="FF0000"/>
                          <w:kern w:val="24"/>
                          <w:sz w:val="16"/>
                          <w:szCs w:val="16"/>
                        </w:rPr>
                        <w:t xml:space="preserve"> δισ.</w:t>
                      </w:r>
                    </w:p>
                  </w:txbxContent>
                </v:textbox>
              </v:shape>
            </w:pict>
          </mc:Fallback>
        </mc:AlternateContent>
      </w:r>
    </w:p>
    <w:p w:rsidR="00E55AED" w:rsidRPr="00EE40A0" w:rsidRDefault="00E55AED"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p>
    <w:p w:rsidR="00E55AED" w:rsidRPr="00EE40A0" w:rsidRDefault="00E55AED" w:rsidP="00E55AED">
      <w:pPr>
        <w:autoSpaceDE w:val="0"/>
        <w:autoSpaceDN w:val="0"/>
        <w:adjustRightInd w:val="0"/>
        <w:spacing w:after="160" w:line="320" w:lineRule="atLeast"/>
        <w:jc w:val="both"/>
        <w:rPr>
          <w:rFonts w:ascii="Segoe UI" w:hAnsi="Segoe UI" w:cs="Segoe UI"/>
          <w:noProof/>
          <w:color w:val="000000"/>
          <w:lang w:val="en-US" w:eastAsia="el-GR"/>
        </w:rPr>
      </w:pPr>
    </w:p>
    <w:p w:rsidR="00E55AED" w:rsidRPr="00EE40A0" w:rsidRDefault="00E55AED" w:rsidP="00E55AED">
      <w:pPr>
        <w:autoSpaceDE w:val="0"/>
        <w:autoSpaceDN w:val="0"/>
        <w:adjustRightInd w:val="0"/>
        <w:spacing w:after="160" w:line="320" w:lineRule="atLeast"/>
        <w:jc w:val="both"/>
        <w:rPr>
          <w:rFonts w:ascii="Segoe UI" w:hAnsi="Segoe UI" w:cs="Segoe UI"/>
          <w:noProof/>
          <w:color w:val="000000"/>
          <w:sz w:val="2"/>
          <w:lang w:val="en-US" w:eastAsia="el-GR"/>
        </w:rPr>
      </w:pPr>
      <w:r w:rsidRPr="00EE40A0">
        <w:rPr>
          <w:rFonts w:ascii="Segoe UI" w:hAnsi="Segoe UI" w:cs="Segoe UI"/>
          <w:noProof/>
          <w:color w:val="000000"/>
          <w:sz w:val="2"/>
          <w:lang w:val="en-US" w:eastAsia="el-GR"/>
        </w:rPr>
        <w:br w:type="page"/>
      </w:r>
    </w:p>
    <w:p w:rsidR="009450BE" w:rsidRPr="000F701B" w:rsidRDefault="000F701B" w:rsidP="009450BE">
      <w:pPr>
        <w:pStyle w:val="TITLE2"/>
        <w:rPr>
          <w:rFonts w:ascii="Segoe UI" w:hAnsi="Segoe UI" w:cs="Segoe UI"/>
          <w:sz w:val="18"/>
          <w:szCs w:val="18"/>
          <w:lang w:val="el-GR"/>
        </w:rPr>
      </w:pPr>
      <w:r>
        <w:rPr>
          <w:rFonts w:ascii="Segoe UI" w:hAnsi="Segoe UI" w:cs="Segoe UI"/>
          <w:sz w:val="18"/>
          <w:szCs w:val="18"/>
          <w:lang w:val="el-GR"/>
        </w:rPr>
        <w:lastRenderedPageBreak/>
        <w:t>Ο</w:t>
      </w:r>
      <w:r w:rsidRPr="000F701B">
        <w:rPr>
          <w:rFonts w:ascii="Segoe UI" w:hAnsi="Segoe UI" w:cs="Segoe UI"/>
          <w:sz w:val="18"/>
          <w:szCs w:val="18"/>
          <w:lang w:val="el-GR"/>
        </w:rPr>
        <w:t>ρισμ</w:t>
      </w:r>
      <w:r>
        <w:rPr>
          <w:rFonts w:ascii="Segoe UI" w:hAnsi="Segoe UI" w:cs="Segoe UI"/>
          <w:sz w:val="18"/>
          <w:szCs w:val="18"/>
          <w:lang w:val="el-GR"/>
        </w:rPr>
        <w:t>ός</w:t>
      </w:r>
      <w:r w:rsidRPr="000F701B">
        <w:rPr>
          <w:rFonts w:ascii="Segoe UI" w:hAnsi="Segoe UI" w:cs="Segoe UI"/>
          <w:sz w:val="18"/>
          <w:szCs w:val="18"/>
          <w:lang w:val="el-GR"/>
        </w:rPr>
        <w:t xml:space="preserve"> των </w:t>
      </w:r>
      <w:r>
        <w:rPr>
          <w:rFonts w:ascii="Segoe UI" w:hAnsi="Segoe UI" w:cs="Segoe UI"/>
          <w:sz w:val="18"/>
          <w:szCs w:val="18"/>
          <w:lang w:val="el-GR"/>
        </w:rPr>
        <w:t>Χ</w:t>
      </w:r>
      <w:r w:rsidRPr="000F701B">
        <w:rPr>
          <w:rFonts w:ascii="Segoe UI" w:hAnsi="Segoe UI" w:cs="Segoe UI"/>
          <w:sz w:val="18"/>
          <w:szCs w:val="18"/>
          <w:lang w:val="el-GR"/>
        </w:rPr>
        <w:t>ρηματοοικονομικ</w:t>
      </w:r>
      <w:r>
        <w:rPr>
          <w:rFonts w:ascii="Segoe UI" w:hAnsi="Segoe UI" w:cs="Segoe UI"/>
          <w:sz w:val="18"/>
          <w:szCs w:val="18"/>
          <w:lang w:val="el-GR"/>
        </w:rPr>
        <w:t>ώ</w:t>
      </w:r>
      <w:r w:rsidRPr="000F701B">
        <w:rPr>
          <w:rFonts w:ascii="Segoe UI" w:hAnsi="Segoe UI" w:cs="Segoe UI"/>
          <w:sz w:val="18"/>
          <w:szCs w:val="18"/>
          <w:lang w:val="el-GR"/>
        </w:rPr>
        <w:t xml:space="preserve">ν </w:t>
      </w:r>
      <w:r>
        <w:rPr>
          <w:rFonts w:ascii="Segoe UI" w:hAnsi="Segoe UI" w:cs="Segoe UI"/>
          <w:sz w:val="18"/>
          <w:szCs w:val="18"/>
          <w:lang w:val="el-GR"/>
        </w:rPr>
        <w:t>Στοιχεί</w:t>
      </w:r>
      <w:r w:rsidRPr="000F701B">
        <w:rPr>
          <w:rFonts w:ascii="Segoe UI" w:hAnsi="Segoe UI" w:cs="Segoe UI"/>
          <w:sz w:val="18"/>
          <w:szCs w:val="18"/>
          <w:lang w:val="el-GR"/>
        </w:rPr>
        <w:t xml:space="preserve">ων και των </w:t>
      </w:r>
      <w:r>
        <w:rPr>
          <w:rFonts w:ascii="Segoe UI" w:hAnsi="Segoe UI" w:cs="Segoe UI"/>
          <w:sz w:val="18"/>
          <w:szCs w:val="18"/>
          <w:lang w:val="el-GR"/>
        </w:rPr>
        <w:t>Δ</w:t>
      </w:r>
      <w:r w:rsidRPr="000F701B">
        <w:rPr>
          <w:rFonts w:ascii="Segoe UI" w:hAnsi="Segoe UI" w:cs="Segoe UI"/>
          <w:sz w:val="18"/>
          <w:szCs w:val="18"/>
          <w:lang w:val="el-GR"/>
        </w:rPr>
        <w:t>εικτ</w:t>
      </w:r>
      <w:r>
        <w:rPr>
          <w:rFonts w:ascii="Segoe UI" w:hAnsi="Segoe UI" w:cs="Segoe UI"/>
          <w:sz w:val="18"/>
          <w:szCs w:val="18"/>
          <w:lang w:val="el-GR"/>
        </w:rPr>
        <w:t>ώ</w:t>
      </w:r>
      <w:r w:rsidRPr="000F701B">
        <w:rPr>
          <w:rFonts w:ascii="Segoe UI" w:hAnsi="Segoe UI" w:cs="Segoe UI"/>
          <w:sz w:val="18"/>
          <w:szCs w:val="18"/>
          <w:lang w:val="el-GR"/>
        </w:rPr>
        <w:t xml:space="preserve">ν που </w:t>
      </w:r>
      <w:r>
        <w:rPr>
          <w:rFonts w:ascii="Segoe UI" w:hAnsi="Segoe UI" w:cs="Segoe UI"/>
          <w:sz w:val="18"/>
          <w:szCs w:val="18"/>
          <w:lang w:val="el-GR"/>
        </w:rPr>
        <w:t>Χ</w:t>
      </w:r>
      <w:r w:rsidRPr="000F701B">
        <w:rPr>
          <w:rFonts w:ascii="Segoe UI" w:hAnsi="Segoe UI" w:cs="Segoe UI"/>
          <w:sz w:val="18"/>
          <w:szCs w:val="18"/>
          <w:lang w:val="el-GR"/>
        </w:rPr>
        <w:t>ρησιμοποι</w:t>
      </w:r>
      <w:r>
        <w:rPr>
          <w:rFonts w:ascii="Segoe UI" w:hAnsi="Segoe UI" w:cs="Segoe UI"/>
          <w:sz w:val="18"/>
          <w:szCs w:val="18"/>
          <w:lang w:val="el-GR"/>
        </w:rPr>
        <w:t>ή</w:t>
      </w:r>
      <w:r w:rsidRPr="000F701B">
        <w:rPr>
          <w:rFonts w:ascii="Segoe UI" w:hAnsi="Segoe UI" w:cs="Segoe UI"/>
          <w:sz w:val="18"/>
          <w:szCs w:val="18"/>
          <w:lang w:val="el-GR"/>
        </w:rPr>
        <w:t>θηκαν</w:t>
      </w:r>
    </w:p>
    <w:p w:rsidR="000F701B" w:rsidRPr="000F701B" w:rsidRDefault="000F701B" w:rsidP="009608A0">
      <w:pPr>
        <w:spacing w:after="160"/>
        <w:jc w:val="both"/>
        <w:rPr>
          <w:rFonts w:ascii="Segoe UI" w:hAnsi="Segoe UI" w:cs="Segoe UI"/>
          <w:sz w:val="15"/>
          <w:szCs w:val="15"/>
        </w:rPr>
      </w:pPr>
      <w:r w:rsidRPr="000F701B">
        <w:rPr>
          <w:rFonts w:ascii="Segoe UI" w:hAnsi="Segoe UI" w:cs="Segoe UI"/>
          <w:sz w:val="15"/>
          <w:szCs w:val="15"/>
          <w:lang w:val="en-US"/>
        </w:rPr>
        <w:t>To</w:t>
      </w:r>
      <w:r w:rsidRPr="000F701B">
        <w:rPr>
          <w:rFonts w:ascii="Segoe UI" w:hAnsi="Segoe UI" w:cs="Segoe UI"/>
          <w:sz w:val="15"/>
          <w:szCs w:val="15"/>
        </w:rPr>
        <w:t xml:space="preserve"> παρόν Δελτίο Τύπου των Αποτελεσμάτων </w:t>
      </w:r>
      <w:r w:rsidR="00B33F26">
        <w:rPr>
          <w:rFonts w:ascii="Segoe UI" w:hAnsi="Segoe UI" w:cs="Segoe UI"/>
          <w:sz w:val="15"/>
          <w:szCs w:val="15"/>
        </w:rPr>
        <w:t xml:space="preserve">του </w:t>
      </w:r>
      <w:r w:rsidR="00FF4A63">
        <w:rPr>
          <w:rFonts w:ascii="Segoe UI" w:hAnsi="Segoe UI" w:cs="Segoe UI"/>
          <w:sz w:val="15"/>
          <w:szCs w:val="15"/>
        </w:rPr>
        <w:t>Γ</w:t>
      </w:r>
      <w:r w:rsidR="002B6641">
        <w:rPr>
          <w:rFonts w:ascii="Segoe UI" w:hAnsi="Segoe UI" w:cs="Segoe UI"/>
          <w:sz w:val="15"/>
          <w:szCs w:val="15"/>
        </w:rPr>
        <w:t>’ τριμήνου 2020</w:t>
      </w:r>
      <w:r w:rsidRPr="000F701B">
        <w:rPr>
          <w:rFonts w:ascii="Segoe UI" w:hAnsi="Segoe UI" w:cs="Segoe UI"/>
          <w:sz w:val="15"/>
          <w:szCs w:val="15"/>
        </w:rPr>
        <w:t xml:space="preserve"> περιλαμβάνει χρηματοοικονομικές αναφορές και μεγέθη όπως προέρχονται από τις χρηματοοικονομικές καταστάσεις του Ομίλου και της Τράπεζας για την περίοδο που έληξε 3</w:t>
      </w:r>
      <w:r w:rsidR="00820461">
        <w:rPr>
          <w:rFonts w:ascii="Segoe UI" w:hAnsi="Segoe UI" w:cs="Segoe UI"/>
          <w:sz w:val="15"/>
          <w:szCs w:val="15"/>
        </w:rPr>
        <w:t>0</w:t>
      </w:r>
      <w:r w:rsidRPr="000F701B">
        <w:rPr>
          <w:rFonts w:ascii="Segoe UI" w:hAnsi="Segoe UI" w:cs="Segoe UI"/>
          <w:sz w:val="15"/>
          <w:szCs w:val="15"/>
        </w:rPr>
        <w:t xml:space="preserve"> </w:t>
      </w:r>
      <w:r w:rsidR="00603B45">
        <w:rPr>
          <w:rFonts w:ascii="Segoe UI" w:hAnsi="Segoe UI" w:cs="Segoe UI"/>
          <w:sz w:val="15"/>
          <w:szCs w:val="15"/>
        </w:rPr>
        <w:t>Σεπτεμβρίου</w:t>
      </w:r>
      <w:r w:rsidR="00FB540B">
        <w:rPr>
          <w:rFonts w:ascii="Segoe UI" w:hAnsi="Segoe UI" w:cs="Segoe UI"/>
          <w:sz w:val="15"/>
          <w:szCs w:val="15"/>
        </w:rPr>
        <w:t xml:space="preserve"> 2020</w:t>
      </w:r>
      <w:r w:rsidRPr="000F701B">
        <w:rPr>
          <w:rFonts w:ascii="Segoe UI" w:hAnsi="Segoe UI" w:cs="Segoe UI"/>
          <w:sz w:val="15"/>
          <w:szCs w:val="15"/>
        </w:rPr>
        <w:t xml:space="preserve"> και της χρήσης που έληξε 31 Δεκεμβρίου 201</w:t>
      </w:r>
      <w:r w:rsidR="00FB540B">
        <w:rPr>
          <w:rFonts w:ascii="Segoe UI" w:hAnsi="Segoe UI" w:cs="Segoe UI"/>
          <w:sz w:val="15"/>
          <w:szCs w:val="15"/>
        </w:rPr>
        <w:t>9</w:t>
      </w:r>
      <w:r w:rsidR="009608A0">
        <w:rPr>
          <w:rFonts w:ascii="Segoe UI" w:hAnsi="Segoe UI" w:cs="Segoe UI"/>
          <w:sz w:val="15"/>
          <w:szCs w:val="15"/>
        </w:rPr>
        <w:t>,</w:t>
      </w:r>
      <w:r w:rsidRPr="000F701B">
        <w:rPr>
          <w:rFonts w:ascii="Segoe UI" w:hAnsi="Segoe UI" w:cs="Segoe UI"/>
          <w:sz w:val="15"/>
          <w:szCs w:val="15"/>
        </w:rPr>
        <w:t xml:space="preserve"> </w:t>
      </w:r>
      <w:r w:rsidR="009608A0" w:rsidRPr="009608A0">
        <w:rPr>
          <w:rFonts w:ascii="Segoe UI" w:hAnsi="Segoe UI" w:cs="Segoe UI"/>
          <w:sz w:val="15"/>
          <w:szCs w:val="15"/>
        </w:rPr>
        <w:t>οι οποίες έχουν συνταχθεί με βάση το Διεθνές Λογιστικό Πρότυπο 34 («Ενδιάμεσες Οικονομικές Καταστάσεις») και με τα Διεθνή</w:t>
      </w:r>
      <w:r w:rsidR="009608A0">
        <w:rPr>
          <w:rFonts w:ascii="Segoe UI" w:hAnsi="Segoe UI" w:cs="Segoe UI"/>
          <w:sz w:val="15"/>
          <w:szCs w:val="15"/>
        </w:rPr>
        <w:t xml:space="preserve"> </w:t>
      </w:r>
      <w:r w:rsidR="009608A0" w:rsidRPr="009608A0">
        <w:rPr>
          <w:rFonts w:ascii="Segoe UI" w:hAnsi="Segoe UI" w:cs="Segoe UI"/>
          <w:sz w:val="15"/>
          <w:szCs w:val="15"/>
        </w:rPr>
        <w:t>Πρότυπα Χρηματοοικονομικής Αναφοράς («ΔΠΧΑ»), όπως αυτά έχουν υιοθετηθεί από την Ευρωπαϊκή Ένωση («ΕΕ»).</w:t>
      </w:r>
      <w:r w:rsidRPr="000F701B">
        <w:rPr>
          <w:rFonts w:ascii="Segoe UI" w:hAnsi="Segoe UI" w:cs="Segoe UI"/>
          <w:sz w:val="15"/>
          <w:szCs w:val="15"/>
        </w:rPr>
        <w:t>. Επίσης, περιλαμβάνει χρηματοοικονομικές πληροφορίες οι οποίες αντλούνται από την κανονική ροή των συστημάτων χρηματοοικονομικής και διοικητικής πληροφόρησης, όπως αυτές κατηγοριοποιούνται σε ξένες και εγχώριες δραστηριότητες βάσει της χώρας προέλευσης των χρηματοοικονομικών καταστάσεων των εταιρειών του Ομίλου.</w:t>
      </w:r>
    </w:p>
    <w:p w:rsidR="000F701B" w:rsidRPr="000F701B" w:rsidRDefault="000F701B" w:rsidP="000F701B">
      <w:pPr>
        <w:spacing w:after="160"/>
        <w:jc w:val="both"/>
        <w:rPr>
          <w:rFonts w:ascii="Segoe UI" w:hAnsi="Segoe UI" w:cs="Segoe UI"/>
          <w:sz w:val="15"/>
          <w:szCs w:val="15"/>
        </w:rPr>
      </w:pPr>
      <w:r w:rsidRPr="000F701B">
        <w:rPr>
          <w:rFonts w:ascii="Segoe UI" w:hAnsi="Segoe UI" w:cs="Segoe UI"/>
          <w:sz w:val="15"/>
          <w:szCs w:val="15"/>
        </w:rPr>
        <w:t>Επιπρόσθετα, περιλαμβάνει αναφορές σε συγκεκριμένα μεγέθη τα οποία δεν ορίζονται από τα ΔΠΧΑ, και συγκεκριμένα αναφέρονται σε «κέρδη</w:t>
      </w:r>
      <w:r w:rsidR="00F74EC6">
        <w:rPr>
          <w:rFonts w:ascii="Segoe UI" w:hAnsi="Segoe UI" w:cs="Segoe UI"/>
          <w:sz w:val="15"/>
          <w:szCs w:val="15"/>
        </w:rPr>
        <w:t xml:space="preserve"> </w:t>
      </w:r>
      <w:r w:rsidRPr="000F701B">
        <w:rPr>
          <w:rFonts w:ascii="Segoe UI" w:hAnsi="Segoe UI" w:cs="Segoe UI"/>
          <w:sz w:val="15"/>
          <w:szCs w:val="15"/>
        </w:rPr>
        <w:t>/</w:t>
      </w:r>
      <w:r w:rsidR="00F74EC6">
        <w:rPr>
          <w:rFonts w:ascii="Segoe UI" w:hAnsi="Segoe UI" w:cs="Segoe UI"/>
          <w:sz w:val="15"/>
          <w:szCs w:val="15"/>
        </w:rPr>
        <w:t xml:space="preserve"> </w:t>
      </w:r>
      <w:r w:rsidR="00066AAA" w:rsidRPr="000F701B">
        <w:rPr>
          <w:rFonts w:ascii="Segoe UI" w:hAnsi="Segoe UI" w:cs="Segoe UI"/>
          <w:sz w:val="15"/>
          <w:szCs w:val="15"/>
        </w:rPr>
        <w:t>(</w:t>
      </w:r>
      <w:r w:rsidR="00066AAA">
        <w:rPr>
          <w:rFonts w:ascii="Segoe UI" w:hAnsi="Segoe UI" w:cs="Segoe UI"/>
          <w:sz w:val="15"/>
          <w:szCs w:val="15"/>
        </w:rPr>
        <w:t>ζημίες</w:t>
      </w:r>
      <w:r w:rsidRPr="000F701B">
        <w:rPr>
          <w:rFonts w:ascii="Segoe UI" w:hAnsi="Segoe UI" w:cs="Segoe UI"/>
          <w:sz w:val="15"/>
          <w:szCs w:val="15"/>
        </w:rPr>
        <w:t>) προ προβλέψεων», «καθαρό επιτοκιακό περιθώριο» και άλλα, όπως διατυπώνονται ανωτέρω. Αυτά είναι εκτός πλαισίου ΔΠΧΑ χρηματοοικονομικά μεγέθη. Ένα μη οριζόμενο από τα ΔΠΧΑ κονδύλι μετρά την ιστορική ή μελλοντική χρηματοοικονομική επίδοση, χρηματοοικονομική θέση ή τις ταμιακές ροές, και περιλαμβάνει ή εξαιρεί ποσά τα οποία δεν προβλέπονται από τα ΔΠΧΑ. Ο Όμιλος πιστεύει ότι τα μη οριζόμενα από τα ΔΠΧΑ κονδύλια παρουσιάζουν μια πιο ουσιαστική ανάλυση της χρηματοοικονομικής του κατάστασης και των αποτελεσμάτων των εργασιών του. Ωστόσο, τα μη οριζόμενα από τα ΔΠΧΑ κονδύλια δεν αποτελούν υποκατάστατο των ΔΠΧΑ</w:t>
      </w:r>
      <w:r>
        <w:rPr>
          <w:rFonts w:ascii="Segoe UI" w:hAnsi="Segoe UI" w:cs="Segoe UI"/>
          <w:sz w:val="15"/>
          <w:szCs w:val="15"/>
        </w:rPr>
        <w:t>.</w:t>
      </w:r>
      <w:r w:rsidR="00237972">
        <w:rPr>
          <w:rFonts w:ascii="Segoe UI" w:hAnsi="Segoe UI" w:cs="Segoe UI"/>
          <w:sz w:val="15"/>
          <w:szCs w:val="15"/>
        </w:rPr>
        <w:t xml:space="preserve"> </w:t>
      </w:r>
    </w:p>
    <w:p w:rsidR="00D56B7A" w:rsidRDefault="00D56B7A">
      <w:pPr>
        <w:rPr>
          <w:rFonts w:ascii="Segoe UI" w:hAnsi="Segoe UI" w:cs="Segoe UI"/>
          <w:sz w:val="15"/>
          <w:szCs w:val="15"/>
        </w:rPr>
      </w:pPr>
      <w:r w:rsidRPr="00F04303">
        <w:rPr>
          <w:rFonts w:ascii="Segoe UI" w:hAnsi="Segoe UI" w:cs="Segoe UI"/>
          <w:sz w:val="15"/>
          <w:szCs w:val="15"/>
        </w:rPr>
        <w:br w:type="page"/>
      </w:r>
    </w:p>
    <w:tbl>
      <w:tblPr>
        <w:tblW w:w="10193" w:type="dxa"/>
        <w:tblInd w:w="108" w:type="dxa"/>
        <w:tblBorders>
          <w:top w:val="dotted" w:sz="4" w:space="0" w:color="007180"/>
          <w:left w:val="dotted" w:sz="4" w:space="0" w:color="007180"/>
          <w:bottom w:val="single" w:sz="12" w:space="0" w:color="007180"/>
          <w:right w:val="dotted" w:sz="4" w:space="0" w:color="007180"/>
          <w:insideH w:val="dotted" w:sz="4" w:space="0" w:color="007180"/>
          <w:insideV w:val="dotted" w:sz="4" w:space="0" w:color="007180"/>
        </w:tblBorders>
        <w:tblLook w:val="04A0" w:firstRow="1" w:lastRow="0" w:firstColumn="1" w:lastColumn="0" w:noHBand="0" w:noVBand="1"/>
      </w:tblPr>
      <w:tblGrid>
        <w:gridCol w:w="1972"/>
        <w:gridCol w:w="1134"/>
        <w:gridCol w:w="7087"/>
      </w:tblGrid>
      <w:tr w:rsidR="0027264F" w:rsidRPr="00CB691B" w:rsidTr="00D95F56">
        <w:trPr>
          <w:trHeight w:val="113"/>
        </w:trPr>
        <w:tc>
          <w:tcPr>
            <w:tcW w:w="1972" w:type="dxa"/>
            <w:shd w:val="clear" w:color="auto" w:fill="007180"/>
            <w:noWrap/>
            <w:vAlign w:val="bottom"/>
            <w:hideMark/>
          </w:tcPr>
          <w:p w:rsidR="0027264F" w:rsidRPr="00CB691B" w:rsidRDefault="0027264F" w:rsidP="00D95F56">
            <w:pPr>
              <w:rPr>
                <w:rFonts w:ascii="Segoe UI" w:hAnsi="Segoe UI" w:cs="Segoe UI"/>
                <w:b/>
                <w:color w:val="FFFFFF" w:themeColor="background1"/>
                <w:sz w:val="16"/>
                <w:szCs w:val="14"/>
              </w:rPr>
            </w:pPr>
            <w:r w:rsidRPr="00CB691B">
              <w:rPr>
                <w:rFonts w:ascii="Segoe UI" w:hAnsi="Segoe UI" w:cs="Segoe UI"/>
                <w:b/>
                <w:color w:val="FFFFFF" w:themeColor="background1"/>
                <w:sz w:val="16"/>
                <w:szCs w:val="14"/>
              </w:rPr>
              <w:lastRenderedPageBreak/>
              <w:t>Ονομασία</w:t>
            </w:r>
          </w:p>
        </w:tc>
        <w:tc>
          <w:tcPr>
            <w:tcW w:w="1134" w:type="dxa"/>
            <w:shd w:val="clear" w:color="auto" w:fill="007180"/>
            <w:noWrap/>
            <w:vAlign w:val="bottom"/>
            <w:hideMark/>
          </w:tcPr>
          <w:p w:rsidR="0027264F" w:rsidRPr="00CB691B" w:rsidRDefault="0027264F" w:rsidP="00D95F56">
            <w:pPr>
              <w:rPr>
                <w:rFonts w:ascii="Segoe UI" w:hAnsi="Segoe UI" w:cs="Segoe UI"/>
                <w:b/>
                <w:color w:val="FFFFFF" w:themeColor="background1"/>
                <w:sz w:val="16"/>
                <w:szCs w:val="14"/>
              </w:rPr>
            </w:pPr>
            <w:r w:rsidRPr="00CB691B">
              <w:rPr>
                <w:rFonts w:ascii="Segoe UI" w:hAnsi="Segoe UI" w:cs="Segoe UI"/>
                <w:b/>
                <w:color w:val="FFFFFF" w:themeColor="background1"/>
                <w:sz w:val="16"/>
                <w:szCs w:val="14"/>
              </w:rPr>
              <w:t>Συντομ/φία</w:t>
            </w:r>
          </w:p>
        </w:tc>
        <w:tc>
          <w:tcPr>
            <w:tcW w:w="7087" w:type="dxa"/>
            <w:shd w:val="clear" w:color="auto" w:fill="007180"/>
            <w:noWrap/>
            <w:vAlign w:val="bottom"/>
            <w:hideMark/>
          </w:tcPr>
          <w:p w:rsidR="0027264F" w:rsidRPr="00CB691B" w:rsidRDefault="0027264F" w:rsidP="00D95F56">
            <w:pPr>
              <w:rPr>
                <w:rFonts w:ascii="Segoe UI" w:hAnsi="Segoe UI" w:cs="Segoe UI"/>
                <w:b/>
                <w:color w:val="FFFFFF" w:themeColor="background1"/>
                <w:sz w:val="16"/>
                <w:szCs w:val="14"/>
              </w:rPr>
            </w:pPr>
            <w:r w:rsidRPr="00CB691B">
              <w:rPr>
                <w:rFonts w:ascii="Segoe UI" w:hAnsi="Segoe UI" w:cs="Segoe UI"/>
                <w:b/>
                <w:color w:val="FFFFFF" w:themeColor="background1"/>
                <w:sz w:val="16"/>
                <w:szCs w:val="14"/>
              </w:rPr>
              <w:t>Ορισμός</w:t>
            </w:r>
          </w:p>
        </w:tc>
      </w:tr>
      <w:tr w:rsidR="0027264F" w:rsidRPr="00CB691B" w:rsidTr="00D95F56">
        <w:trPr>
          <w:trHeight w:val="113"/>
        </w:trPr>
        <w:tc>
          <w:tcPr>
            <w:tcW w:w="1972"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Αποσβέσεις</w:t>
            </w:r>
          </w:p>
        </w:tc>
        <w:tc>
          <w:tcPr>
            <w:tcW w:w="1134"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w:t>
            </w:r>
          </w:p>
        </w:tc>
        <w:tc>
          <w:tcPr>
            <w:tcW w:w="7087"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Αποσβέσεις και προβλέψεις απομείωσης αξίας ενσώματων παγίων και άυλων περιουσιακών στοιχείων και ακινήτων επενδύσεων</w:t>
            </w:r>
          </w:p>
        </w:tc>
      </w:tr>
      <w:tr w:rsidR="0027264F" w:rsidRPr="00CB691B" w:rsidTr="00D95F56">
        <w:trPr>
          <w:trHeight w:val="113"/>
        </w:trPr>
        <w:tc>
          <w:tcPr>
            <w:tcW w:w="1972"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Γενικά Διοικητικά Έξοδα </w:t>
            </w:r>
          </w:p>
        </w:tc>
        <w:tc>
          <w:tcPr>
            <w:tcW w:w="1134"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w:t>
            </w:r>
          </w:p>
        </w:tc>
        <w:tc>
          <w:tcPr>
            <w:tcW w:w="7087"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Γενικά διοικητικά και λοιπά λειτουργικά έξοδα</w:t>
            </w:r>
          </w:p>
        </w:tc>
      </w:tr>
      <w:tr w:rsidR="0027264F" w:rsidRPr="00CB691B" w:rsidTr="00D95F56">
        <w:trPr>
          <w:trHeight w:val="113"/>
        </w:trPr>
        <w:tc>
          <w:tcPr>
            <w:tcW w:w="1972"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lang w:val="en-GB"/>
              </w:rPr>
              <w:t xml:space="preserve">Δάνεια μετά </w:t>
            </w:r>
            <w:r w:rsidRPr="003602D7">
              <w:rPr>
                <w:rFonts w:ascii="Segoe UI" w:eastAsia="MS Mincho" w:hAnsi="Segoe UI" w:cs="Segoe UI"/>
                <w:color w:val="000000"/>
                <w:sz w:val="15"/>
                <w:szCs w:val="15"/>
              </w:rPr>
              <w:t>από Προβλέψεις</w:t>
            </w:r>
          </w:p>
        </w:tc>
        <w:tc>
          <w:tcPr>
            <w:tcW w:w="1134"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w:t>
            </w:r>
          </w:p>
        </w:tc>
        <w:tc>
          <w:tcPr>
            <w:tcW w:w="7087"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Δάνεια και απαιτήσεις κατά πελατών</w:t>
            </w:r>
          </w:p>
        </w:tc>
      </w:tr>
      <w:tr w:rsidR="0027264F" w:rsidRPr="00CB691B" w:rsidTr="00D95F56">
        <w:trPr>
          <w:trHeight w:val="113"/>
        </w:trPr>
        <w:tc>
          <w:tcPr>
            <w:tcW w:w="1972" w:type="dxa"/>
            <w:shd w:val="clear" w:color="000000" w:fill="FFFFFF"/>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Δάνεια προ Προβλέψεων</w:t>
            </w:r>
          </w:p>
        </w:tc>
        <w:tc>
          <w:tcPr>
            <w:tcW w:w="1134" w:type="dxa"/>
            <w:shd w:val="clear" w:color="000000" w:fill="FFFFFF"/>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w:t>
            </w:r>
          </w:p>
        </w:tc>
        <w:tc>
          <w:tcPr>
            <w:tcW w:w="7087" w:type="dxa"/>
            <w:shd w:val="clear" w:color="000000" w:fill="FFFFFF"/>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Δάνεια και απαιτήσεις κατά πελατών προ πρόβλεψης ΑΠΖ δανείων και απαιτήσεων κατά πελατών</w:t>
            </w:r>
          </w:p>
        </w:tc>
      </w:tr>
      <w:tr w:rsidR="0027264F" w:rsidRPr="00CB691B" w:rsidTr="00D95F56">
        <w:trPr>
          <w:trHeight w:val="113"/>
        </w:trPr>
        <w:tc>
          <w:tcPr>
            <w:tcW w:w="1972"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Δείκτης Δάνεια προς Καταθέσεις</w:t>
            </w:r>
          </w:p>
        </w:tc>
        <w:tc>
          <w:tcPr>
            <w:tcW w:w="1134"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w:t>
            </w:r>
          </w:p>
        </w:tc>
        <w:tc>
          <w:tcPr>
            <w:tcW w:w="7087"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Δάνεια μετά από προβλέψεις προς καταθέσεις, τέλος περιόδου</w:t>
            </w:r>
          </w:p>
        </w:tc>
      </w:tr>
      <w:tr w:rsidR="0027264F" w:rsidRPr="00CB691B" w:rsidTr="00D95F56">
        <w:trPr>
          <w:trHeight w:val="113"/>
        </w:trPr>
        <w:tc>
          <w:tcPr>
            <w:tcW w:w="1972" w:type="dxa"/>
            <w:shd w:val="clear" w:color="000000" w:fill="FFFFFF"/>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Δείκτης Δανείων σε Καθυστέρηση +90 Ημερών / Μη Εξυπηρετούμενων Δανείων</w:t>
            </w:r>
          </w:p>
        </w:tc>
        <w:tc>
          <w:tcPr>
            <w:tcW w:w="1134" w:type="dxa"/>
            <w:shd w:val="clear" w:color="000000" w:fill="FFFFFF"/>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 xml:space="preserve">-- </w:t>
            </w:r>
          </w:p>
        </w:tc>
        <w:tc>
          <w:tcPr>
            <w:tcW w:w="7087" w:type="dxa"/>
            <w:shd w:val="clear" w:color="000000" w:fill="FFFFFF"/>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Δάνεια προ προβλέψεων σε καθυστέρηση άνω των 90 ημερών σε αναπόσβεστη αξία προς δάνεια προ προβλέψεων, τέλος περιόδου</w:t>
            </w:r>
          </w:p>
        </w:tc>
      </w:tr>
      <w:tr w:rsidR="0027264F" w:rsidRPr="00CB691B" w:rsidTr="00D95F56">
        <w:trPr>
          <w:trHeight w:val="113"/>
        </w:trPr>
        <w:tc>
          <w:tcPr>
            <w:tcW w:w="1972" w:type="dxa"/>
            <w:shd w:val="clear" w:color="auto" w:fill="F2F2F2" w:themeFill="background1" w:themeFillShade="F2"/>
            <w:noWrap/>
            <w:vAlign w:val="center"/>
          </w:tcPr>
          <w:p w:rsidR="0027264F" w:rsidRPr="003602D7" w:rsidRDefault="0027264F" w:rsidP="00D95F56">
            <w:pPr>
              <w:rPr>
                <w:rFonts w:ascii="Segoe UI" w:eastAsia="MS Mincho" w:hAnsi="Segoe UI" w:cs="Segoe UI"/>
                <w:sz w:val="15"/>
                <w:szCs w:val="15"/>
              </w:rPr>
            </w:pPr>
            <w:r w:rsidRPr="003602D7">
              <w:rPr>
                <w:rFonts w:ascii="Segoe UI" w:eastAsia="MS Mincho" w:hAnsi="Segoe UI" w:cs="Segoe UI"/>
                <w:sz w:val="15"/>
                <w:szCs w:val="15"/>
              </w:rPr>
              <w:t>Δείκτης Καθαρής Σταθερής Χρηματοδότησης</w:t>
            </w:r>
          </w:p>
        </w:tc>
        <w:tc>
          <w:tcPr>
            <w:tcW w:w="1134" w:type="dxa"/>
            <w:shd w:val="clear" w:color="auto" w:fill="F2F2F2" w:themeFill="background1" w:themeFillShade="F2"/>
            <w:noWrap/>
            <w:vAlign w:val="center"/>
          </w:tcPr>
          <w:p w:rsidR="0027264F" w:rsidRPr="003602D7" w:rsidRDefault="0027264F" w:rsidP="00D95F56">
            <w:pPr>
              <w:rPr>
                <w:rFonts w:ascii="Segoe UI" w:eastAsia="MS Mincho" w:hAnsi="Segoe UI" w:cs="Segoe UI"/>
                <w:sz w:val="15"/>
                <w:szCs w:val="15"/>
                <w:lang w:val="en-US"/>
              </w:rPr>
            </w:pPr>
            <w:r w:rsidRPr="003602D7">
              <w:rPr>
                <w:rFonts w:ascii="Segoe UI" w:eastAsia="MS Mincho" w:hAnsi="Segoe UI" w:cs="Segoe UI"/>
                <w:sz w:val="15"/>
                <w:szCs w:val="15"/>
              </w:rPr>
              <w:t xml:space="preserve">Δείκτης </w:t>
            </w:r>
            <w:r w:rsidRPr="003602D7">
              <w:rPr>
                <w:rFonts w:ascii="Segoe UI" w:eastAsia="MS Mincho" w:hAnsi="Segoe UI" w:cs="Segoe UI"/>
                <w:sz w:val="15"/>
                <w:szCs w:val="15"/>
                <w:lang w:val="en-US"/>
              </w:rPr>
              <w:t>NSFR</w:t>
            </w:r>
          </w:p>
        </w:tc>
        <w:tc>
          <w:tcPr>
            <w:tcW w:w="7087" w:type="dxa"/>
            <w:shd w:val="clear" w:color="auto" w:fill="F2F2F2" w:themeFill="background1" w:themeFillShade="F2"/>
            <w:noWrap/>
            <w:vAlign w:val="center"/>
          </w:tcPr>
          <w:p w:rsidR="0027264F" w:rsidRPr="003602D7" w:rsidRDefault="0027264F" w:rsidP="00D95F56">
            <w:pPr>
              <w:rPr>
                <w:rFonts w:ascii="Segoe UI" w:eastAsia="MS Mincho" w:hAnsi="Segoe UI" w:cs="Segoe UI"/>
                <w:sz w:val="15"/>
                <w:szCs w:val="15"/>
              </w:rPr>
            </w:pPr>
            <w:r w:rsidRPr="003602D7">
              <w:rPr>
                <w:rFonts w:ascii="Segoe UI" w:eastAsia="MS Mincho" w:hAnsi="Segoe UI" w:cs="Segoe UI"/>
                <w:sz w:val="15"/>
                <w:szCs w:val="15"/>
              </w:rPr>
              <w:t>Ο Δείκτης Καθαρής Σταθερής Χρηματοδότησης ισούται με τη “διαθέσιμη ποσότητα σταθερής χρηματοδότησης» προς την «απαιτούμενη ποσότητα σταθερής χρηματοδότησης”</w:t>
            </w:r>
          </w:p>
        </w:tc>
      </w:tr>
      <w:tr w:rsidR="0027264F" w:rsidRPr="00CB691B" w:rsidTr="00D95F56">
        <w:trPr>
          <w:trHeight w:val="113"/>
        </w:trPr>
        <w:tc>
          <w:tcPr>
            <w:tcW w:w="1972"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Δείκτης Κάλυψης Δανείων σε Καθυστέρηση +90 Ημερών</w:t>
            </w:r>
          </w:p>
        </w:tc>
        <w:tc>
          <w:tcPr>
            <w:tcW w:w="1134"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 xml:space="preserve">-- </w:t>
            </w:r>
          </w:p>
        </w:tc>
        <w:tc>
          <w:tcPr>
            <w:tcW w:w="7087"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Σωρευμένες προβλέψεις προς δάνεια προ προβλέψεων σε καθυστέρηση άνω των 90 ημερών, εξαιρουμένων των υποχρεωτικά ταξινομούμενων στην εύλογη αξία μέσω αποτελεσμάτων δανείων, τέλος περιόδου</w:t>
            </w:r>
          </w:p>
        </w:tc>
      </w:tr>
      <w:tr w:rsidR="0027264F" w:rsidRPr="00CB691B" w:rsidTr="00D95F56">
        <w:trPr>
          <w:trHeight w:val="113"/>
        </w:trPr>
        <w:tc>
          <w:tcPr>
            <w:tcW w:w="1972"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Δείκτης Κάλυψης Μη Εξυπηρετούμενων Ανοιγμάτων</w:t>
            </w:r>
          </w:p>
        </w:tc>
        <w:tc>
          <w:tcPr>
            <w:tcW w:w="1134"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rPr>
              <w:t>Δείκτης κάλυψης ΜΕΑ</w:t>
            </w:r>
          </w:p>
        </w:tc>
        <w:tc>
          <w:tcPr>
            <w:tcW w:w="7087"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Σωρευμένες προβλέψεις προς Μη Εξυπηρετούμενα Ανοίγματα, εξαιρουμένων των υποχρεωτικά ταξινομούμενων στην εύλογη αξία μέσω αποτελεσμάτων δανείων, τέλος περιόδου</w:t>
            </w:r>
          </w:p>
        </w:tc>
      </w:tr>
      <w:tr w:rsidR="0027264F" w:rsidRPr="00CB691B" w:rsidTr="00D95F56">
        <w:trPr>
          <w:trHeight w:val="113"/>
        </w:trPr>
        <w:tc>
          <w:tcPr>
            <w:tcW w:w="1972"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Δείκτης Κάλυψης Ρευστότητας (</w:t>
            </w:r>
            <w:r w:rsidRPr="003602D7">
              <w:rPr>
                <w:rFonts w:ascii="Segoe UI" w:eastAsia="MS Mincho" w:hAnsi="Segoe UI" w:cs="Segoe UI"/>
                <w:color w:val="000000"/>
                <w:sz w:val="15"/>
                <w:szCs w:val="15"/>
                <w:lang w:val="en-US"/>
              </w:rPr>
              <w:t>Liquidity</w:t>
            </w:r>
            <w:r w:rsidRPr="003602D7">
              <w:rPr>
                <w:rFonts w:ascii="Segoe UI" w:eastAsia="MS Mincho" w:hAnsi="Segoe UI" w:cs="Segoe UI"/>
                <w:color w:val="000000"/>
                <w:sz w:val="15"/>
                <w:szCs w:val="15"/>
              </w:rPr>
              <w:t xml:space="preserve"> </w:t>
            </w:r>
            <w:r w:rsidRPr="003602D7">
              <w:rPr>
                <w:rFonts w:ascii="Segoe UI" w:eastAsia="MS Mincho" w:hAnsi="Segoe UI" w:cs="Segoe UI"/>
                <w:color w:val="000000"/>
                <w:sz w:val="15"/>
                <w:szCs w:val="15"/>
                <w:lang w:val="en-US"/>
              </w:rPr>
              <w:t>Coverage</w:t>
            </w:r>
            <w:r w:rsidRPr="003602D7">
              <w:rPr>
                <w:rFonts w:ascii="Segoe UI" w:eastAsia="MS Mincho" w:hAnsi="Segoe UI" w:cs="Segoe UI"/>
                <w:color w:val="000000"/>
                <w:sz w:val="15"/>
                <w:szCs w:val="15"/>
              </w:rPr>
              <w:t xml:space="preserve"> </w:t>
            </w:r>
            <w:r w:rsidRPr="003602D7">
              <w:rPr>
                <w:rFonts w:ascii="Segoe UI" w:eastAsia="MS Mincho" w:hAnsi="Segoe UI" w:cs="Segoe UI"/>
                <w:color w:val="000000"/>
                <w:sz w:val="15"/>
                <w:szCs w:val="15"/>
                <w:lang w:val="en-US"/>
              </w:rPr>
              <w:t>Ratio</w:t>
            </w:r>
            <w:r w:rsidRPr="003602D7">
              <w:rPr>
                <w:rFonts w:ascii="Segoe UI" w:eastAsia="MS Mincho" w:hAnsi="Segoe UI" w:cs="Segoe UI"/>
                <w:color w:val="000000"/>
                <w:sz w:val="15"/>
                <w:szCs w:val="15"/>
              </w:rPr>
              <w:t>)</w:t>
            </w:r>
          </w:p>
        </w:tc>
        <w:tc>
          <w:tcPr>
            <w:tcW w:w="1134" w:type="dxa"/>
            <w:shd w:val="clear" w:color="auto" w:fill="auto"/>
            <w:noWrap/>
            <w:vAlign w:val="center"/>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rPr>
              <w:t xml:space="preserve">Δείκτης </w:t>
            </w:r>
            <w:r w:rsidRPr="003602D7">
              <w:rPr>
                <w:rFonts w:ascii="Segoe UI" w:eastAsia="MS Mincho" w:hAnsi="Segoe UI" w:cs="Segoe UI"/>
                <w:color w:val="000000"/>
                <w:sz w:val="15"/>
                <w:szCs w:val="15"/>
                <w:lang w:val="en-US"/>
              </w:rPr>
              <w:t>LCR</w:t>
            </w:r>
          </w:p>
        </w:tc>
        <w:tc>
          <w:tcPr>
            <w:tcW w:w="7087"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Ο Δείκτης Κάλυψης Ρευστότητας ισούται με τον δείκτη του αποθέματος ασφαλείας ρευστότητας του πιστωτικού ιδρύματος προς τις καθαρές εκροές ρευστότητάς του κατά τη διάρκεια μιας περιόδου ακραίων συνθηκών 30 ημερολογιακών ημερών, σύμφωνα με τον Κανονισμό (ΕΕ) 2015/61 </w:t>
            </w:r>
          </w:p>
        </w:tc>
      </w:tr>
      <w:tr w:rsidR="0027264F" w:rsidRPr="00CB691B" w:rsidTr="00D95F56">
        <w:trPr>
          <w:trHeight w:val="113"/>
        </w:trPr>
        <w:tc>
          <w:tcPr>
            <w:tcW w:w="1972"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Δείκτης Κόστους προς Λειτουργικά Έσοδα</w:t>
            </w:r>
          </w:p>
        </w:tc>
        <w:tc>
          <w:tcPr>
            <w:tcW w:w="1134"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w:t>
            </w:r>
          </w:p>
        </w:tc>
        <w:tc>
          <w:tcPr>
            <w:tcW w:w="7087"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Λειτουργικά έξοδα προς καθαρά λειτουργικά έσοδα </w:t>
            </w:r>
          </w:p>
        </w:tc>
      </w:tr>
      <w:tr w:rsidR="0027264F" w:rsidRPr="00CB691B" w:rsidTr="00D95F56">
        <w:trPr>
          <w:trHeight w:val="113"/>
        </w:trPr>
        <w:tc>
          <w:tcPr>
            <w:tcW w:w="1972"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Δείκτης Κόστους προς Οργανικά Έσοδα</w:t>
            </w:r>
          </w:p>
        </w:tc>
        <w:tc>
          <w:tcPr>
            <w:tcW w:w="1134"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w:t>
            </w:r>
          </w:p>
        </w:tc>
        <w:tc>
          <w:tcPr>
            <w:tcW w:w="7087"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Λειτουργικά έξοδα προς οργανικά έσοδα</w:t>
            </w:r>
          </w:p>
        </w:tc>
      </w:tr>
      <w:tr w:rsidR="0027264F" w:rsidRPr="00CB691B" w:rsidTr="00D95F56">
        <w:trPr>
          <w:trHeight w:val="113"/>
        </w:trPr>
        <w:tc>
          <w:tcPr>
            <w:tcW w:w="1972"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Δείκτης κεφαλαίου κοινών μετοχών κατηγορίας 1 («Common Equity Tier 1», «CET1») 1 </w:t>
            </w:r>
          </w:p>
        </w:tc>
        <w:tc>
          <w:tcPr>
            <w:tcW w:w="1134"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Δείκτης </w:t>
            </w:r>
            <w:r w:rsidRPr="003602D7">
              <w:rPr>
                <w:rFonts w:ascii="Segoe UI" w:eastAsia="MS Mincho" w:hAnsi="Segoe UI" w:cs="Segoe UI"/>
                <w:color w:val="000000"/>
                <w:sz w:val="15"/>
                <w:szCs w:val="15"/>
                <w:lang w:val="en-GB"/>
              </w:rPr>
              <w:t>CET</w:t>
            </w:r>
            <w:r w:rsidRPr="003602D7">
              <w:rPr>
                <w:rFonts w:ascii="Segoe UI" w:eastAsia="MS Mincho" w:hAnsi="Segoe UI" w:cs="Segoe UI"/>
                <w:color w:val="000000"/>
                <w:sz w:val="15"/>
                <w:szCs w:val="15"/>
              </w:rPr>
              <w:t>1</w:t>
            </w:r>
          </w:p>
        </w:tc>
        <w:tc>
          <w:tcPr>
            <w:tcW w:w="7087"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Μέσα κεφαλαίου κοινών μετοχών κατηγορίας 1, με εφαρμογή των διατάξεων του Κανονισμού (EU) 575/2013 και των εποπτικών μεταβατικών ρυθμίσεων για την επίδραση του ΔΠΧΑ 9, αναφορικά με τα σταθμισμένα στοιχεία Ενεργητικού</w:t>
            </w:r>
          </w:p>
        </w:tc>
      </w:tr>
      <w:tr w:rsidR="0027264F" w:rsidRPr="00CB691B" w:rsidTr="00D95F56">
        <w:trPr>
          <w:trHeight w:val="113"/>
        </w:trPr>
        <w:tc>
          <w:tcPr>
            <w:tcW w:w="1972"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Δείκτης Κεφαλαίου Κοινών Μετοχών Κατηγορίας 1 με πλήρη εφαρμογή του ΔΠΧΑ9 (“CET1 fully loaded”)</w:t>
            </w:r>
          </w:p>
        </w:tc>
        <w:tc>
          <w:tcPr>
            <w:tcW w:w="1134"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Δείκτης </w:t>
            </w:r>
            <w:r w:rsidRPr="003602D7">
              <w:rPr>
                <w:rFonts w:ascii="Segoe UI" w:eastAsia="MS Mincho" w:hAnsi="Segoe UI" w:cs="Segoe UI"/>
                <w:color w:val="000000"/>
                <w:sz w:val="15"/>
                <w:szCs w:val="15"/>
                <w:lang w:val="en-GB"/>
              </w:rPr>
              <w:t>CET</w:t>
            </w:r>
            <w:r w:rsidRPr="003602D7">
              <w:rPr>
                <w:rFonts w:ascii="Segoe UI" w:eastAsia="MS Mincho" w:hAnsi="Segoe UI" w:cs="Segoe UI"/>
                <w:color w:val="000000"/>
                <w:sz w:val="15"/>
                <w:szCs w:val="15"/>
              </w:rPr>
              <w:t xml:space="preserve">1 </w:t>
            </w:r>
            <w:r w:rsidRPr="003602D7">
              <w:rPr>
                <w:rFonts w:ascii="Segoe UI" w:eastAsia="MS Mincho" w:hAnsi="Segoe UI" w:cs="Segoe UI"/>
                <w:color w:val="000000"/>
                <w:sz w:val="15"/>
                <w:szCs w:val="15"/>
                <w:lang w:val="en-GB"/>
              </w:rPr>
              <w:t>FL</w:t>
            </w:r>
          </w:p>
        </w:tc>
        <w:tc>
          <w:tcPr>
            <w:tcW w:w="7087"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Μέσα κεφαλαίου κοινών μετοχών κατηγορίας 1, με εφαρμογή των διατάξεων του Κανονισμού (EU) 575/2013, χωρίς την εφαρμογή των εποπτικών μεταβατικών ρυθμίσεων για την επίδραση του ΔΠΧΑ 9, αναφορικά με τα σταθμισμένα στοιχεία Ενεργητικού</w:t>
            </w:r>
          </w:p>
        </w:tc>
      </w:tr>
      <w:tr w:rsidR="0027264F" w:rsidRPr="00CB691B" w:rsidTr="00D95F56">
        <w:trPr>
          <w:trHeight w:val="113"/>
        </w:trPr>
        <w:tc>
          <w:tcPr>
            <w:tcW w:w="1972"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lang w:val="en-GB"/>
              </w:rPr>
              <w:t>Δείκτης Μη Εξυπηρετούμενων Ανοιγμάτων</w:t>
            </w:r>
          </w:p>
        </w:tc>
        <w:tc>
          <w:tcPr>
            <w:tcW w:w="1134"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Δείκτης ΜΕΑ </w:t>
            </w:r>
          </w:p>
        </w:tc>
        <w:tc>
          <w:tcPr>
            <w:tcW w:w="7087"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Μη Εξυπηρετούμενα Ανοίγματα προς δάνεια προ προβλέψεων, τέλος περιόδου</w:t>
            </w:r>
          </w:p>
        </w:tc>
      </w:tr>
      <w:tr w:rsidR="0027264F" w:rsidRPr="00CB691B" w:rsidTr="00D95F56">
        <w:trPr>
          <w:trHeight w:val="113"/>
        </w:trPr>
        <w:tc>
          <w:tcPr>
            <w:tcW w:w="1972"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Ενσώματα Ίδια Κεφάλαια</w:t>
            </w:r>
          </w:p>
        </w:tc>
        <w:tc>
          <w:tcPr>
            <w:tcW w:w="1134"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w:t>
            </w:r>
          </w:p>
        </w:tc>
        <w:tc>
          <w:tcPr>
            <w:tcW w:w="7087"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Ίδια κεφάλαια μετόχων Τράπεζας μείον υπεραξία επιχειρήσεων, λογισμικό και λοιπά άυλα</w:t>
            </w:r>
          </w:p>
        </w:tc>
      </w:tr>
      <w:tr w:rsidR="0027264F" w:rsidRPr="00CB691B" w:rsidTr="00D95F56">
        <w:trPr>
          <w:trHeight w:val="113"/>
        </w:trPr>
        <w:tc>
          <w:tcPr>
            <w:tcW w:w="1972"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Pr>
                <w:rFonts w:ascii="Segoe UI" w:eastAsia="MS Mincho" w:hAnsi="Segoe UI" w:cs="Segoe UI"/>
                <w:color w:val="000000"/>
                <w:sz w:val="15"/>
                <w:szCs w:val="15"/>
              </w:rPr>
              <w:t>Εξυπηρετούμενα Δάνεια / Ανοίγματα</w:t>
            </w:r>
          </w:p>
        </w:tc>
        <w:tc>
          <w:tcPr>
            <w:tcW w:w="1134"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w:t>
            </w:r>
          </w:p>
        </w:tc>
        <w:tc>
          <w:tcPr>
            <w:tcW w:w="7087"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Pr>
                <w:rFonts w:ascii="Segoe UI" w:eastAsia="MS Mincho" w:hAnsi="Segoe UI" w:cs="Segoe UI"/>
                <w:color w:val="000000"/>
                <w:sz w:val="15"/>
                <w:szCs w:val="15"/>
              </w:rPr>
              <w:t>Δάνεια προ προβλέψεων μείον Μη Εξυπηρετούμενα Ανοίγματα</w:t>
            </w:r>
          </w:p>
        </w:tc>
      </w:tr>
      <w:tr w:rsidR="0027264F" w:rsidRPr="00CB691B" w:rsidTr="00D95F56">
        <w:trPr>
          <w:trHeight w:val="113"/>
        </w:trPr>
        <w:tc>
          <w:tcPr>
            <w:tcW w:w="1972"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Έσοδα ή κέρδη (έξοδα ή ζημίες) από Χρηματ/κες Πράξεις &amp; Λοιπά Έσοδα (Έξοδα) / Μη Οργανικά Έσοδα</w:t>
            </w:r>
          </w:p>
        </w:tc>
        <w:tc>
          <w:tcPr>
            <w:tcW w:w="1134"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w:t>
            </w:r>
          </w:p>
        </w:tc>
        <w:tc>
          <w:tcPr>
            <w:tcW w:w="7087"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Αποτελέσματα χρηματοοικονομικών πράξεων &amp; τίτλων επενδυτικού χαρτοφυλακίου {«έσοδα ή κέρδη (έξοδα ή ζημίες) από χρηματοοικονομικές πράξεις»)+ καθαρά λοιπά έσοδα / (έξοδα) {«λοιπά έσοδα (έξοδα)»}</w:t>
            </w:r>
          </w:p>
        </w:tc>
      </w:tr>
      <w:tr w:rsidR="0027264F" w:rsidRPr="00CB691B" w:rsidTr="00D95F56">
        <w:trPr>
          <w:trHeight w:val="113"/>
        </w:trPr>
        <w:tc>
          <w:tcPr>
            <w:tcW w:w="1972"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Ίδια Κεφάλαια</w:t>
            </w:r>
          </w:p>
        </w:tc>
        <w:tc>
          <w:tcPr>
            <w:tcW w:w="1134"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w:t>
            </w:r>
          </w:p>
        </w:tc>
        <w:tc>
          <w:tcPr>
            <w:tcW w:w="7087"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Ίδια κεφάλαια μετόχων Τράπεζας </w:t>
            </w:r>
          </w:p>
        </w:tc>
      </w:tr>
      <w:tr w:rsidR="0027264F" w:rsidRPr="00CB691B" w:rsidTr="00D95F56">
        <w:trPr>
          <w:trHeight w:val="113"/>
        </w:trPr>
        <w:tc>
          <w:tcPr>
            <w:tcW w:w="1972"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Ισολογισμός </w:t>
            </w:r>
          </w:p>
        </w:tc>
        <w:tc>
          <w:tcPr>
            <w:tcW w:w="1134"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w:t>
            </w:r>
          </w:p>
        </w:tc>
        <w:tc>
          <w:tcPr>
            <w:tcW w:w="7087"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Κατάσταση χρηματοοικονομικής θέσης</w:t>
            </w:r>
          </w:p>
        </w:tc>
      </w:tr>
      <w:tr w:rsidR="0027264F" w:rsidRPr="00CB691B" w:rsidTr="00D95F56">
        <w:trPr>
          <w:trHeight w:val="113"/>
        </w:trPr>
        <w:tc>
          <w:tcPr>
            <w:tcW w:w="1972"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Καθαρό Επιτοκιακό Περιθώριο</w:t>
            </w:r>
          </w:p>
        </w:tc>
        <w:tc>
          <w:tcPr>
            <w:tcW w:w="1134"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w:t>
            </w:r>
          </w:p>
        </w:tc>
        <w:tc>
          <w:tcPr>
            <w:tcW w:w="7087"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Καθαρά έσοδα από τόκους προς το μέσο όρο των τοκοφόρων στοιχείων ενεργητικού (ο μέσος όρος των τοκοφόρων στοιχείων του ενεργητικού υπολογίζεται ως το άθροισμα των υπολοίπων των τοκοφόρων στοιχείων του ενεργητικού στο τέλος του προηγούμενου έτους και στο τέλος του έτους αναφοράς καθώς και των ενδιάμεσων τριμήνων, δια τον αριθμό των περιόδων (πέντε περίοδοι) για τις ετήσιες χρήσεις). Σε επίπεδο τριμήνου, το καθαρό επιτοκιακό περιθώριο υπολογίζεται επί του μηνιαίου μέσου όρου των τοκοφόρων στοιχείων ενεργητικού </w:t>
            </w:r>
          </w:p>
        </w:tc>
      </w:tr>
      <w:tr w:rsidR="0027264F" w:rsidRPr="00CB691B" w:rsidTr="00D95F56">
        <w:trPr>
          <w:trHeight w:val="113"/>
        </w:trPr>
        <w:tc>
          <w:tcPr>
            <w:tcW w:w="1972"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Καθαρό Επιτοκιακό Περιθώριο Προσαρμοσμένο στον Κίνδυνο </w:t>
            </w:r>
          </w:p>
        </w:tc>
        <w:tc>
          <w:tcPr>
            <w:tcW w:w="1134"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p>
        </w:tc>
        <w:tc>
          <w:tcPr>
            <w:tcW w:w="7087"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Καθαρό επιτοκιακό περιθώριο μείον το κόστος πιστωτικού κινδύνου</w:t>
            </w:r>
          </w:p>
        </w:tc>
      </w:tr>
      <w:tr w:rsidR="0027264F" w:rsidRPr="00CB691B" w:rsidTr="00D95F56">
        <w:trPr>
          <w:trHeight w:val="113"/>
        </w:trPr>
        <w:tc>
          <w:tcPr>
            <w:tcW w:w="1972"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rPr>
              <w:t>Κατ</w:t>
            </w:r>
            <w:r w:rsidRPr="003602D7">
              <w:rPr>
                <w:rFonts w:ascii="Segoe UI" w:eastAsia="MS Mincho" w:hAnsi="Segoe UI" w:cs="Segoe UI"/>
                <w:color w:val="000000"/>
                <w:sz w:val="15"/>
                <w:szCs w:val="15"/>
                <w:lang w:val="en-GB"/>
              </w:rPr>
              <w:t xml:space="preserve">αθέσεις </w:t>
            </w:r>
          </w:p>
        </w:tc>
        <w:tc>
          <w:tcPr>
            <w:tcW w:w="1134"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w:t>
            </w:r>
          </w:p>
        </w:tc>
        <w:tc>
          <w:tcPr>
            <w:tcW w:w="7087"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Υποχρεώσεις προς πελάτες</w:t>
            </w:r>
          </w:p>
        </w:tc>
      </w:tr>
      <w:tr w:rsidR="0027264F" w:rsidRPr="00CB691B" w:rsidTr="00D95F56">
        <w:trPr>
          <w:trHeight w:val="113"/>
        </w:trPr>
        <w:tc>
          <w:tcPr>
            <w:tcW w:w="1972"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Κέρδη / (ζημίες) από συνεχιζόμενες δραστηριότητες</w:t>
            </w:r>
          </w:p>
        </w:tc>
        <w:tc>
          <w:tcPr>
            <w:tcW w:w="1134"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w:t>
            </w:r>
          </w:p>
        </w:tc>
        <w:tc>
          <w:tcPr>
            <w:tcW w:w="7087"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Κέρδη / (ζημίες) από συνεχιζόμενες δραστηριότητες, εξαιρουμένου του κόστους του Προγράμματος Εθελουσίας Προσωπικού, του κόστους αναδιάρθρωσης, της διακοπής μισθώσεων και λοιπών μη επαναλαμβανόμενων δαπανών, καθώς και της δαπάνης για το ΛΕΠΕΤΕ. Τα κέρδη / (ζημίες) από συνεχιζόμενες δραστηριότητες εξαιρούν τη δαπάνη για το ΛΕΠΕΤΕ (€</w:t>
            </w:r>
            <w:r>
              <w:rPr>
                <w:rFonts w:ascii="Segoe UI" w:eastAsia="MS Mincho" w:hAnsi="Segoe UI" w:cs="Segoe UI"/>
                <w:color w:val="000000"/>
                <w:sz w:val="15"/>
                <w:szCs w:val="15"/>
              </w:rPr>
              <w:t>28</w:t>
            </w:r>
            <w:r w:rsidRPr="003602D7">
              <w:rPr>
                <w:rFonts w:ascii="Segoe UI" w:eastAsia="MS Mincho" w:hAnsi="Segoe UI" w:cs="Segoe UI"/>
                <w:color w:val="000000"/>
                <w:sz w:val="15"/>
                <w:szCs w:val="15"/>
              </w:rPr>
              <w:t xml:space="preserve"> εκατ.), το κόστος Εθελουσίας Εξόδου Προσωπικού (€90 εκατ.), κόστη αναδιάρθρωσης (€</w:t>
            </w:r>
            <w:r>
              <w:rPr>
                <w:rFonts w:ascii="Segoe UI" w:eastAsia="MS Mincho" w:hAnsi="Segoe UI" w:cs="Segoe UI"/>
                <w:color w:val="000000"/>
                <w:sz w:val="15"/>
                <w:szCs w:val="15"/>
              </w:rPr>
              <w:t>8</w:t>
            </w:r>
            <w:r w:rsidRPr="003602D7">
              <w:rPr>
                <w:rFonts w:ascii="Segoe UI" w:eastAsia="MS Mincho" w:hAnsi="Segoe UI" w:cs="Segoe UI"/>
                <w:color w:val="000000"/>
                <w:sz w:val="15"/>
                <w:szCs w:val="15"/>
              </w:rPr>
              <w:t xml:space="preserve"> εκατ.) και λοιπές μη επαναλαμβανόμενες δαπάνες (€</w:t>
            </w:r>
            <w:r>
              <w:rPr>
                <w:rFonts w:ascii="Segoe UI" w:eastAsia="MS Mincho" w:hAnsi="Segoe UI" w:cs="Segoe UI"/>
                <w:color w:val="000000"/>
                <w:sz w:val="15"/>
                <w:szCs w:val="15"/>
              </w:rPr>
              <w:t>6</w:t>
            </w:r>
            <w:r w:rsidRPr="003602D7">
              <w:rPr>
                <w:rFonts w:ascii="Segoe UI" w:eastAsia="MS Mincho" w:hAnsi="Segoe UI" w:cs="Segoe UI"/>
                <w:color w:val="000000"/>
                <w:sz w:val="15"/>
                <w:szCs w:val="15"/>
              </w:rPr>
              <w:t xml:space="preserve"> εκατ.) για το </w:t>
            </w:r>
            <w:r>
              <w:rPr>
                <w:rFonts w:ascii="Segoe UI" w:eastAsia="MS Mincho" w:hAnsi="Segoe UI" w:cs="Segoe UI"/>
                <w:color w:val="000000"/>
                <w:sz w:val="15"/>
                <w:szCs w:val="15"/>
              </w:rPr>
              <w:t xml:space="preserve">Εννεάμηνο </w:t>
            </w:r>
            <w:r w:rsidRPr="003602D7">
              <w:rPr>
                <w:rFonts w:ascii="Segoe UI" w:eastAsia="MS Mincho" w:hAnsi="Segoe UI" w:cs="Segoe UI"/>
                <w:color w:val="000000"/>
                <w:sz w:val="15"/>
                <w:szCs w:val="15"/>
              </w:rPr>
              <w:t>2020, καθώς και</w:t>
            </w:r>
            <w:r>
              <w:rPr>
                <w:rFonts w:ascii="Segoe UI" w:eastAsia="MS Mincho" w:hAnsi="Segoe UI" w:cs="Segoe UI"/>
                <w:color w:val="000000"/>
                <w:sz w:val="15"/>
                <w:szCs w:val="15"/>
              </w:rPr>
              <w:t xml:space="preserve"> </w:t>
            </w:r>
            <w:r w:rsidRPr="003602D7">
              <w:rPr>
                <w:rFonts w:ascii="Segoe UI" w:eastAsia="MS Mincho" w:hAnsi="Segoe UI" w:cs="Segoe UI"/>
                <w:color w:val="000000"/>
                <w:sz w:val="15"/>
                <w:szCs w:val="15"/>
              </w:rPr>
              <w:t>τη δαπάνη για το ΛΕΠΕΤΕ (€</w:t>
            </w:r>
            <w:r>
              <w:rPr>
                <w:rFonts w:ascii="Segoe UI" w:eastAsia="MS Mincho" w:hAnsi="Segoe UI" w:cs="Segoe UI"/>
                <w:color w:val="000000"/>
                <w:sz w:val="15"/>
                <w:szCs w:val="15"/>
              </w:rPr>
              <w:t>36</w:t>
            </w:r>
            <w:r w:rsidRPr="003602D7">
              <w:rPr>
                <w:rFonts w:ascii="Segoe UI" w:eastAsia="MS Mincho" w:hAnsi="Segoe UI" w:cs="Segoe UI"/>
                <w:color w:val="000000"/>
                <w:sz w:val="15"/>
                <w:szCs w:val="15"/>
              </w:rPr>
              <w:t xml:space="preserve"> εκατ.), το κόστος Εθελουσίας Εξόδου Προσωπικού (€94 εκατ.)</w:t>
            </w:r>
            <w:r>
              <w:rPr>
                <w:rFonts w:ascii="Segoe UI" w:eastAsia="MS Mincho" w:hAnsi="Segoe UI" w:cs="Segoe UI"/>
                <w:color w:val="000000"/>
                <w:sz w:val="15"/>
                <w:szCs w:val="15"/>
              </w:rPr>
              <w:t>, τα</w:t>
            </w:r>
            <w:r w:rsidRPr="003602D7">
              <w:rPr>
                <w:rFonts w:ascii="Segoe UI" w:eastAsia="MS Mincho" w:hAnsi="Segoe UI" w:cs="Segoe UI"/>
                <w:color w:val="000000"/>
                <w:sz w:val="15"/>
                <w:szCs w:val="15"/>
              </w:rPr>
              <w:t xml:space="preserve"> κόστη αναδιάρθρωσης (€1</w:t>
            </w:r>
            <w:r>
              <w:rPr>
                <w:rFonts w:ascii="Segoe UI" w:eastAsia="MS Mincho" w:hAnsi="Segoe UI" w:cs="Segoe UI"/>
                <w:color w:val="000000"/>
                <w:sz w:val="15"/>
                <w:szCs w:val="15"/>
              </w:rPr>
              <w:t>4</w:t>
            </w:r>
            <w:r w:rsidRPr="003602D7">
              <w:rPr>
                <w:rFonts w:ascii="Segoe UI" w:eastAsia="MS Mincho" w:hAnsi="Segoe UI" w:cs="Segoe UI"/>
                <w:color w:val="000000"/>
                <w:sz w:val="15"/>
                <w:szCs w:val="15"/>
              </w:rPr>
              <w:t xml:space="preserve"> εκατ.) </w:t>
            </w:r>
            <w:r w:rsidRPr="00EF7FDB">
              <w:rPr>
                <w:rFonts w:ascii="Segoe UI" w:eastAsia="MS Mincho" w:hAnsi="Segoe UI" w:cs="Segoe UI"/>
                <w:color w:val="000000"/>
                <w:sz w:val="15"/>
                <w:szCs w:val="15"/>
              </w:rPr>
              <w:t>και λοιπές μη επαναλαμβανόμενες δαπάνες (€</w:t>
            </w:r>
            <w:r>
              <w:rPr>
                <w:rFonts w:ascii="Segoe UI" w:eastAsia="MS Mincho" w:hAnsi="Segoe UI" w:cs="Segoe UI"/>
                <w:color w:val="000000"/>
                <w:sz w:val="15"/>
                <w:szCs w:val="15"/>
              </w:rPr>
              <w:t>2</w:t>
            </w:r>
            <w:r w:rsidRPr="00EF7FDB">
              <w:rPr>
                <w:rFonts w:ascii="Segoe UI" w:eastAsia="MS Mincho" w:hAnsi="Segoe UI" w:cs="Segoe UI"/>
                <w:color w:val="000000"/>
                <w:sz w:val="15"/>
                <w:szCs w:val="15"/>
              </w:rPr>
              <w:t xml:space="preserve"> εκατ.) για το Εννεάμηνο 20</w:t>
            </w:r>
            <w:r>
              <w:rPr>
                <w:rFonts w:ascii="Segoe UI" w:eastAsia="MS Mincho" w:hAnsi="Segoe UI" w:cs="Segoe UI"/>
                <w:color w:val="000000"/>
                <w:sz w:val="15"/>
                <w:szCs w:val="15"/>
              </w:rPr>
              <w:t>19</w:t>
            </w:r>
          </w:p>
        </w:tc>
      </w:tr>
      <w:tr w:rsidR="0027264F" w:rsidRPr="00CB691B" w:rsidTr="00D95F56">
        <w:trPr>
          <w:trHeight w:val="113"/>
        </w:trPr>
        <w:tc>
          <w:tcPr>
            <w:tcW w:w="1972"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Κέρδη προ Προβλέψεων</w:t>
            </w:r>
          </w:p>
        </w:tc>
        <w:tc>
          <w:tcPr>
            <w:tcW w:w="1134"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w:t>
            </w:r>
          </w:p>
        </w:tc>
        <w:tc>
          <w:tcPr>
            <w:tcW w:w="7087"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Καθαρά λειτουργικά έσοδα μείον λειτουργικά έξοδα</w:t>
            </w:r>
          </w:p>
        </w:tc>
      </w:tr>
      <w:tr w:rsidR="0027264F" w:rsidRPr="00CB691B" w:rsidTr="00D95F56">
        <w:trPr>
          <w:trHeight w:val="113"/>
        </w:trPr>
        <w:tc>
          <w:tcPr>
            <w:tcW w:w="1972"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lastRenderedPageBreak/>
              <w:t>Κόστος πιστωτικού κινδύνου</w:t>
            </w:r>
          </w:p>
        </w:tc>
        <w:tc>
          <w:tcPr>
            <w:tcW w:w="1134" w:type="dxa"/>
            <w:shd w:val="clear" w:color="auto" w:fill="F2F2F2" w:themeFill="background1" w:themeFillShade="F2"/>
            <w:noWrap/>
            <w:vAlign w:val="center"/>
            <w:hideMark/>
          </w:tcPr>
          <w:p w:rsidR="0027264F" w:rsidRPr="009E6F4A" w:rsidRDefault="0027264F" w:rsidP="00D95F56">
            <w:pPr>
              <w:rPr>
                <w:rFonts w:ascii="Segoe UI" w:eastAsia="MS Mincho" w:hAnsi="Segoe UI" w:cs="Segoe UI"/>
                <w:color w:val="000000"/>
                <w:sz w:val="15"/>
                <w:szCs w:val="15"/>
              </w:rPr>
            </w:pPr>
            <w:r>
              <w:rPr>
                <w:rFonts w:ascii="Segoe UI" w:eastAsia="MS Mincho" w:hAnsi="Segoe UI" w:cs="Segoe UI"/>
                <w:color w:val="000000"/>
                <w:sz w:val="15"/>
                <w:szCs w:val="15"/>
              </w:rPr>
              <w:t>--</w:t>
            </w:r>
          </w:p>
        </w:tc>
        <w:tc>
          <w:tcPr>
            <w:tcW w:w="7087"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Προβλέψεις απομείωσης για ΑΠΖ για το έτος προς μέσο δανείων μετά από προβλέψεις </w:t>
            </w:r>
          </w:p>
        </w:tc>
      </w:tr>
      <w:tr w:rsidR="0027264F" w:rsidRPr="00CB691B" w:rsidTr="00D95F56">
        <w:trPr>
          <w:trHeight w:val="113"/>
        </w:trPr>
        <w:tc>
          <w:tcPr>
            <w:tcW w:w="1972"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Κόστος Προγράμματος Εθελουσίας, κόστη αναδιάρθρωσης και λοιπά έκτακτα έξοδα </w:t>
            </w:r>
          </w:p>
        </w:tc>
        <w:tc>
          <w:tcPr>
            <w:tcW w:w="1134"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w:t>
            </w:r>
          </w:p>
        </w:tc>
        <w:tc>
          <w:tcPr>
            <w:tcW w:w="7087"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Περιλαμβάνει το Κόστος Προγράμματος Εθελουσίας Εξόδου, κόστη αναδιάρθρωσης, καθώς και λοιπά μη επαναλαμβανόμενα έξοδα </w:t>
            </w:r>
          </w:p>
        </w:tc>
      </w:tr>
      <w:tr w:rsidR="0027264F" w:rsidRPr="001616AD" w:rsidTr="00D95F56">
        <w:trPr>
          <w:trHeight w:val="113"/>
        </w:trPr>
        <w:tc>
          <w:tcPr>
            <w:tcW w:w="1972"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Pr>
                <w:rFonts w:ascii="Segoe UI" w:eastAsia="MS Mincho" w:hAnsi="Segoe UI" w:cs="Segoe UI"/>
                <w:color w:val="000000"/>
                <w:sz w:val="15"/>
                <w:szCs w:val="15"/>
              </w:rPr>
              <w:t>Κόστος Χρηματοδότησης</w:t>
            </w:r>
          </w:p>
        </w:tc>
        <w:tc>
          <w:tcPr>
            <w:tcW w:w="1134"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Pr>
                <w:rFonts w:ascii="Segoe UI" w:eastAsia="MS Mincho" w:hAnsi="Segoe UI" w:cs="Segoe UI"/>
                <w:color w:val="000000"/>
                <w:sz w:val="15"/>
                <w:szCs w:val="15"/>
              </w:rPr>
              <w:t>--</w:t>
            </w:r>
          </w:p>
        </w:tc>
        <w:tc>
          <w:tcPr>
            <w:tcW w:w="7087" w:type="dxa"/>
            <w:shd w:val="clear" w:color="auto" w:fill="F2F2F2" w:themeFill="background1" w:themeFillShade="F2"/>
            <w:noWrap/>
            <w:vAlign w:val="center"/>
          </w:tcPr>
          <w:p w:rsidR="0027264F" w:rsidRPr="001616AD" w:rsidRDefault="0027264F" w:rsidP="00D95F56">
            <w:pPr>
              <w:rPr>
                <w:rFonts w:ascii="Segoe UI" w:eastAsia="MS Mincho" w:hAnsi="Segoe UI" w:cs="Segoe UI"/>
                <w:color w:val="000000"/>
                <w:sz w:val="15"/>
                <w:szCs w:val="15"/>
              </w:rPr>
            </w:pPr>
            <w:r>
              <w:rPr>
                <w:rFonts w:ascii="Segoe UI" w:eastAsia="MS Mincho" w:hAnsi="Segoe UI" w:cs="Segoe UI"/>
                <w:color w:val="000000"/>
                <w:sz w:val="15"/>
                <w:szCs w:val="15"/>
              </w:rPr>
              <w:t>Το</w:t>
            </w:r>
            <w:r w:rsidRPr="001616AD">
              <w:rPr>
                <w:rFonts w:ascii="Segoe UI" w:eastAsia="MS Mincho" w:hAnsi="Segoe UI" w:cs="Segoe UI"/>
                <w:color w:val="000000"/>
                <w:sz w:val="15"/>
                <w:szCs w:val="15"/>
              </w:rPr>
              <w:t xml:space="preserve"> </w:t>
            </w:r>
            <w:r>
              <w:rPr>
                <w:rFonts w:ascii="Segoe UI" w:eastAsia="MS Mincho" w:hAnsi="Segoe UI" w:cs="Segoe UI"/>
                <w:color w:val="000000"/>
                <w:sz w:val="15"/>
                <w:szCs w:val="15"/>
              </w:rPr>
              <w:t>σταθμισμένος</w:t>
            </w:r>
            <w:r w:rsidRPr="001616AD">
              <w:rPr>
                <w:rFonts w:ascii="Segoe UI" w:eastAsia="MS Mincho" w:hAnsi="Segoe UI" w:cs="Segoe UI"/>
                <w:color w:val="000000"/>
                <w:sz w:val="15"/>
                <w:szCs w:val="15"/>
              </w:rPr>
              <w:t xml:space="preserve"> </w:t>
            </w:r>
            <w:r>
              <w:rPr>
                <w:rFonts w:ascii="Segoe UI" w:eastAsia="MS Mincho" w:hAnsi="Segoe UI" w:cs="Segoe UI"/>
                <w:color w:val="000000"/>
                <w:sz w:val="15"/>
                <w:szCs w:val="15"/>
              </w:rPr>
              <w:t>μέσο</w:t>
            </w:r>
            <w:r w:rsidRPr="001616AD">
              <w:rPr>
                <w:rFonts w:ascii="Segoe UI" w:eastAsia="MS Mincho" w:hAnsi="Segoe UI" w:cs="Segoe UI"/>
                <w:color w:val="000000"/>
                <w:sz w:val="15"/>
                <w:szCs w:val="15"/>
              </w:rPr>
              <w:t xml:space="preserve"> </w:t>
            </w:r>
            <w:r>
              <w:rPr>
                <w:rFonts w:ascii="Segoe UI" w:eastAsia="MS Mincho" w:hAnsi="Segoe UI" w:cs="Segoe UI"/>
                <w:color w:val="000000"/>
                <w:sz w:val="15"/>
                <w:szCs w:val="15"/>
              </w:rPr>
              <w:t>κόστος</w:t>
            </w:r>
            <w:r w:rsidRPr="001616AD">
              <w:rPr>
                <w:rFonts w:ascii="Segoe UI" w:eastAsia="MS Mincho" w:hAnsi="Segoe UI" w:cs="Segoe UI"/>
                <w:color w:val="000000"/>
                <w:sz w:val="15"/>
                <w:szCs w:val="15"/>
              </w:rPr>
              <w:t xml:space="preserve"> </w:t>
            </w:r>
            <w:r>
              <w:rPr>
                <w:rFonts w:ascii="Segoe UI" w:eastAsia="MS Mincho" w:hAnsi="Segoe UI" w:cs="Segoe UI"/>
                <w:color w:val="000000"/>
                <w:sz w:val="15"/>
                <w:szCs w:val="15"/>
              </w:rPr>
              <w:t>των</w:t>
            </w:r>
            <w:r w:rsidRPr="001616AD">
              <w:rPr>
                <w:rFonts w:ascii="Segoe UI" w:eastAsia="MS Mincho" w:hAnsi="Segoe UI" w:cs="Segoe UI"/>
                <w:color w:val="000000"/>
                <w:sz w:val="15"/>
                <w:szCs w:val="15"/>
              </w:rPr>
              <w:t xml:space="preserve"> </w:t>
            </w:r>
            <w:r>
              <w:rPr>
                <w:rFonts w:ascii="Segoe UI" w:eastAsia="MS Mincho" w:hAnsi="Segoe UI" w:cs="Segoe UI"/>
                <w:color w:val="000000"/>
                <w:sz w:val="15"/>
                <w:szCs w:val="15"/>
              </w:rPr>
              <w:t>καταθέσεων</w:t>
            </w:r>
            <w:r w:rsidRPr="001616AD">
              <w:rPr>
                <w:rFonts w:ascii="Segoe UI" w:eastAsia="MS Mincho" w:hAnsi="Segoe UI" w:cs="Segoe UI"/>
                <w:color w:val="000000"/>
                <w:sz w:val="15"/>
                <w:szCs w:val="15"/>
              </w:rPr>
              <w:t xml:space="preserve">, </w:t>
            </w:r>
            <w:r>
              <w:rPr>
                <w:rFonts w:ascii="Segoe UI" w:eastAsia="MS Mincho" w:hAnsi="Segoe UI" w:cs="Segoe UI"/>
                <w:color w:val="000000"/>
                <w:sz w:val="15"/>
                <w:szCs w:val="15"/>
              </w:rPr>
              <w:t>της</w:t>
            </w:r>
            <w:r w:rsidRPr="001616AD">
              <w:rPr>
                <w:rFonts w:ascii="Segoe UI" w:eastAsia="MS Mincho" w:hAnsi="Segoe UI" w:cs="Segoe UI"/>
                <w:color w:val="000000"/>
                <w:sz w:val="15"/>
                <w:szCs w:val="15"/>
              </w:rPr>
              <w:t xml:space="preserve"> </w:t>
            </w:r>
            <w:r>
              <w:rPr>
                <w:rFonts w:ascii="Segoe UI" w:eastAsia="MS Mincho" w:hAnsi="Segoe UI" w:cs="Segoe UI"/>
                <w:color w:val="000000"/>
                <w:sz w:val="15"/>
                <w:szCs w:val="15"/>
              </w:rPr>
              <w:t>χρηματοδότησης</w:t>
            </w:r>
            <w:r w:rsidRPr="001616AD">
              <w:rPr>
                <w:rFonts w:ascii="Segoe UI" w:eastAsia="MS Mincho" w:hAnsi="Segoe UI" w:cs="Segoe UI"/>
                <w:color w:val="000000"/>
                <w:sz w:val="15"/>
                <w:szCs w:val="15"/>
              </w:rPr>
              <w:t xml:space="preserve"> </w:t>
            </w:r>
            <w:r>
              <w:rPr>
                <w:rFonts w:ascii="Segoe UI" w:eastAsia="MS Mincho" w:hAnsi="Segoe UI" w:cs="Segoe UI"/>
                <w:color w:val="000000"/>
                <w:sz w:val="15"/>
                <w:szCs w:val="15"/>
              </w:rPr>
              <w:t>μέσω Ευρωσυστήματος και</w:t>
            </w:r>
            <w:r w:rsidRPr="001616AD">
              <w:rPr>
                <w:rFonts w:ascii="Segoe UI" w:eastAsia="MS Mincho" w:hAnsi="Segoe UI" w:cs="Segoe UI"/>
                <w:color w:val="000000"/>
                <w:sz w:val="15"/>
                <w:szCs w:val="15"/>
              </w:rPr>
              <w:t xml:space="preserve"> συμφωνιών επαναγοράς</w:t>
            </w:r>
            <w:r>
              <w:rPr>
                <w:rFonts w:ascii="Segoe UI" w:eastAsia="MS Mincho" w:hAnsi="Segoe UI" w:cs="Segoe UI"/>
                <w:color w:val="000000"/>
                <w:sz w:val="15"/>
                <w:szCs w:val="15"/>
              </w:rPr>
              <w:t>, καθώς και των καλυμμένων ομολόγων και των τιτλοποιήσεων</w:t>
            </w:r>
          </w:p>
        </w:tc>
      </w:tr>
      <w:tr w:rsidR="0027264F" w:rsidRPr="00CB691B" w:rsidTr="00D95F56">
        <w:trPr>
          <w:trHeight w:val="113"/>
        </w:trPr>
        <w:tc>
          <w:tcPr>
            <w:tcW w:w="1972"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Λειτουργικά ή Συνολικά Έσοδα</w:t>
            </w:r>
          </w:p>
        </w:tc>
        <w:tc>
          <w:tcPr>
            <w:tcW w:w="1134"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p>
        </w:tc>
        <w:tc>
          <w:tcPr>
            <w:tcW w:w="7087"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Καθαρά λειτουργικά έσοδα</w:t>
            </w:r>
          </w:p>
        </w:tc>
      </w:tr>
      <w:tr w:rsidR="0027264F" w:rsidRPr="00CB691B" w:rsidTr="00D95F56">
        <w:trPr>
          <w:trHeight w:val="113"/>
        </w:trPr>
        <w:tc>
          <w:tcPr>
            <w:tcW w:w="1972"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Λειτουργικά ή Συνολικά Έξοδα / Δαπάνες / Κόστη</w:t>
            </w:r>
          </w:p>
        </w:tc>
        <w:tc>
          <w:tcPr>
            <w:tcW w:w="1134"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w:t>
            </w:r>
          </w:p>
        </w:tc>
        <w:tc>
          <w:tcPr>
            <w:tcW w:w="7087"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Δαπάνες προσωπικού + Γενικά διοικητικά έξοδα + Αποσβέσεις, εξαιρουμένου του κόστους του Προγράμματος Εθελουσίας Προσωπικού, του κόστους αναδιάρθρωσης, της διακοπής μισθώσεων και λοιπών μη επαναλαμβανόμενων δαπανών, καθώς και της δαπάνης για το ΛΕΠΕΤΕ. Τα λειτουργικά έξοδα εξαιρούν τη δαπάνη για το </w:t>
            </w:r>
            <w:r w:rsidRPr="0030283F">
              <w:rPr>
                <w:rFonts w:ascii="Segoe UI" w:eastAsia="MS Mincho" w:hAnsi="Segoe UI" w:cs="Segoe UI"/>
                <w:color w:val="000000"/>
                <w:sz w:val="15"/>
                <w:szCs w:val="15"/>
              </w:rPr>
              <w:t>ΛΕΠΕΤΕ (€28 εκατ.), το κόστος Εθελουσίας Εξόδου Προσωπικού (€90 εκατ.), κόστη αναδιάρθρωσης (€8 εκατ.) και λοιπές μη επαναλαμβανόμενες δαπάνες (€6 εκατ.) για το Εννεάμηνο 2020, καθώς και τη δαπάνη για το ΛΕΠΕΤΕ (€36 εκατ.), το κόστος Εθελουσίας Εξόδου Προσωπικού (€94 εκατ.), τα κόστη αναδιάρθρωσης (€14 εκατ.) και λοιπές μη επαναλαμβανόμενες δαπάνες (€2 εκατ.) για το Εννεάμηνο 2019</w:t>
            </w:r>
          </w:p>
        </w:tc>
      </w:tr>
      <w:tr w:rsidR="0027264F" w:rsidRPr="00CB691B" w:rsidTr="00D95F56">
        <w:trPr>
          <w:trHeight w:val="113"/>
        </w:trPr>
        <w:tc>
          <w:tcPr>
            <w:tcW w:w="1972"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Λειτουργικά Κέρδη / (Ζημίες)</w:t>
            </w:r>
          </w:p>
        </w:tc>
        <w:tc>
          <w:tcPr>
            <w:tcW w:w="1134"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w:t>
            </w:r>
          </w:p>
        </w:tc>
        <w:tc>
          <w:tcPr>
            <w:tcW w:w="7087"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Καθαρά λειτουργικά έσοδα μείον λειτουργικά έξοδα και προβλέψεις απομείωσης για ΑΠΖ</w:t>
            </w:r>
          </w:p>
        </w:tc>
      </w:tr>
      <w:tr w:rsidR="0027264F" w:rsidRPr="00CB691B" w:rsidTr="00D95F56">
        <w:trPr>
          <w:trHeight w:val="113"/>
        </w:trPr>
        <w:tc>
          <w:tcPr>
            <w:tcW w:w="1972"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Λοιπές προβλέψεις </w:t>
            </w:r>
          </w:p>
        </w:tc>
        <w:tc>
          <w:tcPr>
            <w:tcW w:w="1134"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w:t>
            </w:r>
          </w:p>
        </w:tc>
        <w:tc>
          <w:tcPr>
            <w:tcW w:w="7087"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Προβλέψεις απομείωσης χρεογράφων + Λοιπές προβλέψεις και προβλέψεις απομείωσης </w:t>
            </w:r>
          </w:p>
        </w:tc>
      </w:tr>
      <w:tr w:rsidR="0027264F" w:rsidRPr="00CB691B" w:rsidTr="00D95F56">
        <w:trPr>
          <w:trHeight w:val="113"/>
        </w:trPr>
        <w:tc>
          <w:tcPr>
            <w:tcW w:w="1972"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Μη Εξυπηρετούμενα Ανοίγματα (</w:t>
            </w:r>
            <w:r w:rsidRPr="003602D7">
              <w:rPr>
                <w:rFonts w:ascii="Segoe UI" w:eastAsia="MS Mincho" w:hAnsi="Segoe UI" w:cs="Segoe UI"/>
                <w:color w:val="000000"/>
                <w:sz w:val="15"/>
                <w:szCs w:val="15"/>
                <w:lang w:val="en-US"/>
              </w:rPr>
              <w:t>Non</w:t>
            </w:r>
            <w:r w:rsidRPr="003602D7">
              <w:rPr>
                <w:rFonts w:ascii="Segoe UI" w:eastAsia="MS Mincho" w:hAnsi="Segoe UI" w:cs="Segoe UI"/>
                <w:color w:val="000000"/>
                <w:sz w:val="15"/>
                <w:szCs w:val="15"/>
              </w:rPr>
              <w:t>-</w:t>
            </w:r>
            <w:r w:rsidRPr="003602D7">
              <w:rPr>
                <w:rFonts w:ascii="Segoe UI" w:eastAsia="MS Mincho" w:hAnsi="Segoe UI" w:cs="Segoe UI"/>
                <w:color w:val="000000"/>
                <w:sz w:val="15"/>
                <w:szCs w:val="15"/>
                <w:lang w:val="en-US"/>
              </w:rPr>
              <w:t>Performing</w:t>
            </w:r>
            <w:r w:rsidRPr="003602D7">
              <w:rPr>
                <w:rFonts w:ascii="Segoe UI" w:eastAsia="MS Mincho" w:hAnsi="Segoe UI" w:cs="Segoe UI"/>
                <w:color w:val="000000"/>
                <w:sz w:val="15"/>
                <w:szCs w:val="15"/>
              </w:rPr>
              <w:t xml:space="preserve"> </w:t>
            </w:r>
            <w:r w:rsidRPr="003602D7">
              <w:rPr>
                <w:rFonts w:ascii="Segoe UI" w:eastAsia="MS Mincho" w:hAnsi="Segoe UI" w:cs="Segoe UI"/>
                <w:color w:val="000000"/>
                <w:sz w:val="15"/>
                <w:szCs w:val="15"/>
                <w:lang w:val="en-US"/>
              </w:rPr>
              <w:t>Exposures</w:t>
            </w:r>
            <w:r w:rsidRPr="003602D7">
              <w:rPr>
                <w:rFonts w:ascii="Segoe UI" w:eastAsia="MS Mincho" w:hAnsi="Segoe UI" w:cs="Segoe UI"/>
                <w:color w:val="000000"/>
                <w:sz w:val="15"/>
                <w:szCs w:val="15"/>
              </w:rPr>
              <w:t xml:space="preserve"> – </w:t>
            </w:r>
            <w:r w:rsidRPr="003602D7">
              <w:rPr>
                <w:rFonts w:ascii="Segoe UI" w:eastAsia="MS Mincho" w:hAnsi="Segoe UI" w:cs="Segoe UI"/>
                <w:color w:val="000000"/>
                <w:sz w:val="15"/>
                <w:szCs w:val="15"/>
                <w:lang w:val="en-US"/>
              </w:rPr>
              <w:t>NPEs</w:t>
            </w:r>
            <w:r w:rsidRPr="003602D7">
              <w:rPr>
                <w:rFonts w:ascii="Segoe UI" w:eastAsia="MS Mincho" w:hAnsi="Segoe UI" w:cs="Segoe UI"/>
                <w:color w:val="000000"/>
                <w:sz w:val="15"/>
                <w:szCs w:val="15"/>
              </w:rPr>
              <w:t>)</w:t>
            </w:r>
          </w:p>
        </w:tc>
        <w:tc>
          <w:tcPr>
            <w:tcW w:w="1134"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ΜΕΑ </w:t>
            </w:r>
          </w:p>
        </w:tc>
        <w:tc>
          <w:tcPr>
            <w:tcW w:w="7087"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Σύμφωνα με τους ορισμούς της Ευρωπαϊκής Αρχής Τραπεζών (EBA, ITS Τechnical Standards) ως μη εξυπηρετούμενα ορίζονται τα ανοίγματα που πληρούν μία εκ ή και τις δύο κάτωθι προϋποθέσεις: (Ι) σημαντικά ανοίγματα με καθυστέρηση μεγαλύτερη των 90 ημερών και (</w:t>
            </w:r>
            <w:r w:rsidRPr="003602D7">
              <w:rPr>
                <w:rFonts w:ascii="Segoe UI" w:eastAsia="MS Mincho" w:hAnsi="Segoe UI" w:cs="Segoe UI"/>
                <w:color w:val="000000"/>
                <w:sz w:val="15"/>
                <w:szCs w:val="15"/>
                <w:lang w:val="en-US"/>
              </w:rPr>
              <w:t>ii</w:t>
            </w:r>
            <w:r w:rsidRPr="003602D7">
              <w:rPr>
                <w:rFonts w:ascii="Segoe UI" w:eastAsia="MS Mincho" w:hAnsi="Segoe UI" w:cs="Segoe UI"/>
                <w:color w:val="000000"/>
                <w:sz w:val="15"/>
                <w:szCs w:val="15"/>
              </w:rPr>
              <w:t>) Ανοίγματα αβέβαιης πλήρους είσπραξης χωρίς τη ρευστοποίηση εξασφάλισης, ανεξαρτήτως από την ύπαρξη ποσού σε καθυστέρηση ή ημερών καθυστέρησης</w:t>
            </w:r>
          </w:p>
        </w:tc>
      </w:tr>
      <w:tr w:rsidR="0027264F" w:rsidRPr="00CB691B" w:rsidTr="00D95F56">
        <w:trPr>
          <w:trHeight w:val="113"/>
        </w:trPr>
        <w:tc>
          <w:tcPr>
            <w:tcW w:w="1972"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Μη Εξυπηρετούμενα Δάνεια</w:t>
            </w:r>
          </w:p>
        </w:tc>
        <w:tc>
          <w:tcPr>
            <w:tcW w:w="1134"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w:t>
            </w:r>
          </w:p>
        </w:tc>
        <w:tc>
          <w:tcPr>
            <w:tcW w:w="7087"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Δάνεια και απαιτήσεις κατά πελατών σε καθυστέρηση μεγαλύτερη των 90 ημερών</w:t>
            </w:r>
          </w:p>
        </w:tc>
      </w:tr>
      <w:tr w:rsidR="0027264F" w:rsidRPr="00CB691B" w:rsidTr="00D95F56">
        <w:trPr>
          <w:trHeight w:val="113"/>
        </w:trPr>
        <w:tc>
          <w:tcPr>
            <w:tcW w:w="1972" w:type="dxa"/>
            <w:shd w:val="clear" w:color="auto" w:fill="auto"/>
            <w:noWrap/>
            <w:vAlign w:val="center"/>
          </w:tcPr>
          <w:p w:rsidR="0027264F" w:rsidRPr="003602D7" w:rsidRDefault="0027264F" w:rsidP="00D95F56">
            <w:pPr>
              <w:rPr>
                <w:rFonts w:ascii="Segoe UI" w:eastAsia="MS Mincho" w:hAnsi="Segoe UI" w:cs="Segoe UI"/>
                <w:sz w:val="15"/>
                <w:szCs w:val="15"/>
              </w:rPr>
            </w:pPr>
            <w:r w:rsidRPr="003602D7">
              <w:rPr>
                <w:rFonts w:ascii="Segoe UI" w:eastAsia="MS Mincho" w:hAnsi="Segoe UI" w:cs="Segoe UI"/>
                <w:sz w:val="15"/>
                <w:szCs w:val="15"/>
              </w:rPr>
              <w:t>Οργανική Αύξηση / (Μείωση) Μη Εξυπηρετούμενων Ανοιγμάτων</w:t>
            </w:r>
          </w:p>
        </w:tc>
        <w:tc>
          <w:tcPr>
            <w:tcW w:w="1134" w:type="dxa"/>
            <w:shd w:val="clear" w:color="auto" w:fill="auto"/>
            <w:noWrap/>
            <w:vAlign w:val="center"/>
          </w:tcPr>
          <w:p w:rsidR="0027264F" w:rsidRPr="003602D7" w:rsidRDefault="0027264F" w:rsidP="00D95F56">
            <w:pPr>
              <w:rPr>
                <w:rFonts w:ascii="Segoe UI" w:eastAsia="MS Mincho" w:hAnsi="Segoe UI" w:cs="Segoe UI"/>
                <w:sz w:val="15"/>
                <w:szCs w:val="15"/>
                <w:lang w:val="en-GB"/>
              </w:rPr>
            </w:pPr>
            <w:r w:rsidRPr="003602D7">
              <w:rPr>
                <w:rFonts w:ascii="Segoe UI" w:eastAsia="MS Mincho" w:hAnsi="Segoe UI" w:cs="Segoe UI"/>
                <w:sz w:val="15"/>
                <w:szCs w:val="15"/>
                <w:lang w:val="en-GB"/>
              </w:rPr>
              <w:t>--</w:t>
            </w:r>
          </w:p>
        </w:tc>
        <w:tc>
          <w:tcPr>
            <w:tcW w:w="7087" w:type="dxa"/>
            <w:shd w:val="clear" w:color="auto" w:fill="auto"/>
            <w:noWrap/>
            <w:vAlign w:val="center"/>
          </w:tcPr>
          <w:p w:rsidR="0027264F" w:rsidRPr="003602D7" w:rsidRDefault="0027264F" w:rsidP="00D95F56">
            <w:pPr>
              <w:rPr>
                <w:rFonts w:ascii="Segoe UI" w:eastAsia="MS Mincho" w:hAnsi="Segoe UI" w:cs="Segoe UI"/>
                <w:sz w:val="15"/>
                <w:szCs w:val="15"/>
              </w:rPr>
            </w:pPr>
            <w:r w:rsidRPr="003602D7">
              <w:rPr>
                <w:rFonts w:ascii="Segoe UI" w:eastAsia="MS Mincho" w:hAnsi="Segoe UI" w:cs="Segoe UI"/>
                <w:sz w:val="15"/>
                <w:szCs w:val="15"/>
              </w:rPr>
              <w:t xml:space="preserve">Υπόλοιπο Μη Εξυπηρετούμενων Ανοιγμάτων στο τέλος έτους / περιόδου, προ πωλήσεων και διαγραφών </w:t>
            </w:r>
          </w:p>
        </w:tc>
      </w:tr>
      <w:tr w:rsidR="0027264F" w:rsidRPr="00CB691B" w:rsidTr="00D95F56">
        <w:trPr>
          <w:trHeight w:val="113"/>
        </w:trPr>
        <w:tc>
          <w:tcPr>
            <w:tcW w:w="1972"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Οργανικά Έσοδα</w:t>
            </w:r>
          </w:p>
        </w:tc>
        <w:tc>
          <w:tcPr>
            <w:tcW w:w="1134"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w:t>
            </w:r>
          </w:p>
        </w:tc>
        <w:tc>
          <w:tcPr>
            <w:tcW w:w="7087"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Καθαρά έσοδα από τόκους + καθαρά έσοδα από προμήθειες </w:t>
            </w:r>
          </w:p>
        </w:tc>
      </w:tr>
      <w:tr w:rsidR="0027264F" w:rsidRPr="00CB691B" w:rsidTr="00D95F56">
        <w:trPr>
          <w:trHeight w:val="113"/>
        </w:trPr>
        <w:tc>
          <w:tcPr>
            <w:tcW w:w="1972"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Οργανικά Κέρδη ή Κερδοφορία / (Ζημίες) / Αποτέλεσμα</w:t>
            </w:r>
          </w:p>
        </w:tc>
        <w:tc>
          <w:tcPr>
            <w:tcW w:w="1134"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w:t>
            </w:r>
          </w:p>
        </w:tc>
        <w:tc>
          <w:tcPr>
            <w:tcW w:w="7087" w:type="dxa"/>
            <w:shd w:val="clear" w:color="auto" w:fill="auto"/>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Οργανικά έσοδα μείον λειτουργικά έξοδα και προβλέψεις απομείωσης για ΑΠΖ, εξαιρουμένου του κόστους του Προγράμματος Εθελουσίας Προσωπικού, του κόστους αναδιάρθρωσης, της διακοπής μισθώσεων και λοιπών μη επαναλαμβανόμενων δαπανών, καθώς και της δαπάνης για το ΛΕΠΕΤΕ. Τα οργανικά κέρδη εξαιρούν τη δαπάνη για το </w:t>
            </w:r>
            <w:r w:rsidRPr="0030283F">
              <w:rPr>
                <w:rFonts w:ascii="Segoe UI" w:eastAsia="MS Mincho" w:hAnsi="Segoe UI" w:cs="Segoe UI"/>
                <w:color w:val="000000"/>
                <w:sz w:val="15"/>
                <w:szCs w:val="15"/>
              </w:rPr>
              <w:t>ΛΕΠΕΤΕ (€28 εκατ.), το κόστος Εθελουσίας Εξόδου Προσωπικού (€90 εκατ.), κόστη αναδιάρθρωσης (€8 εκατ.) και λοιπές μη επαναλαμβανόμενες δαπάνες (€6 εκατ.) για το Εννεάμηνο 2020, καθώς και τη δαπάνη για το ΛΕΠΕΤΕ (€36 εκατ.), το κόστος Εθελουσίας Εξόδου Προσωπικού (€94 εκατ.), τα κόστη αναδιάρθρωσης (€14 εκατ.) και λοιπές μη επαναλαμβανόμενες δαπάνες (€2 εκατ.) για το Εννεάμηνο 2019</w:t>
            </w:r>
          </w:p>
        </w:tc>
      </w:tr>
      <w:tr w:rsidR="0027264F" w:rsidRPr="00CB691B" w:rsidTr="00D95F56">
        <w:trPr>
          <w:trHeight w:val="113"/>
        </w:trPr>
        <w:tc>
          <w:tcPr>
            <w:tcW w:w="1972"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Οργανικά Κέρδη / (Ζημίες) προ Προβλέψεων</w:t>
            </w:r>
          </w:p>
        </w:tc>
        <w:tc>
          <w:tcPr>
            <w:tcW w:w="1134"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w:t>
            </w:r>
          </w:p>
        </w:tc>
        <w:tc>
          <w:tcPr>
            <w:tcW w:w="7087"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Οργανικά έσοδα μείον λειτουργικά έξοδα</w:t>
            </w:r>
          </w:p>
        </w:tc>
      </w:tr>
      <w:tr w:rsidR="0027264F" w:rsidRPr="00CB691B" w:rsidTr="00D95F56">
        <w:trPr>
          <w:trHeight w:val="113"/>
        </w:trPr>
        <w:tc>
          <w:tcPr>
            <w:tcW w:w="1972"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Προβλέψεις για επισφαλή δάνεια / απαιτήσεις </w:t>
            </w:r>
          </w:p>
        </w:tc>
        <w:tc>
          <w:tcPr>
            <w:tcW w:w="1134"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w:t>
            </w:r>
          </w:p>
        </w:tc>
        <w:tc>
          <w:tcPr>
            <w:tcW w:w="7087"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Προβλέψεις απομείωσης για Αναμενόμενες Πιστωτικές Ζημιές (ΑΠΖ)</w:t>
            </w:r>
          </w:p>
        </w:tc>
      </w:tr>
      <w:tr w:rsidR="0027264F" w:rsidRPr="00CB691B" w:rsidTr="00D95F56">
        <w:trPr>
          <w:trHeight w:val="113"/>
        </w:trPr>
        <w:tc>
          <w:tcPr>
            <w:tcW w:w="1972"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Συνολικός Δείκτης Κεφαλαιακής Επάρκειας </w:t>
            </w:r>
          </w:p>
        </w:tc>
        <w:tc>
          <w:tcPr>
            <w:tcW w:w="1134"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w:t>
            </w:r>
          </w:p>
        </w:tc>
        <w:tc>
          <w:tcPr>
            <w:tcW w:w="7087" w:type="dxa"/>
            <w:shd w:val="clear" w:color="auto" w:fill="F2F2F2" w:themeFill="background1" w:themeFillShade="F2"/>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Συνολικά εποπτικά κεφάλαια, με εφαρμογή των διατάξεων του Κανονισμού (EU) 575/2013 και των εποπτικών μεταβατικών ρυθμίσεων για την επίδραση του ΔΠΧΑ 9, αναφορικά με τα σταθμισμένα στοιχεία Ενεργητικού</w:t>
            </w:r>
          </w:p>
        </w:tc>
      </w:tr>
      <w:tr w:rsidR="0027264F" w:rsidRPr="00CB691B" w:rsidTr="00D95F56">
        <w:trPr>
          <w:trHeight w:val="113"/>
        </w:trPr>
        <w:tc>
          <w:tcPr>
            <w:tcW w:w="1972" w:type="dxa"/>
            <w:shd w:val="clear" w:color="auto" w:fill="auto"/>
            <w:noWrap/>
            <w:vAlign w:val="center"/>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rPr>
              <w:t xml:space="preserve">Τοκοφόρα Στοιχεία </w:t>
            </w:r>
            <w:r w:rsidRPr="003602D7">
              <w:rPr>
                <w:rFonts w:ascii="Segoe UI" w:eastAsia="MS Mincho" w:hAnsi="Segoe UI" w:cs="Segoe UI"/>
                <w:color w:val="000000"/>
                <w:sz w:val="15"/>
                <w:szCs w:val="15"/>
                <w:lang w:val="en-GB"/>
              </w:rPr>
              <w:t>Ενεργητικού</w:t>
            </w:r>
          </w:p>
        </w:tc>
        <w:tc>
          <w:tcPr>
            <w:tcW w:w="1134"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w:t>
            </w:r>
          </w:p>
        </w:tc>
        <w:tc>
          <w:tcPr>
            <w:tcW w:w="7087"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Τα τοκοφόρα στοιχεία Ενεργητικού περιλαμβάνουν τα εν δυνάμει τοκοφόρα στοιχεία του ενεργητικού και αφορούν το ταμείο και διαθέσιμα σε Κεντρικές Τράπεζες, τις απαιτήσεις κατά χρηματοπιστωτικών ιδρυμάτων, τα χρηματοοικονομικά περιουσιακά στοιχεία στην εύλογη αξία (εξαιρουμένων των μετοχών και μεριδίων αμοιβαίων κεφαλαίων), δάνεια και απαιτήσεις κατά πελατών και χαρτοφυλάκιο επενδύσεων (εξαιρουμένων των μετοχών και μεριδίων αμοιβαίων κεφαλαίων)</w:t>
            </w:r>
          </w:p>
        </w:tc>
      </w:tr>
      <w:tr w:rsidR="0027264F" w:rsidRPr="00CB691B" w:rsidTr="00D95F56">
        <w:trPr>
          <w:trHeight w:val="113"/>
        </w:trPr>
        <w:tc>
          <w:tcPr>
            <w:tcW w:w="1972"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 xml:space="preserve">Σταθμισμένα Στοιχεία Ενεργητικού  </w:t>
            </w:r>
          </w:p>
        </w:tc>
        <w:tc>
          <w:tcPr>
            <w:tcW w:w="1134"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lang w:val="en-GB"/>
              </w:rPr>
            </w:pPr>
            <w:r w:rsidRPr="003602D7">
              <w:rPr>
                <w:rFonts w:ascii="Segoe UI" w:eastAsia="MS Mincho" w:hAnsi="Segoe UI" w:cs="Segoe UI"/>
                <w:color w:val="000000"/>
                <w:sz w:val="15"/>
                <w:szCs w:val="15"/>
                <w:lang w:val="en-GB"/>
              </w:rPr>
              <w:t>--</w:t>
            </w:r>
          </w:p>
        </w:tc>
        <w:tc>
          <w:tcPr>
            <w:tcW w:w="7087" w:type="dxa"/>
            <w:shd w:val="clear" w:color="auto" w:fill="F2F2F2" w:themeFill="background1" w:themeFillShade="F2"/>
            <w:noWrap/>
            <w:vAlign w:val="center"/>
            <w:hideMark/>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Στοιχεία Ενεργητικού και στοιχεία εκτός Ισολογισμού, προσδιορισμένα βάσει σταθμισμένου κινδύνου, σύμφωνα με τον κανονισμό (</w:t>
            </w:r>
            <w:r w:rsidRPr="003602D7">
              <w:rPr>
                <w:rFonts w:ascii="Segoe UI" w:eastAsia="MS Mincho" w:hAnsi="Segoe UI" w:cs="Segoe UI"/>
                <w:color w:val="000000"/>
                <w:sz w:val="15"/>
                <w:szCs w:val="15"/>
                <w:lang w:val="en-GB"/>
              </w:rPr>
              <w:t>EU</w:t>
            </w:r>
            <w:r w:rsidRPr="003602D7">
              <w:rPr>
                <w:rFonts w:ascii="Segoe UI" w:eastAsia="MS Mincho" w:hAnsi="Segoe UI" w:cs="Segoe UI"/>
                <w:color w:val="000000"/>
                <w:sz w:val="15"/>
                <w:szCs w:val="15"/>
              </w:rPr>
              <w:t>) 575/2013</w:t>
            </w:r>
          </w:p>
        </w:tc>
      </w:tr>
      <w:tr w:rsidR="0027264F" w:rsidRPr="00CB691B" w:rsidTr="00D95F56">
        <w:trPr>
          <w:trHeight w:val="113"/>
        </w:trPr>
        <w:tc>
          <w:tcPr>
            <w:tcW w:w="1972"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 xml:space="preserve">Σωρευμένες προβλέψεις </w:t>
            </w:r>
          </w:p>
        </w:tc>
        <w:tc>
          <w:tcPr>
            <w:tcW w:w="1134"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w:t>
            </w:r>
          </w:p>
        </w:tc>
        <w:tc>
          <w:tcPr>
            <w:tcW w:w="7087" w:type="dxa"/>
            <w:shd w:val="clear" w:color="auto" w:fill="auto"/>
            <w:noWrap/>
            <w:vAlign w:val="center"/>
          </w:tcPr>
          <w:p w:rsidR="0027264F" w:rsidRPr="003602D7" w:rsidRDefault="0027264F" w:rsidP="00D95F56">
            <w:pPr>
              <w:rPr>
                <w:rFonts w:ascii="Segoe UI" w:eastAsia="MS Mincho" w:hAnsi="Segoe UI" w:cs="Segoe UI"/>
                <w:color w:val="000000"/>
                <w:sz w:val="15"/>
                <w:szCs w:val="15"/>
              </w:rPr>
            </w:pPr>
            <w:r w:rsidRPr="003602D7">
              <w:rPr>
                <w:rFonts w:ascii="Segoe UI" w:eastAsia="MS Mincho" w:hAnsi="Segoe UI" w:cs="Segoe UI"/>
                <w:color w:val="000000"/>
                <w:sz w:val="15"/>
                <w:szCs w:val="15"/>
              </w:rPr>
              <w:t>Πρόβλεψη ΑΠΖ δανείων και απαιτήσεων κατά πελατών</w:t>
            </w:r>
          </w:p>
        </w:tc>
      </w:tr>
    </w:tbl>
    <w:p w:rsidR="0027264F" w:rsidRDefault="0027264F">
      <w:pPr>
        <w:rPr>
          <w:rFonts w:ascii="Segoe UI" w:hAnsi="Segoe UI" w:cs="Segoe UI"/>
          <w:sz w:val="15"/>
          <w:szCs w:val="15"/>
        </w:rPr>
      </w:pPr>
    </w:p>
    <w:p w:rsidR="008146D0" w:rsidRPr="00F04303" w:rsidRDefault="008146D0" w:rsidP="00E55AED">
      <w:pPr>
        <w:rPr>
          <w:rFonts w:ascii="Segoe UI" w:hAnsi="Segoe UI" w:cs="Segoe UI"/>
          <w:sz w:val="4"/>
          <w:szCs w:val="20"/>
          <w:lang w:eastAsia="el-GR"/>
        </w:rPr>
        <w:sectPr w:rsidR="008146D0" w:rsidRPr="00F04303" w:rsidSect="008D7AFE">
          <w:headerReference w:type="even" r:id="rId15"/>
          <w:headerReference w:type="default" r:id="rId16"/>
          <w:footerReference w:type="even" r:id="rId17"/>
          <w:footerReference w:type="default" r:id="rId18"/>
          <w:headerReference w:type="first" r:id="rId19"/>
          <w:footerReference w:type="first" r:id="rId20"/>
          <w:type w:val="continuous"/>
          <w:pgSz w:w="11900" w:h="16840"/>
          <w:pgMar w:top="993" w:right="851" w:bottom="1134" w:left="851" w:header="283" w:footer="0" w:gutter="0"/>
          <w:pgBorders w:offsetFrom="page">
            <w:bottom w:val="single" w:sz="12" w:space="24" w:color="FFC000"/>
          </w:pgBorders>
          <w:cols w:space="292"/>
          <w:docGrid w:linePitch="360"/>
        </w:sectPr>
      </w:pPr>
    </w:p>
    <w:p w:rsidR="00E55AED" w:rsidRPr="003F566B" w:rsidRDefault="003F566B" w:rsidP="00E55AED">
      <w:pPr>
        <w:spacing w:after="160"/>
        <w:jc w:val="both"/>
        <w:rPr>
          <w:rFonts w:ascii="Segoe UI" w:hAnsi="Segoe UI" w:cs="Segoe UI"/>
          <w:b/>
          <w:sz w:val="18"/>
        </w:rPr>
      </w:pPr>
      <w:r w:rsidRPr="003F566B">
        <w:rPr>
          <w:rFonts w:ascii="Segoe UI" w:hAnsi="Segoe UI" w:cs="Segoe UI"/>
          <w:b/>
          <w:sz w:val="18"/>
        </w:rPr>
        <w:lastRenderedPageBreak/>
        <w:t>ΑΠΟΠΟΙΗΣΗΣ ΕΥΘΥΝΗΣ</w:t>
      </w:r>
    </w:p>
    <w:p w:rsidR="003F566B" w:rsidRPr="00AC6374" w:rsidRDefault="003F566B" w:rsidP="003F566B">
      <w:pPr>
        <w:spacing w:after="160" w:line="276" w:lineRule="auto"/>
        <w:jc w:val="both"/>
        <w:rPr>
          <w:rFonts w:ascii="Segoe UI" w:eastAsia="MS Mincho" w:hAnsi="Segoe UI" w:cs="Segoe UI"/>
          <w:sz w:val="13"/>
          <w:szCs w:val="13"/>
          <w:highlight w:val="yellow"/>
        </w:rPr>
      </w:pPr>
      <w:r w:rsidRPr="00AC6374">
        <w:rPr>
          <w:rFonts w:ascii="Segoe UI" w:eastAsia="MS Mincho" w:hAnsi="Segoe UI" w:cs="Segoe UI"/>
          <w:sz w:val="13"/>
          <w:szCs w:val="13"/>
        </w:rPr>
        <w:t xml:space="preserve">Οι πληροφορίες, οι δηλώσεις και οι γνώμες που παρατίθενται στο παρών Δελτίο Τύπου Αποτελεσμάτων </w:t>
      </w:r>
      <w:r w:rsidR="006C41DD">
        <w:rPr>
          <w:rFonts w:ascii="Segoe UI" w:eastAsia="MS Mincho" w:hAnsi="Segoe UI" w:cs="Segoe UI"/>
          <w:sz w:val="13"/>
          <w:szCs w:val="13"/>
        </w:rPr>
        <w:t>Γ</w:t>
      </w:r>
      <w:r w:rsidR="00C601D1" w:rsidRPr="00C601D1">
        <w:rPr>
          <w:rFonts w:ascii="Segoe UI" w:eastAsia="MS Mincho" w:hAnsi="Segoe UI" w:cs="Segoe UI"/>
          <w:sz w:val="13"/>
          <w:szCs w:val="13"/>
        </w:rPr>
        <w:t xml:space="preserve">’ τριμήνου 2020 </w:t>
      </w:r>
      <w:r w:rsidRPr="00AC6374">
        <w:rPr>
          <w:rFonts w:ascii="Segoe UI" w:eastAsia="MS Mincho" w:hAnsi="Segoe UI" w:cs="Segoe UI"/>
          <w:sz w:val="13"/>
          <w:szCs w:val="13"/>
        </w:rPr>
        <w:t>και η συνοδευτική συζήτηση (το «Δελτίο Τύπου») έχουν παρασχεθεί από την Εθνική Τράπεζα της Ελλάδας Α.Ε. (η «Τράπεζα») (μαζί με τις ενοποιούμενες θυγατρικές της (</w:t>
      </w:r>
      <w:r w:rsidRPr="00AC6374">
        <w:rPr>
          <w:rFonts w:ascii="Segoe UI" w:eastAsia="MS Mincho" w:hAnsi="Segoe UI" w:cs="Segoe UI"/>
          <w:sz w:val="13"/>
          <w:szCs w:val="13"/>
          <w:lang w:val="en-US"/>
        </w:rPr>
        <w:t>o</w:t>
      </w:r>
      <w:r w:rsidRPr="00AC6374">
        <w:rPr>
          <w:rFonts w:ascii="Segoe UI" w:eastAsia="MS Mincho" w:hAnsi="Segoe UI" w:cs="Segoe UI"/>
          <w:sz w:val="13"/>
          <w:szCs w:val="13"/>
        </w:rPr>
        <w:t xml:space="preserve"> «Όμιλος»). Εξυπηρετούν αποκλειστικά ενημερωτικούς σκοπούς και δεν θα πρέπει να θεωρούνται ως συμβουλή ή σύσταση προς τους επενδυτές ή τους δυνητικούς επενδυτές σε σχέση με την κατοχή, την αγορά ή την πώληση κινητών αξιών ή άλλων χρηματοπιστωτικών προϊόντων ή μέσων, και δεν λαμβάνουν υπόψη συγκεκριμένους επενδυτικούς στόχους, οικονομική κατάσταση ή ανάγκες. Δεν συνιστούν έρευνα στον τομέα των επενδύσεων, επιβεβαίωση συναλλαγής ή για προσφορά ή πρόσκληση για αγορά/πώληση οποιωνδήποτε χρηματοπιστωτικών μέσων. </w:t>
      </w:r>
    </w:p>
    <w:p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Ακρίβεια Πληροφοριών και Περιορισμός Ευθύνης</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Μολονότι έχει ληφθεί εύλογη επιμέλεια για να διασφαλιστεί ότι το περιεχόμενό του Δελτίου Τύπου είναι αληθές και ακριβές, δεν παρέχονται δηλώσεις ή εγγυήσεις, ρητές ή σιωπηρές, όσον αφορά την ακρίβεια ή την πληρότητα των πληροφοριών που περιλαμβάνονται στο Δελτίο Τύπου. Στον μέγιστο βαθμό που επιτρέπεται από το νόμο, σε καμία περίπτωση η Τράπεζα, ή οποιαδήποτε από τις θυγατρικές της, οι μέτοχοι, οι συνδεδεμένες εταιρείες, οι εκπρόσωποι, οι διευθυντές, τα στελέχη, οι υπάλληλοι, οι σύμβουλοι ή οι αντιπρόσωποι δεν ευθύνονται για οποιαδήποτε άμεση, έμμεση ή επακόλουθη ζημία ή διαφυγόν κέρδος που τυχόν θα προκύψει από τη χρήση του Δελτίου Τύπου, το περιεχόμενό του (συμπεριλαμβανομένων των εσωτερικών οικονομικών μοντέλων), τις παραλείψεις της, την εξάρτηση από τις πληροφορίες που περιέχονται σε αυτό, ή τις απόψεις που διατυπώνονται σε σχέση με αυτό ή άλλως που προκύπτουν σε σχέση με αυτό. Οι πληροφορίες που εμπεριέχονται στο Δελτίο Τύπου δεν έχουν επαληθευτεί από ανεξάρτητο τρίτο μέρος.</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 xml:space="preserve">Οι παραλήπτες του Δελτίου Τύπου δεν θα πρέπει να ερμηνεύσουν το περιεχόμενό του, ή οποιαδήποτε προηγούμενη ή μεταγενέστερη επικοινωνία από ή με την Τράπεζα ή τους εκπροσώπους της, ως χρηματοοικονομική, επενδυτική, νομική, φορολογική, επιχειρηματική ή άλλη επαγγελματική συμβουλή. Επιπρόσθετα, το Δελτίο Τύπου δεν θεωρείται ότι είναι εξαντλητικό ή περιέχει όλες τις πληροφορίες που ενδεχομένως απαιτούνται για την πλήρη ανάλυση της Τράπεζας. Οι παραλήπτες του Δελτίου Τύπου θα πρέπει να απευθύνονται στους δικούς τους συμβούλους καθώς και να πραγματοποιούν έκαστος τις δικές τους αξιολογήσεις σε σχέση με την Τράπεζα και την καταλληλότητα και την επάρκεια των πληροφοριών. </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Το Δελτίο Τύπου περιλαμβάνει αναφορές σε συγκεκριμένα χρηματοοικονομικά μεγέθη, τα οποία δεν ορίζονται από τα ΔΠΧΑ. Τα εν λόγω μεγέθη παρουσιάζονται στην ενότητα «Ορισμός των χρηματοοικονομικών στοιχείων και των δεικτών που χρησιμοποιήθηκαν» (“Definition of financial data, ratios used and alternative performance measures”) και ενδέχεται να μην είναι συγκρίσιμα με εκείνα έτερων πιστωτικών ιδρυμάτων. Η αναφορά στα εν λόγω μεγέθη, τα οποία δεν ορίζονται από τα ΔΠΧΑ, θα πρέπει να λαμβάνει υπόψη και τα χρηματοοικονομικά μεγέθη κατά τα ΔΠΧΑ, χωρίς να θεωρείται ωστόσο ότι υποκαθιστούν καθ’ οποιονδήποτε τρόπο τα αποτελέσματα που παρουσιάζονται σύμφωνα με τα ΔΠΧΑ.</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 xml:space="preserve">Λόγω στρογγυλοποίησης, τα σύνολα των αριθμών που παρουσιάζονται στο σύνολο του Δελτίου Τύπου ενδέχεται να μην αθροίζονται στο ακέραιο και τα ποσοστά ενδέχεται να μην αντικατοπτρίζουν με ακρίβεια τις απόλυτες τιμές. </w:t>
      </w:r>
    </w:p>
    <w:p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Δηλώσεις σχετικά με το μέλλον (Forward Looking Statements)</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Το Δελτίο Τύπου περιέχει δηλώσεις σχετικά με το μέλλον (forward-looking statements) που αφορούν την πρόθεση της Διοίκησης, τις πεποιθήσεις ή τις σημερινές προσδοκίες σχετικά, μεταξύ άλλων, με τις δραστηριότητες και τις λειτουργίες της Τράπεζας, τις συνθήκες της αγοράς, τα αποτελέσματα της λειτουργίας και τη χρηματοοικονομική κατάσταση, την κεφαλαιακή επάρκεια, τις πρακτικές διαχείρισης κινδύνων, τη ρευστότητα, τις προοπτικές, την ανάπτυξη και τις στρατηγικές («δηλώσεις σχετικά με το μέλλον»). Οι δηλώσεις σχετικά με το μέλλον αφορούν μελλοντικές περιστάσεις και αποτελέσματα και άλλες δηλώσεις που δεν αποτελούν ιστορικά γεγονότα και ορισμένες φορές προσδιορίζονται από τους όρους «ενδεχομένως», «θα», «πιστεύει», «αναμένει», «προβλέπει», «σκοπεύει», «προβάλει», «σχεδιάζει», «εκτιμά», «στοχεύει», «διαβλέπει», «προσδοκά», «στοχοθετεί», «θα επιθυμούσε», «θα μπορούσε» ή παρόμοιες εκφράσεις ή τα αρνητικά αυτών.</w:t>
      </w:r>
    </w:p>
    <w:p w:rsidR="003B64BD" w:rsidRPr="00AC6374" w:rsidRDefault="003B64BD" w:rsidP="003B64BD">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Οι δηλώσεις σχετικά με το μέλλον αντικατοπτρίζουν τις γνώσεις και τις πληροφορίες που είναι διαθέσιμες κατά την ημερομηνία του Δελτίου Τύπου και υπόκεινται σε εγγενείς αβεβαιότητες και σε ποικίλες παραδοχές, είτε αυτές αναφέρονται ρητά στο Δελτίο Τύπου είτε όχι. Μολονότι οι δηλώσεις σχετικά με το μέλλον που περιλαμβάνονται στο Δελτίο Τύπου βασίζονται σε, κατά την πεποίθηση της Διοίκησης της Τράπεζας, λογικές παραδοχές, δεδομένου ότι οι παραδοχές αυτές υπόκεινται εγγενώς σε σημαντικές αβεβαιότητες και αλληλεξαρτήσεις που είναι δύσκολο ή αδύνατο να προβλεφθούν και κείνται εκτός του ελέγχου της Τράπεζας, δεν μπορεί να παρασχεθεί διαβεβαίωση ότι η Τράπεζα θα επιτύχει ή θα εκπληρώσει αυτές τις προσδοκίες, πεποιθήσεις ή προβλέψεις. Ειδικότερα, η εξάπλωση του ιού Cοvid</w:t>
      </w:r>
      <w:r w:rsidR="00D27437" w:rsidRPr="00A44922">
        <w:rPr>
          <w:rFonts w:ascii="Segoe UI" w:eastAsia="MS Mincho" w:hAnsi="Segoe UI" w:cs="Segoe UI"/>
          <w:sz w:val="13"/>
          <w:szCs w:val="13"/>
        </w:rPr>
        <w:t>-</w:t>
      </w:r>
      <w:r w:rsidRPr="00AC6374">
        <w:rPr>
          <w:rFonts w:ascii="Segoe UI" w:eastAsia="MS Mincho" w:hAnsi="Segoe UI" w:cs="Segoe UI"/>
          <w:sz w:val="13"/>
          <w:szCs w:val="13"/>
        </w:rPr>
        <w:t>19, και το πιο σημαντικό, η ταχεία εξάπλωση της πανδημίας σε παγκόσμιο επίπεδο, αναμένεται τώρα να επηρεάσει αρνητικά την οικονομική δραστηριότητα σε παγκόσμιο επίπεδο. Η εξέλιξη της νόσου και ο οικονομικός της αντίκτυπος παραμένουν εξαιρετικά αβέβαια. Ως εκ τούτου, η εξάπλωση αυτή αποτελεί έναν άλλο παράγοντα που θα μπορούσε να προκαλέσει σημαντικές διαφορές μεταξύ των πραγματικών αποτελεσμάτων και εκείνων που περιλαμβάνονται στις δηλώσεις σχετικά με το μέλλον. Οι δηλώσεις σχετικά με το μέλλον παρέχονται μόνο για επεξηγηματικούς σκοπούς και δεν προορίζονται και δεν πρέπει να θεωρούνται ως εγγύηση, διαβεβαίωση, πρόβλεψη ή οριστική δήλωση πραγματικών γεγονότων ή πιθανοτήτων.</w:t>
      </w:r>
    </w:p>
    <w:p w:rsidR="003F566B" w:rsidRPr="00AC6374" w:rsidRDefault="003B64BD" w:rsidP="003B64BD">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Τα πραγματικά αποτελέσματα της Τράπεζας ενδέχεται να διαφέρουν σημαντικά από τα αναφερόμενα στις δηλώσεις σχετικά με το μέλλον. Ορισμένοι σημαντικοί παράγοντες που θα μπορούσαν να διαφοροποιήσουν τα πραγματικά αποτελέσματα από τα αναφερόμενα στις δηλώσεις σχετικά με το μέλλον θα μπορούσαν να περιλαμβάνουν, μεταξύ άλλων, αλλαγές στις εγχώριες και ξένες επιχειρήσεις, στην αγορά, σε χρηματοοικονομικές, πολιτικές και νομικές συνθήκες, συμπεριλαμβανομένων των ρυθμιστικών αλλαγών του κλάδου, δυσμενείς αποφάσεις από εγχώριες ή διεθνείς ρυθμιστικές και εποπτικές αρχές, τον αντίκτυπο της μείωσης του μεγέθους της αγοράς, την ικανότητα διατήρησης των αξιολογήσεων πιστοληπτικής ικανότητας, τους κεφαλαιακούς πόρους και τις κεφαλαιακές δαπάνες, τις δυσμενείς δικαστικές εκβάσεις, την επίδραση του Covid19 και την επίδραση τούτων στη χρηματοοικονομική κατάσταση του Ομίλου.</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Δεν μπορεί να υπάρξει διαβεβαίωση ότι οιεσδήποτε δηλώσεις σχετικά με το μέλλον θα πραγματοποιηθούν, και η Τράπεζα ρητά αποποιείται οποιαδήποτε υποχρέωση ή δέσμευση για την επικαιροποίηση ή αναθεώρηση πληροφοριών σε οποιαδήποτε δήλωση σχετικά με το μέλλον ώστε να αντικατοπτρίζει τυχόν αλλαγές στις προσδοκίες της Τράπεζας σε σχέση με αυτές ή τυχόν αλλαγές στα γεγονότα, τις συνθήκες ή τις περιστάσεις στις οποίες βασίζεται οποιαδήποτε δήλωση σχετικά με το μέλλον. Ως εκ τούτου, εφιστάται η προσοχή του αναγνώστη να μη βασίζεται υπέρ το δέον στις δηλώσεις σχετικά με το μέλλον.</w:t>
      </w:r>
    </w:p>
    <w:p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Μη επικαιροποίηση</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Εκτός εάν ορίζεται διαφορετικά, όλες οι πληροφορίες στο Δελτίο Τύπου φέρουν ημερομηνία αναφοράς την ημερομηνία του Δελτίου Τύπου. Ούτε η παράδοση του Δελτίου Τύπου, ούτε οποιαδήποτε άλλη επικοινωνία με τους παραλήπτες του, υπό οποιαδήποτε συνθήκη, θα πρέπει να οδηγεί στο συμπέρασμα ότι δεν έχει υπάρξει καμία αλλαγή στα θέματα της Τράπεζας από την ημερομηνία αυτή. Εκτός εάν αναφέρεται διαφορετικά στο παρόν, η Τράπεζα δεν σκοπεύει, ούτε θα αναλάβει υποχρέωση, να επικαιροποιήσει το Δελτίο Τύπου ή οποιαδήποτε από τις πληροφορίες που περιλαμβάνονται σε αυτό.</w:t>
      </w:r>
    </w:p>
    <w:p w:rsidR="000765E8" w:rsidRPr="00AC6374" w:rsidRDefault="003F566B" w:rsidP="003F566B">
      <w:pPr>
        <w:spacing w:after="160" w:line="276" w:lineRule="auto"/>
        <w:jc w:val="both"/>
        <w:rPr>
          <w:rFonts w:ascii="Segoe UI" w:hAnsi="Segoe UI" w:cs="Segoe UI"/>
          <w:sz w:val="13"/>
          <w:szCs w:val="13"/>
        </w:rPr>
      </w:pPr>
      <w:r w:rsidRPr="00AC6374">
        <w:rPr>
          <w:rFonts w:ascii="Segoe UI" w:eastAsia="MS Mincho" w:hAnsi="Segoe UI" w:cs="Segoe UI"/>
          <w:sz w:val="13"/>
          <w:szCs w:val="13"/>
        </w:rPr>
        <w:t>Το Δελτίο Τύπου υπόκειται στο ελληνικό δίκαιο, και κάθε διαφορά που ανακύπτει σε σχέση με το Δελτίο Τύπου υπόκειται στην αποκλειστική δικαιοδοσία των Δικαστηρίων της Αθήνας.</w:t>
      </w:r>
      <w:r w:rsidR="00104FC2" w:rsidRPr="00AC6374">
        <w:rPr>
          <w:rFonts w:ascii="Segoe UI" w:eastAsia="MS Mincho" w:hAnsi="Segoe UI" w:cs="Segoe UI"/>
          <w:sz w:val="13"/>
          <w:szCs w:val="13"/>
        </w:rPr>
        <w:t xml:space="preserve"> </w:t>
      </w:r>
    </w:p>
    <w:sectPr w:rsidR="000765E8" w:rsidRPr="00AC6374" w:rsidSect="00D56B7A">
      <w:pgSz w:w="11900" w:h="16840"/>
      <w:pgMar w:top="1248" w:right="851" w:bottom="1134" w:left="851" w:header="283" w:footer="283" w:gutter="0"/>
      <w:pgBorders w:offsetFrom="page">
        <w:bottom w:val="single" w:sz="12" w:space="24" w:color="FFC000"/>
      </w:pgBorders>
      <w:cols w:space="29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E13" w:rsidRDefault="008E4E13" w:rsidP="005D44F6">
      <w:r>
        <w:separator/>
      </w:r>
    </w:p>
  </w:endnote>
  <w:endnote w:type="continuationSeparator" w:id="0">
    <w:p w:rsidR="008E4E13" w:rsidRDefault="008E4E13" w:rsidP="005D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A1"/>
    <w:family w:val="swiss"/>
    <w:pitch w:val="variable"/>
    <w:sig w:usb0="E10022FF" w:usb1="C000E47F" w:usb2="00000029" w:usb3="00000000" w:csb0="000001D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A1"/>
    <w:family w:val="modern"/>
    <w:pitch w:val="fixed"/>
    <w:sig w:usb0="E10002FF" w:usb1="4000FCFF" w:usb2="00000009"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F56" w:rsidRDefault="00D95F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632402"/>
      <w:docPartObj>
        <w:docPartGallery w:val="Page Numbers (Bottom of Page)"/>
        <w:docPartUnique/>
      </w:docPartObj>
    </w:sdtPr>
    <w:sdtEndPr>
      <w:rPr>
        <w:noProof/>
        <w:sz w:val="16"/>
        <w:szCs w:val="16"/>
      </w:rPr>
    </w:sdtEndPr>
    <w:sdtContent>
      <w:p w:rsidR="00D95F56" w:rsidRPr="008A22B0" w:rsidRDefault="00D95F56">
        <w:pPr>
          <w:pStyle w:val="Footer"/>
          <w:jc w:val="right"/>
          <w:rPr>
            <w:sz w:val="16"/>
            <w:szCs w:val="16"/>
          </w:rPr>
        </w:pPr>
        <w:r w:rsidRPr="008A22B0">
          <w:rPr>
            <w:sz w:val="16"/>
            <w:szCs w:val="16"/>
          </w:rPr>
          <w:fldChar w:fldCharType="begin"/>
        </w:r>
        <w:r w:rsidRPr="008A22B0">
          <w:rPr>
            <w:sz w:val="16"/>
            <w:szCs w:val="16"/>
          </w:rPr>
          <w:instrText xml:space="preserve"> PAGE   \* MERGEFORMAT </w:instrText>
        </w:r>
        <w:r w:rsidRPr="008A22B0">
          <w:rPr>
            <w:sz w:val="16"/>
            <w:szCs w:val="16"/>
          </w:rPr>
          <w:fldChar w:fldCharType="separate"/>
        </w:r>
        <w:r w:rsidR="00807ED7">
          <w:rPr>
            <w:noProof/>
            <w:sz w:val="16"/>
            <w:szCs w:val="16"/>
          </w:rPr>
          <w:t>1</w:t>
        </w:r>
        <w:r w:rsidRPr="008A22B0">
          <w:rPr>
            <w:noProof/>
            <w:sz w:val="16"/>
            <w:szCs w:val="16"/>
          </w:rPr>
          <w:fldChar w:fldCharType="end"/>
        </w:r>
      </w:p>
    </w:sdtContent>
  </w:sdt>
  <w:p w:rsidR="00D95F56" w:rsidRDefault="00D95F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F56" w:rsidRDefault="00D95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E13" w:rsidRDefault="008E4E13" w:rsidP="005D44F6">
      <w:r>
        <w:separator/>
      </w:r>
    </w:p>
  </w:footnote>
  <w:footnote w:type="continuationSeparator" w:id="0">
    <w:p w:rsidR="008E4E13" w:rsidRDefault="008E4E13" w:rsidP="005D44F6">
      <w:r>
        <w:continuationSeparator/>
      </w:r>
    </w:p>
  </w:footnote>
  <w:footnote w:id="1">
    <w:p w:rsidR="00D95F56" w:rsidRPr="003E70BE" w:rsidRDefault="00D95F56" w:rsidP="00B472FD">
      <w:pPr>
        <w:pStyle w:val="FootnoteText"/>
        <w:rPr>
          <w:lang w:val="el-GR"/>
        </w:rPr>
      </w:pPr>
      <w:r w:rsidRPr="00EE40A0">
        <w:rPr>
          <w:rStyle w:val="FootnoteReference"/>
          <w:color w:val="7F7F7F" w:themeColor="text1" w:themeTint="80"/>
          <w:sz w:val="12"/>
          <w:szCs w:val="12"/>
        </w:rPr>
        <w:footnoteRef/>
      </w:r>
      <w:r w:rsidRPr="00B472FD">
        <w:rPr>
          <w:rFonts w:ascii="Segoe UI" w:hAnsi="Segoe UI" w:cs="Segoe UI"/>
          <w:color w:val="7F7F7F" w:themeColor="text1" w:themeTint="80"/>
          <w:sz w:val="12"/>
          <w:szCs w:val="12"/>
          <w:lang w:val="el-GR"/>
        </w:rPr>
        <w:t>Ενσωματώνοντας όλες τις διαθέσιμες πληροφορίες κατά τη στιγμή της αξιολόγησης και δεδομένων των πρωτοφανών επιπέδων αβεβαιότητας</w:t>
      </w:r>
    </w:p>
  </w:footnote>
  <w:footnote w:id="2">
    <w:p w:rsidR="001369A2" w:rsidRPr="003E70BE" w:rsidRDefault="001369A2" w:rsidP="001369A2">
      <w:pPr>
        <w:pStyle w:val="FootnoteText"/>
        <w:rPr>
          <w:lang w:val="el-GR"/>
        </w:rPr>
      </w:pPr>
      <w:r w:rsidRPr="00EE40A0">
        <w:rPr>
          <w:rStyle w:val="FootnoteReference"/>
          <w:color w:val="7F7F7F" w:themeColor="text1" w:themeTint="80"/>
          <w:sz w:val="12"/>
          <w:szCs w:val="12"/>
        </w:rPr>
        <w:footnoteRef/>
      </w:r>
      <w:r w:rsidRPr="00B472FD">
        <w:rPr>
          <w:rFonts w:ascii="Segoe UI" w:hAnsi="Segoe UI" w:cs="Segoe UI"/>
          <w:color w:val="7F7F7F" w:themeColor="text1" w:themeTint="80"/>
          <w:sz w:val="12"/>
          <w:szCs w:val="12"/>
          <w:lang w:val="el-GR"/>
        </w:rPr>
        <w:t>Ενσωματώνοντας όλες τις διαθέσιμες πληροφορίες κατά τη στιγμή της αξιολόγησης και δεδομένων των πρωτοφανών επιπέδων αβεβαιότητας</w:t>
      </w:r>
    </w:p>
  </w:footnote>
  <w:footnote w:id="3">
    <w:p w:rsidR="00D95F56" w:rsidRPr="009733C4" w:rsidRDefault="00D95F56" w:rsidP="00EE40A0">
      <w:pPr>
        <w:pStyle w:val="FootnoteText"/>
        <w:rPr>
          <w:lang w:val="el-GR"/>
        </w:rPr>
      </w:pPr>
      <w:r w:rsidRPr="00EE40A0">
        <w:rPr>
          <w:rStyle w:val="FootnoteReference"/>
          <w:color w:val="7F7F7F" w:themeColor="text1" w:themeTint="80"/>
          <w:sz w:val="12"/>
          <w:szCs w:val="12"/>
        </w:rPr>
        <w:footnoteRef/>
      </w:r>
      <w:r w:rsidRPr="009733C4">
        <w:rPr>
          <w:rFonts w:ascii="Segoe UI" w:hAnsi="Segoe UI" w:cs="Segoe UI"/>
          <w:color w:val="7F7F7F" w:themeColor="text1" w:themeTint="80"/>
          <w:sz w:val="12"/>
          <w:szCs w:val="12"/>
          <w:lang w:val="el-GR"/>
        </w:rPr>
        <w:t>Οι διεθνείς (συνεχιζόμενες) δραστηριότητες περιλαμβάνουν τις δραστηριότητες του Ομίλου στη Βόρεια Μακεδονία (</w:t>
      </w:r>
      <w:r w:rsidRPr="009733C4">
        <w:rPr>
          <w:rFonts w:ascii="Segoe UI" w:hAnsi="Segoe UI" w:cs="Segoe UI"/>
          <w:color w:val="7F7F7F" w:themeColor="text1" w:themeTint="80"/>
          <w:sz w:val="12"/>
          <w:szCs w:val="12"/>
          <w:lang w:val="en-US"/>
        </w:rPr>
        <w:t>Stopanska</w:t>
      </w:r>
      <w:r w:rsidRPr="009733C4">
        <w:rPr>
          <w:rFonts w:ascii="Segoe UI" w:hAnsi="Segoe UI" w:cs="Segoe UI"/>
          <w:color w:val="7F7F7F" w:themeColor="text1" w:themeTint="80"/>
          <w:sz w:val="12"/>
          <w:szCs w:val="12"/>
          <w:lang w:val="el-GR"/>
        </w:rPr>
        <w:t>)</w:t>
      </w:r>
      <w:r>
        <w:rPr>
          <w:rFonts w:ascii="Segoe UI" w:hAnsi="Segoe UI" w:cs="Segoe UI"/>
          <w:color w:val="7F7F7F" w:themeColor="text1" w:themeTint="80"/>
          <w:sz w:val="12"/>
          <w:szCs w:val="12"/>
          <w:lang w:val="el-GR"/>
        </w:rPr>
        <w:t xml:space="preserve">, </w:t>
      </w:r>
      <w:r w:rsidRPr="0047559C">
        <w:rPr>
          <w:rFonts w:ascii="Segoe UI" w:hAnsi="Segoe UI" w:cs="Segoe UI"/>
          <w:color w:val="7F7F7F" w:themeColor="text1" w:themeTint="80"/>
          <w:sz w:val="12"/>
          <w:szCs w:val="12"/>
          <w:lang w:val="el-GR"/>
        </w:rPr>
        <w:t>Μάλτα (NBG Malta) και Αίγυπτο (ETE Αιγύπτου)</w:t>
      </w:r>
    </w:p>
  </w:footnote>
  <w:footnote w:id="4">
    <w:p w:rsidR="00D95F56" w:rsidRPr="009733C4" w:rsidRDefault="00D95F56" w:rsidP="00702F61">
      <w:pPr>
        <w:pStyle w:val="FootnoteText"/>
        <w:rPr>
          <w:lang w:val="el-GR"/>
        </w:rPr>
      </w:pPr>
      <w:r w:rsidRPr="00EE40A0">
        <w:rPr>
          <w:rStyle w:val="FootnoteReference"/>
          <w:color w:val="7F7F7F" w:themeColor="text1" w:themeTint="80"/>
          <w:sz w:val="12"/>
          <w:szCs w:val="12"/>
        </w:rPr>
        <w:footnoteRef/>
      </w:r>
      <w:r w:rsidRPr="009733C4">
        <w:rPr>
          <w:rFonts w:ascii="Segoe UI" w:hAnsi="Segoe UI" w:cs="Segoe UI"/>
          <w:color w:val="7F7F7F" w:themeColor="text1" w:themeTint="80"/>
          <w:sz w:val="12"/>
          <w:szCs w:val="12"/>
          <w:lang w:val="el-GR"/>
        </w:rPr>
        <w:t>Οι διεθνείς (συνεχιζόμενες) δραστηριότητες περιλαμβάνουν τις δραστηριότητες του Ομίλου στη Βόρεια Μακεδονία (</w:t>
      </w:r>
      <w:r w:rsidRPr="009733C4">
        <w:rPr>
          <w:rFonts w:ascii="Segoe UI" w:hAnsi="Segoe UI" w:cs="Segoe UI"/>
          <w:color w:val="7F7F7F" w:themeColor="text1" w:themeTint="80"/>
          <w:sz w:val="12"/>
          <w:szCs w:val="12"/>
          <w:lang w:val="en-US"/>
        </w:rPr>
        <w:t>Stopanska</w:t>
      </w:r>
      <w:r>
        <w:rPr>
          <w:rFonts w:ascii="Segoe UI" w:hAnsi="Segoe UI" w:cs="Segoe UI"/>
          <w:color w:val="7F7F7F" w:themeColor="text1" w:themeTint="80"/>
          <w:sz w:val="12"/>
          <w:szCs w:val="12"/>
          <w:lang w:val="el-GR"/>
        </w:rPr>
        <w:t xml:space="preserve">), </w:t>
      </w:r>
      <w:r w:rsidRPr="009733C4">
        <w:rPr>
          <w:rFonts w:ascii="Segoe UI" w:hAnsi="Segoe UI" w:cs="Segoe UI"/>
          <w:color w:val="7F7F7F" w:themeColor="text1" w:themeTint="80"/>
          <w:sz w:val="12"/>
          <w:szCs w:val="12"/>
          <w:lang w:val="el-GR"/>
        </w:rPr>
        <w:t>Μάλτα (</w:t>
      </w:r>
      <w:r w:rsidRPr="009733C4">
        <w:rPr>
          <w:rFonts w:ascii="Segoe UI" w:hAnsi="Segoe UI" w:cs="Segoe UI"/>
          <w:color w:val="7F7F7F" w:themeColor="text1" w:themeTint="80"/>
          <w:sz w:val="12"/>
          <w:szCs w:val="12"/>
          <w:lang w:val="en-US"/>
        </w:rPr>
        <w:t>NBG</w:t>
      </w:r>
      <w:r>
        <w:rPr>
          <w:rFonts w:ascii="Segoe UI" w:hAnsi="Segoe UI" w:cs="Segoe UI"/>
          <w:color w:val="7F7F7F" w:themeColor="text1" w:themeTint="80"/>
          <w:sz w:val="12"/>
          <w:szCs w:val="12"/>
          <w:lang w:val="el-GR"/>
        </w:rPr>
        <w:t xml:space="preserve"> </w:t>
      </w:r>
      <w:r w:rsidRPr="009733C4">
        <w:rPr>
          <w:rFonts w:ascii="Segoe UI" w:hAnsi="Segoe UI" w:cs="Segoe UI"/>
          <w:color w:val="7F7F7F" w:themeColor="text1" w:themeTint="80"/>
          <w:sz w:val="12"/>
          <w:szCs w:val="12"/>
          <w:lang w:val="en-US"/>
        </w:rPr>
        <w:t>Malta</w:t>
      </w:r>
      <w:r w:rsidRPr="009733C4">
        <w:rPr>
          <w:rFonts w:ascii="Segoe UI" w:hAnsi="Segoe UI" w:cs="Segoe UI"/>
          <w:color w:val="7F7F7F" w:themeColor="text1" w:themeTint="80"/>
          <w:sz w:val="12"/>
          <w:szCs w:val="12"/>
          <w:lang w:val="el-GR"/>
        </w:rPr>
        <w:t>)</w:t>
      </w:r>
      <w:r w:rsidRPr="009F27D9">
        <w:rPr>
          <w:lang w:val="el-GR"/>
        </w:rPr>
        <w:t xml:space="preserve"> </w:t>
      </w:r>
      <w:r w:rsidRPr="0047559C">
        <w:rPr>
          <w:rFonts w:ascii="Segoe UI" w:hAnsi="Segoe UI" w:cs="Segoe UI"/>
          <w:color w:val="7F7F7F" w:themeColor="text1" w:themeTint="80"/>
          <w:sz w:val="12"/>
          <w:szCs w:val="12"/>
          <w:lang w:val="el-GR"/>
        </w:rPr>
        <w:t>και Αίγυπτο (ETE Αιγύπτου)</w:t>
      </w:r>
    </w:p>
  </w:footnote>
  <w:footnote w:id="5">
    <w:p w:rsidR="00D95F56" w:rsidRPr="009733C4" w:rsidRDefault="00D95F56" w:rsidP="00397202">
      <w:pPr>
        <w:pStyle w:val="FootnoteText"/>
        <w:rPr>
          <w:lang w:val="el-GR"/>
        </w:rPr>
      </w:pPr>
      <w:r w:rsidRPr="00EE40A0">
        <w:rPr>
          <w:rStyle w:val="FootnoteReference"/>
          <w:color w:val="7F7F7F" w:themeColor="text1" w:themeTint="80"/>
          <w:sz w:val="12"/>
          <w:szCs w:val="12"/>
        </w:rPr>
        <w:footnoteRef/>
      </w:r>
      <w:r w:rsidRPr="009733C4">
        <w:rPr>
          <w:rFonts w:ascii="Segoe UI" w:hAnsi="Segoe UI" w:cs="Segoe UI"/>
          <w:color w:val="7F7F7F" w:themeColor="text1" w:themeTint="80"/>
          <w:sz w:val="12"/>
          <w:szCs w:val="12"/>
          <w:lang w:val="el-GR"/>
        </w:rPr>
        <w:t xml:space="preserve">Οι </w:t>
      </w:r>
      <w:r w:rsidRPr="00CC1D74">
        <w:rPr>
          <w:rFonts w:ascii="Segoe UI" w:hAnsi="Segoe UI" w:cs="Segoe UI"/>
          <w:color w:val="7F7F7F" w:themeColor="text1" w:themeTint="80"/>
          <w:sz w:val="12"/>
          <w:szCs w:val="12"/>
          <w:lang w:val="el-GR"/>
        </w:rPr>
        <w:t xml:space="preserve">δείκτες κεφαλαιακής επάρκειας </w:t>
      </w:r>
      <w:r>
        <w:rPr>
          <w:rFonts w:ascii="Segoe UI" w:hAnsi="Segoe UI" w:cs="Segoe UI"/>
          <w:color w:val="7F7F7F" w:themeColor="text1" w:themeTint="80"/>
          <w:sz w:val="12"/>
          <w:szCs w:val="12"/>
          <w:lang w:val="el-GR"/>
        </w:rPr>
        <w:t>περ</w:t>
      </w:r>
      <w:r w:rsidRPr="00CC1D74">
        <w:rPr>
          <w:rFonts w:ascii="Segoe UI" w:hAnsi="Segoe UI" w:cs="Segoe UI"/>
          <w:color w:val="7F7F7F" w:themeColor="text1" w:themeTint="80"/>
          <w:sz w:val="12"/>
          <w:szCs w:val="12"/>
          <w:lang w:val="el-GR"/>
        </w:rPr>
        <w:t>ιλαμβάνουν τ</w:t>
      </w:r>
      <w:r w:rsidR="00316C32">
        <w:rPr>
          <w:rFonts w:ascii="Segoe UI" w:hAnsi="Segoe UI" w:cs="Segoe UI"/>
          <w:color w:val="7F7F7F" w:themeColor="text1" w:themeTint="80"/>
          <w:sz w:val="12"/>
          <w:szCs w:val="12"/>
          <w:lang w:val="el-GR"/>
        </w:rPr>
        <w:t>α</w:t>
      </w:r>
      <w:r w:rsidRPr="00CC1D74">
        <w:rPr>
          <w:rFonts w:ascii="Segoe UI" w:hAnsi="Segoe UI" w:cs="Segoe UI"/>
          <w:color w:val="7F7F7F" w:themeColor="text1" w:themeTint="80"/>
          <w:sz w:val="12"/>
          <w:szCs w:val="12"/>
          <w:lang w:val="el-GR"/>
        </w:rPr>
        <w:t xml:space="preserve"> </w:t>
      </w:r>
      <w:r>
        <w:rPr>
          <w:rFonts w:ascii="Segoe UI" w:hAnsi="Segoe UI" w:cs="Segoe UI"/>
          <w:color w:val="7F7F7F" w:themeColor="text1" w:themeTint="80"/>
          <w:sz w:val="12"/>
          <w:szCs w:val="12"/>
          <w:lang w:val="el-GR"/>
        </w:rPr>
        <w:t>κέρδ</w:t>
      </w:r>
      <w:r w:rsidR="00316C32">
        <w:rPr>
          <w:rFonts w:ascii="Segoe UI" w:hAnsi="Segoe UI" w:cs="Segoe UI"/>
          <w:color w:val="7F7F7F" w:themeColor="text1" w:themeTint="80"/>
          <w:sz w:val="12"/>
          <w:szCs w:val="12"/>
          <w:lang w:val="el-GR"/>
        </w:rPr>
        <w:t xml:space="preserve">η </w:t>
      </w:r>
      <w:r>
        <w:rPr>
          <w:rFonts w:ascii="Segoe UI" w:hAnsi="Segoe UI" w:cs="Segoe UI"/>
          <w:color w:val="7F7F7F" w:themeColor="text1" w:themeTint="80"/>
          <w:sz w:val="12"/>
          <w:szCs w:val="12"/>
          <w:lang w:val="el-GR"/>
        </w:rPr>
        <w:t xml:space="preserve">μετά </w:t>
      </w:r>
      <w:r w:rsidRPr="008B285E">
        <w:rPr>
          <w:rFonts w:ascii="Segoe UI" w:hAnsi="Segoe UI" w:cs="Segoe UI"/>
          <w:color w:val="7F7F7F" w:themeColor="text1" w:themeTint="80"/>
          <w:sz w:val="12"/>
          <w:szCs w:val="12"/>
          <w:lang w:val="el-GR"/>
        </w:rPr>
        <w:t xml:space="preserve">από φόρους </w:t>
      </w:r>
      <w:r w:rsidR="00A263DD">
        <w:rPr>
          <w:rFonts w:ascii="Segoe UI" w:hAnsi="Segoe UI" w:cs="Segoe UI"/>
          <w:color w:val="7F7F7F" w:themeColor="text1" w:themeTint="80"/>
          <w:sz w:val="12"/>
          <w:szCs w:val="12"/>
          <w:lang w:val="el-GR"/>
        </w:rPr>
        <w:t>της περιόδου.</w:t>
      </w:r>
      <w:r w:rsidRPr="00CC1D74">
        <w:rPr>
          <w:rFonts w:ascii="Segoe UI" w:hAnsi="Segoe UI" w:cs="Segoe UI"/>
          <w:color w:val="7F7F7F" w:themeColor="text1" w:themeTint="80"/>
          <w:sz w:val="12"/>
          <w:szCs w:val="12"/>
          <w:lang w:val="el-GR"/>
        </w:rPr>
        <w:t xml:space="preserve"> </w:t>
      </w:r>
      <w:r w:rsidR="00A263DD">
        <w:rPr>
          <w:rFonts w:ascii="Segoe UI" w:hAnsi="Segoe UI" w:cs="Segoe UI"/>
          <w:color w:val="7F7F7F" w:themeColor="text1" w:themeTint="80"/>
          <w:sz w:val="12"/>
          <w:szCs w:val="12"/>
          <w:lang w:val="el-GR"/>
        </w:rPr>
        <w:t>Εξαιρώντας τ</w:t>
      </w:r>
      <w:r w:rsidR="00316C32">
        <w:rPr>
          <w:rFonts w:ascii="Segoe UI" w:hAnsi="Segoe UI" w:cs="Segoe UI"/>
          <w:color w:val="7F7F7F" w:themeColor="text1" w:themeTint="80"/>
          <w:sz w:val="12"/>
          <w:szCs w:val="12"/>
          <w:lang w:val="el-GR"/>
        </w:rPr>
        <w:t xml:space="preserve">α </w:t>
      </w:r>
      <w:r w:rsidR="00A263DD">
        <w:rPr>
          <w:rFonts w:ascii="Segoe UI" w:hAnsi="Segoe UI" w:cs="Segoe UI"/>
          <w:color w:val="7F7F7F" w:themeColor="text1" w:themeTint="80"/>
          <w:sz w:val="12"/>
          <w:szCs w:val="12"/>
          <w:lang w:val="el-GR"/>
        </w:rPr>
        <w:t>κέρδ</w:t>
      </w:r>
      <w:r w:rsidR="00316C32">
        <w:rPr>
          <w:rFonts w:ascii="Segoe UI" w:hAnsi="Segoe UI" w:cs="Segoe UI"/>
          <w:color w:val="7F7F7F" w:themeColor="text1" w:themeTint="80"/>
          <w:sz w:val="12"/>
          <w:szCs w:val="12"/>
          <w:lang w:val="el-GR"/>
        </w:rPr>
        <w:t>η</w:t>
      </w:r>
      <w:r w:rsidR="00A263DD">
        <w:rPr>
          <w:rFonts w:ascii="Segoe UI" w:hAnsi="Segoe UI" w:cs="Segoe UI"/>
          <w:color w:val="7F7F7F" w:themeColor="text1" w:themeTint="80"/>
          <w:sz w:val="12"/>
          <w:szCs w:val="12"/>
          <w:lang w:val="el-GR"/>
        </w:rPr>
        <w:t xml:space="preserve"> μετά </w:t>
      </w:r>
      <w:r w:rsidR="00A263DD" w:rsidRPr="008B285E">
        <w:rPr>
          <w:rFonts w:ascii="Segoe UI" w:hAnsi="Segoe UI" w:cs="Segoe UI"/>
          <w:color w:val="7F7F7F" w:themeColor="text1" w:themeTint="80"/>
          <w:sz w:val="12"/>
          <w:szCs w:val="12"/>
          <w:lang w:val="el-GR"/>
        </w:rPr>
        <w:t xml:space="preserve">από φόρους </w:t>
      </w:r>
      <w:r w:rsidR="00A263DD">
        <w:rPr>
          <w:rFonts w:ascii="Segoe UI" w:hAnsi="Segoe UI" w:cs="Segoe UI"/>
          <w:color w:val="7F7F7F" w:themeColor="text1" w:themeTint="80"/>
          <w:sz w:val="12"/>
          <w:szCs w:val="12"/>
          <w:lang w:val="el-GR"/>
        </w:rPr>
        <w:t xml:space="preserve">της περιόδου, </w:t>
      </w:r>
      <w:r w:rsidRPr="00CC1D74">
        <w:rPr>
          <w:rFonts w:ascii="Segoe UI" w:hAnsi="Segoe UI" w:cs="Segoe UI"/>
          <w:color w:val="7F7F7F" w:themeColor="text1" w:themeTint="80"/>
          <w:sz w:val="12"/>
          <w:szCs w:val="12"/>
          <w:lang w:val="el-GR"/>
        </w:rPr>
        <w:t xml:space="preserve">ο δείκτης CET1 και ο Συνολικός Δείκτης Κεφαλαιακής Επάρκειας </w:t>
      </w:r>
      <w:r w:rsidR="006F6585">
        <w:rPr>
          <w:rFonts w:ascii="Segoe UI" w:hAnsi="Segoe UI" w:cs="Segoe UI"/>
          <w:color w:val="7F7F7F" w:themeColor="text1" w:themeTint="80"/>
          <w:sz w:val="12"/>
          <w:szCs w:val="12"/>
          <w:lang w:val="el-GR"/>
        </w:rPr>
        <w:t xml:space="preserve">για το Εννεάμηνο 2020 </w:t>
      </w:r>
      <w:r w:rsidRPr="00CC1D74">
        <w:rPr>
          <w:rFonts w:ascii="Segoe UI" w:hAnsi="Segoe UI" w:cs="Segoe UI"/>
          <w:color w:val="7F7F7F" w:themeColor="text1" w:themeTint="80"/>
          <w:sz w:val="12"/>
          <w:szCs w:val="12"/>
          <w:lang w:val="el-GR"/>
        </w:rPr>
        <w:t>ανέρχονται σε 1</w:t>
      </w:r>
      <w:r>
        <w:rPr>
          <w:rFonts w:ascii="Segoe UI" w:hAnsi="Segoe UI" w:cs="Segoe UI"/>
          <w:color w:val="7F7F7F" w:themeColor="text1" w:themeTint="80"/>
          <w:sz w:val="12"/>
          <w:szCs w:val="12"/>
          <w:lang w:val="el-GR"/>
        </w:rPr>
        <w:t>4,</w:t>
      </w:r>
      <w:r w:rsidRPr="005C2A99">
        <w:rPr>
          <w:rFonts w:ascii="Segoe UI" w:hAnsi="Segoe UI" w:cs="Segoe UI"/>
          <w:color w:val="7F7F7F" w:themeColor="text1" w:themeTint="80"/>
          <w:sz w:val="12"/>
          <w:szCs w:val="12"/>
          <w:lang w:val="el-GR"/>
        </w:rPr>
        <w:t>5</w:t>
      </w:r>
      <w:r w:rsidRPr="00CC1D74">
        <w:rPr>
          <w:rFonts w:ascii="Segoe UI" w:hAnsi="Segoe UI" w:cs="Segoe UI"/>
          <w:color w:val="7F7F7F" w:themeColor="text1" w:themeTint="80"/>
          <w:sz w:val="12"/>
          <w:szCs w:val="12"/>
          <w:lang w:val="el-GR"/>
        </w:rPr>
        <w:t>% και 1</w:t>
      </w:r>
      <w:r>
        <w:rPr>
          <w:rFonts w:ascii="Segoe UI" w:hAnsi="Segoe UI" w:cs="Segoe UI"/>
          <w:color w:val="7F7F7F" w:themeColor="text1" w:themeTint="80"/>
          <w:sz w:val="12"/>
          <w:szCs w:val="12"/>
          <w:lang w:val="el-GR"/>
        </w:rPr>
        <w:t>5,4</w:t>
      </w:r>
      <w:r w:rsidRPr="00CC1D74">
        <w:rPr>
          <w:rFonts w:ascii="Segoe UI" w:hAnsi="Segoe UI" w:cs="Segoe UI"/>
          <w:color w:val="7F7F7F" w:themeColor="text1" w:themeTint="80"/>
          <w:sz w:val="12"/>
          <w:szCs w:val="12"/>
          <w:lang w:val="el-GR"/>
        </w:rPr>
        <w:t>%, αντίστοιχα</w:t>
      </w:r>
    </w:p>
  </w:footnote>
  <w:footnote w:id="6">
    <w:p w:rsidR="00D95F56" w:rsidRPr="009733C4" w:rsidRDefault="00D95F56" w:rsidP="0020173D">
      <w:pPr>
        <w:pStyle w:val="FootnoteText"/>
        <w:rPr>
          <w:lang w:val="el-GR"/>
        </w:rPr>
      </w:pPr>
      <w:r w:rsidRPr="00EE40A0">
        <w:rPr>
          <w:rStyle w:val="FootnoteReference"/>
          <w:color w:val="7F7F7F" w:themeColor="text1" w:themeTint="80"/>
          <w:sz w:val="12"/>
          <w:szCs w:val="12"/>
        </w:rPr>
        <w:footnoteRef/>
      </w:r>
      <w:r w:rsidRPr="0020173D">
        <w:rPr>
          <w:rFonts w:ascii="Segoe UI" w:hAnsi="Segoe UI" w:cs="Segoe UI"/>
          <w:color w:val="7F7F7F" w:themeColor="text1" w:themeTint="80"/>
          <w:sz w:val="12"/>
          <w:szCs w:val="12"/>
          <w:lang w:val="el-GR"/>
        </w:rPr>
        <w:t>Ενσωματώνοντας όλες τις διαθέσιμες πληροφορίες κατά τη στιγμή της αξιολόγησης και δεδομένων των πρωτοφανών επιπέδων αβεβαιότητας</w:t>
      </w:r>
    </w:p>
  </w:footnote>
  <w:footnote w:id="7">
    <w:p w:rsidR="003C6BDB" w:rsidRPr="009733C4" w:rsidRDefault="003C6BDB" w:rsidP="003C6BDB">
      <w:pPr>
        <w:pStyle w:val="FootnoteText"/>
        <w:rPr>
          <w:lang w:val="el-GR"/>
        </w:rPr>
      </w:pPr>
      <w:r w:rsidRPr="00EE40A0">
        <w:rPr>
          <w:rStyle w:val="FootnoteReference"/>
          <w:color w:val="7F7F7F" w:themeColor="text1" w:themeTint="80"/>
          <w:sz w:val="12"/>
          <w:szCs w:val="12"/>
        </w:rPr>
        <w:footnoteRef/>
      </w:r>
      <w:r w:rsidRPr="009733C4">
        <w:rPr>
          <w:rFonts w:ascii="Segoe UI" w:hAnsi="Segoe UI" w:cs="Segoe UI"/>
          <w:color w:val="7F7F7F" w:themeColor="text1" w:themeTint="80"/>
          <w:sz w:val="12"/>
          <w:szCs w:val="12"/>
          <w:lang w:val="el-GR"/>
        </w:rPr>
        <w:t>Οι διεθνείς (συνεχιζόμενες) δραστηριότητες περιλαμβάνουν τις δραστηριότητες του Ομίλου στη Βόρεια Μακεδονία (</w:t>
      </w:r>
      <w:r w:rsidRPr="009733C4">
        <w:rPr>
          <w:rFonts w:ascii="Segoe UI" w:hAnsi="Segoe UI" w:cs="Segoe UI"/>
          <w:color w:val="7F7F7F" w:themeColor="text1" w:themeTint="80"/>
          <w:sz w:val="12"/>
          <w:szCs w:val="12"/>
          <w:lang w:val="en-US"/>
        </w:rPr>
        <w:t>Stopanska</w:t>
      </w:r>
      <w:r>
        <w:rPr>
          <w:rFonts w:ascii="Segoe UI" w:hAnsi="Segoe UI" w:cs="Segoe UI"/>
          <w:color w:val="7F7F7F" w:themeColor="text1" w:themeTint="80"/>
          <w:sz w:val="12"/>
          <w:szCs w:val="12"/>
          <w:lang w:val="el-GR"/>
        </w:rPr>
        <w:t xml:space="preserve">), </w:t>
      </w:r>
      <w:r w:rsidRPr="009733C4">
        <w:rPr>
          <w:rFonts w:ascii="Segoe UI" w:hAnsi="Segoe UI" w:cs="Segoe UI"/>
          <w:color w:val="7F7F7F" w:themeColor="text1" w:themeTint="80"/>
          <w:sz w:val="12"/>
          <w:szCs w:val="12"/>
          <w:lang w:val="el-GR"/>
        </w:rPr>
        <w:t>Μάλτα (</w:t>
      </w:r>
      <w:r w:rsidRPr="009733C4">
        <w:rPr>
          <w:rFonts w:ascii="Segoe UI" w:hAnsi="Segoe UI" w:cs="Segoe UI"/>
          <w:color w:val="7F7F7F" w:themeColor="text1" w:themeTint="80"/>
          <w:sz w:val="12"/>
          <w:szCs w:val="12"/>
          <w:lang w:val="en-US"/>
        </w:rPr>
        <w:t>NBG</w:t>
      </w:r>
      <w:r>
        <w:rPr>
          <w:rFonts w:ascii="Segoe UI" w:hAnsi="Segoe UI" w:cs="Segoe UI"/>
          <w:color w:val="7F7F7F" w:themeColor="text1" w:themeTint="80"/>
          <w:sz w:val="12"/>
          <w:szCs w:val="12"/>
          <w:lang w:val="el-GR"/>
        </w:rPr>
        <w:t xml:space="preserve"> </w:t>
      </w:r>
      <w:r w:rsidRPr="009733C4">
        <w:rPr>
          <w:rFonts w:ascii="Segoe UI" w:hAnsi="Segoe UI" w:cs="Segoe UI"/>
          <w:color w:val="7F7F7F" w:themeColor="text1" w:themeTint="80"/>
          <w:sz w:val="12"/>
          <w:szCs w:val="12"/>
          <w:lang w:val="en-US"/>
        </w:rPr>
        <w:t>Malta</w:t>
      </w:r>
      <w:r w:rsidRPr="009733C4">
        <w:rPr>
          <w:rFonts w:ascii="Segoe UI" w:hAnsi="Segoe UI" w:cs="Segoe UI"/>
          <w:color w:val="7F7F7F" w:themeColor="text1" w:themeTint="80"/>
          <w:sz w:val="12"/>
          <w:szCs w:val="12"/>
          <w:lang w:val="el-GR"/>
        </w:rPr>
        <w:t>)</w:t>
      </w:r>
      <w:r w:rsidRPr="009F27D9">
        <w:rPr>
          <w:lang w:val="el-GR"/>
        </w:rPr>
        <w:t xml:space="preserve"> </w:t>
      </w:r>
      <w:r w:rsidRPr="0047559C">
        <w:rPr>
          <w:rFonts w:ascii="Segoe UI" w:hAnsi="Segoe UI" w:cs="Segoe UI"/>
          <w:color w:val="7F7F7F" w:themeColor="text1" w:themeTint="80"/>
          <w:sz w:val="12"/>
          <w:szCs w:val="12"/>
          <w:lang w:val="el-GR"/>
        </w:rPr>
        <w:t>και Αίγυπτο (ETE Αιγύπτου)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F56" w:rsidRDefault="00D95F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16"/>
      <w:gridCol w:w="4868"/>
    </w:tblGrid>
    <w:tr w:rsidR="00D95F56" w:rsidRPr="00044763" w:rsidTr="00B5579A">
      <w:trPr>
        <w:trHeight w:val="370"/>
      </w:trPr>
      <w:tc>
        <w:tcPr>
          <w:tcW w:w="2610" w:type="pct"/>
          <w:tcBorders>
            <w:bottom w:val="single" w:sz="18" w:space="0" w:color="00B2C6"/>
          </w:tcBorders>
          <w:shd w:val="clear" w:color="auto" w:fill="auto"/>
          <w:vAlign w:val="bottom"/>
        </w:tcPr>
        <w:p w:rsidR="00D95F56" w:rsidRPr="00061D9F" w:rsidRDefault="00D95F56" w:rsidP="00F81F11">
          <w:pPr>
            <w:pStyle w:val="Header"/>
            <w:rPr>
              <w:b/>
              <w:bCs/>
              <w:color w:val="007382"/>
              <w:sz w:val="20"/>
              <w:szCs w:val="20"/>
              <w:lang w:val="en-US"/>
            </w:rPr>
          </w:pPr>
          <w:r>
            <w:rPr>
              <w:b/>
              <w:bCs/>
              <w:color w:val="007382"/>
              <w:sz w:val="20"/>
              <w:szCs w:val="20"/>
            </w:rPr>
            <w:t>Όμιλος ΕΤΕ</w:t>
          </w:r>
        </w:p>
      </w:tc>
      <w:tc>
        <w:tcPr>
          <w:tcW w:w="2390" w:type="pct"/>
          <w:tcBorders>
            <w:bottom w:val="single" w:sz="18" w:space="0" w:color="00B2C6"/>
          </w:tcBorders>
          <w:shd w:val="clear" w:color="auto" w:fill="auto"/>
          <w:vAlign w:val="bottom"/>
        </w:tcPr>
        <w:p w:rsidR="00D95F56" w:rsidRPr="005A4681" w:rsidRDefault="00D95F56" w:rsidP="00000E66">
          <w:pPr>
            <w:pStyle w:val="Header"/>
            <w:jc w:val="right"/>
            <w:rPr>
              <w:color w:val="007382"/>
              <w:sz w:val="18"/>
              <w:szCs w:val="18"/>
              <w:lang w:val="en-US"/>
            </w:rPr>
          </w:pPr>
          <w:r>
            <w:rPr>
              <w:color w:val="808080" w:themeColor="background1" w:themeShade="80"/>
              <w:sz w:val="18"/>
              <w:szCs w:val="18"/>
            </w:rPr>
            <w:t>Αποτελέσματα Γ’ τριμήνου 2020</w:t>
          </w:r>
        </w:p>
      </w:tc>
    </w:tr>
  </w:tbl>
  <w:p w:rsidR="00D95F56" w:rsidRPr="00044763" w:rsidRDefault="00D95F56" w:rsidP="00D1701C">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F56" w:rsidRDefault="00D95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4515_"/>
      </v:shape>
    </w:pict>
  </w:numPicBullet>
  <w:abstractNum w:abstractNumId="0" w15:restartNumberingAfterBreak="0">
    <w:nsid w:val="005313C5"/>
    <w:multiLevelType w:val="hybridMultilevel"/>
    <w:tmpl w:val="7E40CD20"/>
    <w:lvl w:ilvl="0" w:tplc="BF7C7776">
      <w:start w:val="1"/>
      <w:numFmt w:val="decimal"/>
      <w:lvlText w:val="%1."/>
      <w:lvlJc w:val="left"/>
      <w:pPr>
        <w:ind w:left="644" w:hanging="360"/>
      </w:pPr>
      <w:rPr>
        <w:rFonts w:hint="default"/>
        <w:vertAlign w:val="superscrip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07A90119"/>
    <w:multiLevelType w:val="hybridMultilevel"/>
    <w:tmpl w:val="82AA1DF6"/>
    <w:lvl w:ilvl="0" w:tplc="AF084EA6">
      <w:start w:val="1"/>
      <w:numFmt w:val="bullet"/>
      <w:lvlText w:val="•"/>
      <w:lvlJc w:val="left"/>
      <w:pPr>
        <w:tabs>
          <w:tab w:val="num" w:pos="720"/>
        </w:tabs>
        <w:ind w:left="720" w:hanging="360"/>
      </w:pPr>
      <w:rPr>
        <w:rFonts w:ascii="Arial" w:hAnsi="Arial" w:hint="default"/>
      </w:rPr>
    </w:lvl>
    <w:lvl w:ilvl="1" w:tplc="A8ECFF68">
      <w:start w:val="1"/>
      <w:numFmt w:val="bullet"/>
      <w:lvlText w:val="•"/>
      <w:lvlJc w:val="left"/>
      <w:pPr>
        <w:tabs>
          <w:tab w:val="num" w:pos="1440"/>
        </w:tabs>
        <w:ind w:left="1440" w:hanging="360"/>
      </w:pPr>
      <w:rPr>
        <w:rFonts w:ascii="Arial" w:hAnsi="Arial" w:hint="default"/>
      </w:rPr>
    </w:lvl>
    <w:lvl w:ilvl="2" w:tplc="E6CCC7BE" w:tentative="1">
      <w:start w:val="1"/>
      <w:numFmt w:val="bullet"/>
      <w:lvlText w:val="•"/>
      <w:lvlJc w:val="left"/>
      <w:pPr>
        <w:tabs>
          <w:tab w:val="num" w:pos="2160"/>
        </w:tabs>
        <w:ind w:left="2160" w:hanging="360"/>
      </w:pPr>
      <w:rPr>
        <w:rFonts w:ascii="Arial" w:hAnsi="Arial" w:hint="default"/>
      </w:rPr>
    </w:lvl>
    <w:lvl w:ilvl="3" w:tplc="5A8E91E0" w:tentative="1">
      <w:start w:val="1"/>
      <w:numFmt w:val="bullet"/>
      <w:lvlText w:val="•"/>
      <w:lvlJc w:val="left"/>
      <w:pPr>
        <w:tabs>
          <w:tab w:val="num" w:pos="2880"/>
        </w:tabs>
        <w:ind w:left="2880" w:hanging="360"/>
      </w:pPr>
      <w:rPr>
        <w:rFonts w:ascii="Arial" w:hAnsi="Arial" w:hint="default"/>
      </w:rPr>
    </w:lvl>
    <w:lvl w:ilvl="4" w:tplc="BCE29D90" w:tentative="1">
      <w:start w:val="1"/>
      <w:numFmt w:val="bullet"/>
      <w:lvlText w:val="•"/>
      <w:lvlJc w:val="left"/>
      <w:pPr>
        <w:tabs>
          <w:tab w:val="num" w:pos="3600"/>
        </w:tabs>
        <w:ind w:left="3600" w:hanging="360"/>
      </w:pPr>
      <w:rPr>
        <w:rFonts w:ascii="Arial" w:hAnsi="Arial" w:hint="default"/>
      </w:rPr>
    </w:lvl>
    <w:lvl w:ilvl="5" w:tplc="1CE61C36" w:tentative="1">
      <w:start w:val="1"/>
      <w:numFmt w:val="bullet"/>
      <w:lvlText w:val="•"/>
      <w:lvlJc w:val="left"/>
      <w:pPr>
        <w:tabs>
          <w:tab w:val="num" w:pos="4320"/>
        </w:tabs>
        <w:ind w:left="4320" w:hanging="360"/>
      </w:pPr>
      <w:rPr>
        <w:rFonts w:ascii="Arial" w:hAnsi="Arial" w:hint="default"/>
      </w:rPr>
    </w:lvl>
    <w:lvl w:ilvl="6" w:tplc="98B00A6C" w:tentative="1">
      <w:start w:val="1"/>
      <w:numFmt w:val="bullet"/>
      <w:lvlText w:val="•"/>
      <w:lvlJc w:val="left"/>
      <w:pPr>
        <w:tabs>
          <w:tab w:val="num" w:pos="5040"/>
        </w:tabs>
        <w:ind w:left="5040" w:hanging="360"/>
      </w:pPr>
      <w:rPr>
        <w:rFonts w:ascii="Arial" w:hAnsi="Arial" w:hint="default"/>
      </w:rPr>
    </w:lvl>
    <w:lvl w:ilvl="7" w:tplc="138AF13E" w:tentative="1">
      <w:start w:val="1"/>
      <w:numFmt w:val="bullet"/>
      <w:lvlText w:val="•"/>
      <w:lvlJc w:val="left"/>
      <w:pPr>
        <w:tabs>
          <w:tab w:val="num" w:pos="5760"/>
        </w:tabs>
        <w:ind w:left="5760" w:hanging="360"/>
      </w:pPr>
      <w:rPr>
        <w:rFonts w:ascii="Arial" w:hAnsi="Arial" w:hint="default"/>
      </w:rPr>
    </w:lvl>
    <w:lvl w:ilvl="8" w:tplc="6DC210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B30835"/>
    <w:multiLevelType w:val="hybridMultilevel"/>
    <w:tmpl w:val="F8768AFE"/>
    <w:lvl w:ilvl="0" w:tplc="AB60207C">
      <w:start w:val="1"/>
      <w:numFmt w:val="bullet"/>
      <w:lvlText w:val="•"/>
      <w:lvlJc w:val="left"/>
      <w:pPr>
        <w:tabs>
          <w:tab w:val="num" w:pos="720"/>
        </w:tabs>
        <w:ind w:left="720" w:hanging="360"/>
      </w:pPr>
      <w:rPr>
        <w:rFonts w:ascii="Arial" w:hAnsi="Arial" w:hint="default"/>
      </w:rPr>
    </w:lvl>
    <w:lvl w:ilvl="1" w:tplc="C186E6C6" w:tentative="1">
      <w:start w:val="1"/>
      <w:numFmt w:val="bullet"/>
      <w:lvlText w:val="•"/>
      <w:lvlJc w:val="left"/>
      <w:pPr>
        <w:tabs>
          <w:tab w:val="num" w:pos="1440"/>
        </w:tabs>
        <w:ind w:left="1440" w:hanging="360"/>
      </w:pPr>
      <w:rPr>
        <w:rFonts w:ascii="Arial" w:hAnsi="Arial" w:hint="default"/>
      </w:rPr>
    </w:lvl>
    <w:lvl w:ilvl="2" w:tplc="B5367868" w:tentative="1">
      <w:start w:val="1"/>
      <w:numFmt w:val="bullet"/>
      <w:lvlText w:val="•"/>
      <w:lvlJc w:val="left"/>
      <w:pPr>
        <w:tabs>
          <w:tab w:val="num" w:pos="2160"/>
        </w:tabs>
        <w:ind w:left="2160" w:hanging="360"/>
      </w:pPr>
      <w:rPr>
        <w:rFonts w:ascii="Arial" w:hAnsi="Arial" w:hint="default"/>
      </w:rPr>
    </w:lvl>
    <w:lvl w:ilvl="3" w:tplc="B434DB3A">
      <w:start w:val="1"/>
      <w:numFmt w:val="bullet"/>
      <w:lvlText w:val="•"/>
      <w:lvlJc w:val="left"/>
      <w:pPr>
        <w:tabs>
          <w:tab w:val="num" w:pos="2880"/>
        </w:tabs>
        <w:ind w:left="2880" w:hanging="360"/>
      </w:pPr>
      <w:rPr>
        <w:rFonts w:ascii="Arial" w:hAnsi="Arial" w:hint="default"/>
      </w:rPr>
    </w:lvl>
    <w:lvl w:ilvl="4" w:tplc="F27636D2" w:tentative="1">
      <w:start w:val="1"/>
      <w:numFmt w:val="bullet"/>
      <w:lvlText w:val="•"/>
      <w:lvlJc w:val="left"/>
      <w:pPr>
        <w:tabs>
          <w:tab w:val="num" w:pos="3600"/>
        </w:tabs>
        <w:ind w:left="3600" w:hanging="360"/>
      </w:pPr>
      <w:rPr>
        <w:rFonts w:ascii="Arial" w:hAnsi="Arial" w:hint="default"/>
      </w:rPr>
    </w:lvl>
    <w:lvl w:ilvl="5" w:tplc="89284D48" w:tentative="1">
      <w:start w:val="1"/>
      <w:numFmt w:val="bullet"/>
      <w:lvlText w:val="•"/>
      <w:lvlJc w:val="left"/>
      <w:pPr>
        <w:tabs>
          <w:tab w:val="num" w:pos="4320"/>
        </w:tabs>
        <w:ind w:left="4320" w:hanging="360"/>
      </w:pPr>
      <w:rPr>
        <w:rFonts w:ascii="Arial" w:hAnsi="Arial" w:hint="default"/>
      </w:rPr>
    </w:lvl>
    <w:lvl w:ilvl="6" w:tplc="4156D3D6" w:tentative="1">
      <w:start w:val="1"/>
      <w:numFmt w:val="bullet"/>
      <w:lvlText w:val="•"/>
      <w:lvlJc w:val="left"/>
      <w:pPr>
        <w:tabs>
          <w:tab w:val="num" w:pos="5040"/>
        </w:tabs>
        <w:ind w:left="5040" w:hanging="360"/>
      </w:pPr>
      <w:rPr>
        <w:rFonts w:ascii="Arial" w:hAnsi="Arial" w:hint="default"/>
      </w:rPr>
    </w:lvl>
    <w:lvl w:ilvl="7" w:tplc="6EB2FD8A" w:tentative="1">
      <w:start w:val="1"/>
      <w:numFmt w:val="bullet"/>
      <w:lvlText w:val="•"/>
      <w:lvlJc w:val="left"/>
      <w:pPr>
        <w:tabs>
          <w:tab w:val="num" w:pos="5760"/>
        </w:tabs>
        <w:ind w:left="5760" w:hanging="360"/>
      </w:pPr>
      <w:rPr>
        <w:rFonts w:ascii="Arial" w:hAnsi="Arial" w:hint="default"/>
      </w:rPr>
    </w:lvl>
    <w:lvl w:ilvl="8" w:tplc="368057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0C2168"/>
    <w:multiLevelType w:val="hybridMultilevel"/>
    <w:tmpl w:val="BBD42F5E"/>
    <w:lvl w:ilvl="0" w:tplc="A492FE0E">
      <w:start w:val="1"/>
      <w:numFmt w:val="bullet"/>
      <w:lvlText w:val="•"/>
      <w:lvlJc w:val="left"/>
      <w:pPr>
        <w:tabs>
          <w:tab w:val="num" w:pos="720"/>
        </w:tabs>
        <w:ind w:left="720" w:hanging="360"/>
      </w:pPr>
      <w:rPr>
        <w:rFonts w:ascii="Arial" w:hAnsi="Arial" w:hint="default"/>
      </w:rPr>
    </w:lvl>
    <w:lvl w:ilvl="1" w:tplc="245AE5C8" w:tentative="1">
      <w:start w:val="1"/>
      <w:numFmt w:val="bullet"/>
      <w:lvlText w:val="•"/>
      <w:lvlJc w:val="left"/>
      <w:pPr>
        <w:tabs>
          <w:tab w:val="num" w:pos="1440"/>
        </w:tabs>
        <w:ind w:left="1440" w:hanging="360"/>
      </w:pPr>
      <w:rPr>
        <w:rFonts w:ascii="Arial" w:hAnsi="Arial" w:hint="default"/>
      </w:rPr>
    </w:lvl>
    <w:lvl w:ilvl="2" w:tplc="E06C0BFE" w:tentative="1">
      <w:start w:val="1"/>
      <w:numFmt w:val="bullet"/>
      <w:lvlText w:val="•"/>
      <w:lvlJc w:val="left"/>
      <w:pPr>
        <w:tabs>
          <w:tab w:val="num" w:pos="2160"/>
        </w:tabs>
        <w:ind w:left="2160" w:hanging="360"/>
      </w:pPr>
      <w:rPr>
        <w:rFonts w:ascii="Arial" w:hAnsi="Arial" w:hint="default"/>
      </w:rPr>
    </w:lvl>
    <w:lvl w:ilvl="3" w:tplc="7D886F9A">
      <w:start w:val="1"/>
      <w:numFmt w:val="bullet"/>
      <w:lvlText w:val="•"/>
      <w:lvlJc w:val="left"/>
      <w:pPr>
        <w:tabs>
          <w:tab w:val="num" w:pos="2880"/>
        </w:tabs>
        <w:ind w:left="2880" w:hanging="360"/>
      </w:pPr>
      <w:rPr>
        <w:rFonts w:ascii="Arial" w:hAnsi="Arial" w:hint="default"/>
      </w:rPr>
    </w:lvl>
    <w:lvl w:ilvl="4" w:tplc="F5FC4DC8" w:tentative="1">
      <w:start w:val="1"/>
      <w:numFmt w:val="bullet"/>
      <w:lvlText w:val="•"/>
      <w:lvlJc w:val="left"/>
      <w:pPr>
        <w:tabs>
          <w:tab w:val="num" w:pos="3600"/>
        </w:tabs>
        <w:ind w:left="3600" w:hanging="360"/>
      </w:pPr>
      <w:rPr>
        <w:rFonts w:ascii="Arial" w:hAnsi="Arial" w:hint="default"/>
      </w:rPr>
    </w:lvl>
    <w:lvl w:ilvl="5" w:tplc="8892CB60" w:tentative="1">
      <w:start w:val="1"/>
      <w:numFmt w:val="bullet"/>
      <w:lvlText w:val="•"/>
      <w:lvlJc w:val="left"/>
      <w:pPr>
        <w:tabs>
          <w:tab w:val="num" w:pos="4320"/>
        </w:tabs>
        <w:ind w:left="4320" w:hanging="360"/>
      </w:pPr>
      <w:rPr>
        <w:rFonts w:ascii="Arial" w:hAnsi="Arial" w:hint="default"/>
      </w:rPr>
    </w:lvl>
    <w:lvl w:ilvl="6" w:tplc="C09A8678" w:tentative="1">
      <w:start w:val="1"/>
      <w:numFmt w:val="bullet"/>
      <w:lvlText w:val="•"/>
      <w:lvlJc w:val="left"/>
      <w:pPr>
        <w:tabs>
          <w:tab w:val="num" w:pos="5040"/>
        </w:tabs>
        <w:ind w:left="5040" w:hanging="360"/>
      </w:pPr>
      <w:rPr>
        <w:rFonts w:ascii="Arial" w:hAnsi="Arial" w:hint="default"/>
      </w:rPr>
    </w:lvl>
    <w:lvl w:ilvl="7" w:tplc="2F10FBB4" w:tentative="1">
      <w:start w:val="1"/>
      <w:numFmt w:val="bullet"/>
      <w:lvlText w:val="•"/>
      <w:lvlJc w:val="left"/>
      <w:pPr>
        <w:tabs>
          <w:tab w:val="num" w:pos="5760"/>
        </w:tabs>
        <w:ind w:left="5760" w:hanging="360"/>
      </w:pPr>
      <w:rPr>
        <w:rFonts w:ascii="Arial" w:hAnsi="Arial" w:hint="default"/>
      </w:rPr>
    </w:lvl>
    <w:lvl w:ilvl="8" w:tplc="AB207D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31506F"/>
    <w:multiLevelType w:val="hybridMultilevel"/>
    <w:tmpl w:val="1610C458"/>
    <w:lvl w:ilvl="0" w:tplc="F412FC76">
      <w:start w:val="1"/>
      <w:numFmt w:val="bullet"/>
      <w:lvlText w:val="•"/>
      <w:lvlJc w:val="left"/>
      <w:pPr>
        <w:tabs>
          <w:tab w:val="num" w:pos="720"/>
        </w:tabs>
        <w:ind w:left="720" w:hanging="360"/>
      </w:pPr>
      <w:rPr>
        <w:rFonts w:ascii="Arial" w:hAnsi="Arial" w:hint="default"/>
      </w:rPr>
    </w:lvl>
    <w:lvl w:ilvl="1" w:tplc="BE2AE3D8" w:tentative="1">
      <w:start w:val="1"/>
      <w:numFmt w:val="bullet"/>
      <w:lvlText w:val="•"/>
      <w:lvlJc w:val="left"/>
      <w:pPr>
        <w:tabs>
          <w:tab w:val="num" w:pos="1440"/>
        </w:tabs>
        <w:ind w:left="1440" w:hanging="360"/>
      </w:pPr>
      <w:rPr>
        <w:rFonts w:ascii="Arial" w:hAnsi="Arial" w:hint="default"/>
      </w:rPr>
    </w:lvl>
    <w:lvl w:ilvl="2" w:tplc="5634937A" w:tentative="1">
      <w:start w:val="1"/>
      <w:numFmt w:val="bullet"/>
      <w:lvlText w:val="•"/>
      <w:lvlJc w:val="left"/>
      <w:pPr>
        <w:tabs>
          <w:tab w:val="num" w:pos="2160"/>
        </w:tabs>
        <w:ind w:left="2160" w:hanging="360"/>
      </w:pPr>
      <w:rPr>
        <w:rFonts w:ascii="Arial" w:hAnsi="Arial" w:hint="default"/>
      </w:rPr>
    </w:lvl>
    <w:lvl w:ilvl="3" w:tplc="512C9CF0">
      <w:start w:val="1"/>
      <w:numFmt w:val="bullet"/>
      <w:lvlText w:val="•"/>
      <w:lvlJc w:val="left"/>
      <w:pPr>
        <w:tabs>
          <w:tab w:val="num" w:pos="2880"/>
        </w:tabs>
        <w:ind w:left="2880" w:hanging="360"/>
      </w:pPr>
      <w:rPr>
        <w:rFonts w:ascii="Arial" w:hAnsi="Arial" w:hint="default"/>
      </w:rPr>
    </w:lvl>
    <w:lvl w:ilvl="4" w:tplc="2E62B71C" w:tentative="1">
      <w:start w:val="1"/>
      <w:numFmt w:val="bullet"/>
      <w:lvlText w:val="•"/>
      <w:lvlJc w:val="left"/>
      <w:pPr>
        <w:tabs>
          <w:tab w:val="num" w:pos="3600"/>
        </w:tabs>
        <w:ind w:left="3600" w:hanging="360"/>
      </w:pPr>
      <w:rPr>
        <w:rFonts w:ascii="Arial" w:hAnsi="Arial" w:hint="default"/>
      </w:rPr>
    </w:lvl>
    <w:lvl w:ilvl="5" w:tplc="22F8FE58" w:tentative="1">
      <w:start w:val="1"/>
      <w:numFmt w:val="bullet"/>
      <w:lvlText w:val="•"/>
      <w:lvlJc w:val="left"/>
      <w:pPr>
        <w:tabs>
          <w:tab w:val="num" w:pos="4320"/>
        </w:tabs>
        <w:ind w:left="4320" w:hanging="360"/>
      </w:pPr>
      <w:rPr>
        <w:rFonts w:ascii="Arial" w:hAnsi="Arial" w:hint="default"/>
      </w:rPr>
    </w:lvl>
    <w:lvl w:ilvl="6" w:tplc="05701C24" w:tentative="1">
      <w:start w:val="1"/>
      <w:numFmt w:val="bullet"/>
      <w:lvlText w:val="•"/>
      <w:lvlJc w:val="left"/>
      <w:pPr>
        <w:tabs>
          <w:tab w:val="num" w:pos="5040"/>
        </w:tabs>
        <w:ind w:left="5040" w:hanging="360"/>
      </w:pPr>
      <w:rPr>
        <w:rFonts w:ascii="Arial" w:hAnsi="Arial" w:hint="default"/>
      </w:rPr>
    </w:lvl>
    <w:lvl w:ilvl="7" w:tplc="1C52D5B8" w:tentative="1">
      <w:start w:val="1"/>
      <w:numFmt w:val="bullet"/>
      <w:lvlText w:val="•"/>
      <w:lvlJc w:val="left"/>
      <w:pPr>
        <w:tabs>
          <w:tab w:val="num" w:pos="5760"/>
        </w:tabs>
        <w:ind w:left="5760" w:hanging="360"/>
      </w:pPr>
      <w:rPr>
        <w:rFonts w:ascii="Arial" w:hAnsi="Arial" w:hint="default"/>
      </w:rPr>
    </w:lvl>
    <w:lvl w:ilvl="8" w:tplc="9C3A01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6E1ADB"/>
    <w:multiLevelType w:val="hybridMultilevel"/>
    <w:tmpl w:val="47AC1F08"/>
    <w:lvl w:ilvl="0" w:tplc="BE08C698">
      <w:start w:val="1"/>
      <w:numFmt w:val="decimal"/>
      <w:lvlText w:val="%1."/>
      <w:lvlJc w:val="left"/>
      <w:pPr>
        <w:ind w:left="720" w:hanging="360"/>
      </w:pPr>
      <w:rPr>
        <w:rFonts w:hint="default"/>
        <w:vertAlign w:val="superscrip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433C3D"/>
    <w:multiLevelType w:val="hybridMultilevel"/>
    <w:tmpl w:val="3B6052CC"/>
    <w:lvl w:ilvl="0" w:tplc="D32CD860">
      <w:start w:val="1"/>
      <w:numFmt w:val="bullet"/>
      <w:lvlText w:val="•"/>
      <w:lvlJc w:val="left"/>
      <w:pPr>
        <w:tabs>
          <w:tab w:val="num" w:pos="720"/>
        </w:tabs>
        <w:ind w:left="720" w:hanging="360"/>
      </w:pPr>
      <w:rPr>
        <w:rFonts w:ascii="Arial" w:hAnsi="Arial" w:hint="default"/>
      </w:rPr>
    </w:lvl>
    <w:lvl w:ilvl="1" w:tplc="78C82E92" w:tentative="1">
      <w:start w:val="1"/>
      <w:numFmt w:val="bullet"/>
      <w:lvlText w:val="•"/>
      <w:lvlJc w:val="left"/>
      <w:pPr>
        <w:tabs>
          <w:tab w:val="num" w:pos="1440"/>
        </w:tabs>
        <w:ind w:left="1440" w:hanging="360"/>
      </w:pPr>
      <w:rPr>
        <w:rFonts w:ascii="Arial" w:hAnsi="Arial" w:hint="default"/>
      </w:rPr>
    </w:lvl>
    <w:lvl w:ilvl="2" w:tplc="E8326DAE" w:tentative="1">
      <w:start w:val="1"/>
      <w:numFmt w:val="bullet"/>
      <w:lvlText w:val="•"/>
      <w:lvlJc w:val="left"/>
      <w:pPr>
        <w:tabs>
          <w:tab w:val="num" w:pos="2160"/>
        </w:tabs>
        <w:ind w:left="2160" w:hanging="360"/>
      </w:pPr>
      <w:rPr>
        <w:rFonts w:ascii="Arial" w:hAnsi="Arial" w:hint="default"/>
      </w:rPr>
    </w:lvl>
    <w:lvl w:ilvl="3" w:tplc="33FE070A">
      <w:start w:val="1"/>
      <w:numFmt w:val="bullet"/>
      <w:lvlText w:val="•"/>
      <w:lvlJc w:val="left"/>
      <w:pPr>
        <w:tabs>
          <w:tab w:val="num" w:pos="2880"/>
        </w:tabs>
        <w:ind w:left="2880" w:hanging="360"/>
      </w:pPr>
      <w:rPr>
        <w:rFonts w:ascii="Arial" w:hAnsi="Arial" w:hint="default"/>
      </w:rPr>
    </w:lvl>
    <w:lvl w:ilvl="4" w:tplc="7CECF156" w:tentative="1">
      <w:start w:val="1"/>
      <w:numFmt w:val="bullet"/>
      <w:lvlText w:val="•"/>
      <w:lvlJc w:val="left"/>
      <w:pPr>
        <w:tabs>
          <w:tab w:val="num" w:pos="3600"/>
        </w:tabs>
        <w:ind w:left="3600" w:hanging="360"/>
      </w:pPr>
      <w:rPr>
        <w:rFonts w:ascii="Arial" w:hAnsi="Arial" w:hint="default"/>
      </w:rPr>
    </w:lvl>
    <w:lvl w:ilvl="5" w:tplc="034A68E2" w:tentative="1">
      <w:start w:val="1"/>
      <w:numFmt w:val="bullet"/>
      <w:lvlText w:val="•"/>
      <w:lvlJc w:val="left"/>
      <w:pPr>
        <w:tabs>
          <w:tab w:val="num" w:pos="4320"/>
        </w:tabs>
        <w:ind w:left="4320" w:hanging="360"/>
      </w:pPr>
      <w:rPr>
        <w:rFonts w:ascii="Arial" w:hAnsi="Arial" w:hint="default"/>
      </w:rPr>
    </w:lvl>
    <w:lvl w:ilvl="6" w:tplc="09369E52" w:tentative="1">
      <w:start w:val="1"/>
      <w:numFmt w:val="bullet"/>
      <w:lvlText w:val="•"/>
      <w:lvlJc w:val="left"/>
      <w:pPr>
        <w:tabs>
          <w:tab w:val="num" w:pos="5040"/>
        </w:tabs>
        <w:ind w:left="5040" w:hanging="360"/>
      </w:pPr>
      <w:rPr>
        <w:rFonts w:ascii="Arial" w:hAnsi="Arial" w:hint="default"/>
      </w:rPr>
    </w:lvl>
    <w:lvl w:ilvl="7" w:tplc="4A983066" w:tentative="1">
      <w:start w:val="1"/>
      <w:numFmt w:val="bullet"/>
      <w:lvlText w:val="•"/>
      <w:lvlJc w:val="left"/>
      <w:pPr>
        <w:tabs>
          <w:tab w:val="num" w:pos="5760"/>
        </w:tabs>
        <w:ind w:left="5760" w:hanging="360"/>
      </w:pPr>
      <w:rPr>
        <w:rFonts w:ascii="Arial" w:hAnsi="Arial" w:hint="default"/>
      </w:rPr>
    </w:lvl>
    <w:lvl w:ilvl="8" w:tplc="33F218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CB5DBA"/>
    <w:multiLevelType w:val="hybridMultilevel"/>
    <w:tmpl w:val="846EE38E"/>
    <w:lvl w:ilvl="0" w:tplc="82C67AB8">
      <w:start w:val="1"/>
      <w:numFmt w:val="bullet"/>
      <w:lvlText w:val=""/>
      <w:lvlJc w:val="left"/>
      <w:pPr>
        <w:ind w:left="1080" w:hanging="720"/>
      </w:pPr>
      <w:rPr>
        <w:rFonts w:ascii="Symbol" w:eastAsia="MS Mincho" w:hAnsi="Symbol"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CF0647D"/>
    <w:multiLevelType w:val="hybridMultilevel"/>
    <w:tmpl w:val="C0D2C3E2"/>
    <w:lvl w:ilvl="0" w:tplc="B16E79F0">
      <w:start w:val="1"/>
      <w:numFmt w:val="bullet"/>
      <w:lvlText w:val="o"/>
      <w:lvlJc w:val="left"/>
      <w:pPr>
        <w:ind w:left="644" w:hanging="360"/>
      </w:pPr>
      <w:rPr>
        <w:rFonts w:ascii="Courier New" w:hAnsi="Courier New" w:cs="Courier New" w:hint="default"/>
        <w:sz w:val="18"/>
        <w:szCs w:val="18"/>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9" w15:restartNumberingAfterBreak="0">
    <w:nsid w:val="1DA327F5"/>
    <w:multiLevelType w:val="hybridMultilevel"/>
    <w:tmpl w:val="3B4892EC"/>
    <w:lvl w:ilvl="0" w:tplc="0226CD10">
      <w:start w:val="1"/>
      <w:numFmt w:val="bullet"/>
      <w:lvlText w:val="•"/>
      <w:lvlJc w:val="left"/>
      <w:pPr>
        <w:tabs>
          <w:tab w:val="num" w:pos="720"/>
        </w:tabs>
        <w:ind w:left="720" w:hanging="360"/>
      </w:pPr>
      <w:rPr>
        <w:rFonts w:ascii="Arial" w:hAnsi="Arial" w:hint="default"/>
      </w:rPr>
    </w:lvl>
    <w:lvl w:ilvl="1" w:tplc="7D6880C2">
      <w:start w:val="1"/>
      <w:numFmt w:val="bullet"/>
      <w:lvlText w:val="•"/>
      <w:lvlJc w:val="left"/>
      <w:pPr>
        <w:tabs>
          <w:tab w:val="num" w:pos="1440"/>
        </w:tabs>
        <w:ind w:left="1440" w:hanging="360"/>
      </w:pPr>
      <w:rPr>
        <w:rFonts w:ascii="Arial" w:hAnsi="Arial" w:hint="default"/>
      </w:rPr>
    </w:lvl>
    <w:lvl w:ilvl="2" w:tplc="1652B73A" w:tentative="1">
      <w:start w:val="1"/>
      <w:numFmt w:val="bullet"/>
      <w:lvlText w:val="•"/>
      <w:lvlJc w:val="left"/>
      <w:pPr>
        <w:tabs>
          <w:tab w:val="num" w:pos="2160"/>
        </w:tabs>
        <w:ind w:left="2160" w:hanging="360"/>
      </w:pPr>
      <w:rPr>
        <w:rFonts w:ascii="Arial" w:hAnsi="Arial" w:hint="default"/>
      </w:rPr>
    </w:lvl>
    <w:lvl w:ilvl="3" w:tplc="C75251BC" w:tentative="1">
      <w:start w:val="1"/>
      <w:numFmt w:val="bullet"/>
      <w:lvlText w:val="•"/>
      <w:lvlJc w:val="left"/>
      <w:pPr>
        <w:tabs>
          <w:tab w:val="num" w:pos="2880"/>
        </w:tabs>
        <w:ind w:left="2880" w:hanging="360"/>
      </w:pPr>
      <w:rPr>
        <w:rFonts w:ascii="Arial" w:hAnsi="Arial" w:hint="default"/>
      </w:rPr>
    </w:lvl>
    <w:lvl w:ilvl="4" w:tplc="2EC24E3E" w:tentative="1">
      <w:start w:val="1"/>
      <w:numFmt w:val="bullet"/>
      <w:lvlText w:val="•"/>
      <w:lvlJc w:val="left"/>
      <w:pPr>
        <w:tabs>
          <w:tab w:val="num" w:pos="3600"/>
        </w:tabs>
        <w:ind w:left="3600" w:hanging="360"/>
      </w:pPr>
      <w:rPr>
        <w:rFonts w:ascii="Arial" w:hAnsi="Arial" w:hint="default"/>
      </w:rPr>
    </w:lvl>
    <w:lvl w:ilvl="5" w:tplc="3272A178" w:tentative="1">
      <w:start w:val="1"/>
      <w:numFmt w:val="bullet"/>
      <w:lvlText w:val="•"/>
      <w:lvlJc w:val="left"/>
      <w:pPr>
        <w:tabs>
          <w:tab w:val="num" w:pos="4320"/>
        </w:tabs>
        <w:ind w:left="4320" w:hanging="360"/>
      </w:pPr>
      <w:rPr>
        <w:rFonts w:ascii="Arial" w:hAnsi="Arial" w:hint="default"/>
      </w:rPr>
    </w:lvl>
    <w:lvl w:ilvl="6" w:tplc="2B70F2B6" w:tentative="1">
      <w:start w:val="1"/>
      <w:numFmt w:val="bullet"/>
      <w:lvlText w:val="•"/>
      <w:lvlJc w:val="left"/>
      <w:pPr>
        <w:tabs>
          <w:tab w:val="num" w:pos="5040"/>
        </w:tabs>
        <w:ind w:left="5040" w:hanging="360"/>
      </w:pPr>
      <w:rPr>
        <w:rFonts w:ascii="Arial" w:hAnsi="Arial" w:hint="default"/>
      </w:rPr>
    </w:lvl>
    <w:lvl w:ilvl="7" w:tplc="BB625196" w:tentative="1">
      <w:start w:val="1"/>
      <w:numFmt w:val="bullet"/>
      <w:lvlText w:val="•"/>
      <w:lvlJc w:val="left"/>
      <w:pPr>
        <w:tabs>
          <w:tab w:val="num" w:pos="5760"/>
        </w:tabs>
        <w:ind w:left="5760" w:hanging="360"/>
      </w:pPr>
      <w:rPr>
        <w:rFonts w:ascii="Arial" w:hAnsi="Arial" w:hint="default"/>
      </w:rPr>
    </w:lvl>
    <w:lvl w:ilvl="8" w:tplc="5F1E8C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655A4F"/>
    <w:multiLevelType w:val="hybridMultilevel"/>
    <w:tmpl w:val="87DA15DE"/>
    <w:lvl w:ilvl="0" w:tplc="62A6E3B0">
      <w:numFmt w:val="bullet"/>
      <w:lvlText w:val=""/>
      <w:lvlJc w:val="left"/>
      <w:pPr>
        <w:ind w:left="720" w:hanging="360"/>
      </w:pPr>
      <w:rPr>
        <w:rFonts w:ascii="Symbol" w:eastAsiaTheme="minorHAnsi" w:hAnsi="Symbol"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234059"/>
    <w:multiLevelType w:val="hybridMultilevel"/>
    <w:tmpl w:val="9B2A465C"/>
    <w:lvl w:ilvl="0" w:tplc="A6EAF608">
      <w:start w:val="1"/>
      <w:numFmt w:val="bullet"/>
      <w:lvlText w:val="•"/>
      <w:lvlJc w:val="left"/>
      <w:pPr>
        <w:tabs>
          <w:tab w:val="num" w:pos="720"/>
        </w:tabs>
        <w:ind w:left="720" w:hanging="360"/>
      </w:pPr>
      <w:rPr>
        <w:rFonts w:ascii="Arial" w:hAnsi="Arial" w:hint="default"/>
      </w:rPr>
    </w:lvl>
    <w:lvl w:ilvl="1" w:tplc="4EDCCF80">
      <w:start w:val="1"/>
      <w:numFmt w:val="bullet"/>
      <w:lvlText w:val="•"/>
      <w:lvlJc w:val="left"/>
      <w:pPr>
        <w:tabs>
          <w:tab w:val="num" w:pos="1440"/>
        </w:tabs>
        <w:ind w:left="1440" w:hanging="360"/>
      </w:pPr>
      <w:rPr>
        <w:rFonts w:ascii="Arial" w:hAnsi="Arial" w:hint="default"/>
      </w:rPr>
    </w:lvl>
    <w:lvl w:ilvl="2" w:tplc="D77AECAA" w:tentative="1">
      <w:start w:val="1"/>
      <w:numFmt w:val="bullet"/>
      <w:lvlText w:val="•"/>
      <w:lvlJc w:val="left"/>
      <w:pPr>
        <w:tabs>
          <w:tab w:val="num" w:pos="2160"/>
        </w:tabs>
        <w:ind w:left="2160" w:hanging="360"/>
      </w:pPr>
      <w:rPr>
        <w:rFonts w:ascii="Arial" w:hAnsi="Arial" w:hint="default"/>
      </w:rPr>
    </w:lvl>
    <w:lvl w:ilvl="3" w:tplc="D58858DA" w:tentative="1">
      <w:start w:val="1"/>
      <w:numFmt w:val="bullet"/>
      <w:lvlText w:val="•"/>
      <w:lvlJc w:val="left"/>
      <w:pPr>
        <w:tabs>
          <w:tab w:val="num" w:pos="2880"/>
        </w:tabs>
        <w:ind w:left="2880" w:hanging="360"/>
      </w:pPr>
      <w:rPr>
        <w:rFonts w:ascii="Arial" w:hAnsi="Arial" w:hint="default"/>
      </w:rPr>
    </w:lvl>
    <w:lvl w:ilvl="4" w:tplc="09E01004" w:tentative="1">
      <w:start w:val="1"/>
      <w:numFmt w:val="bullet"/>
      <w:lvlText w:val="•"/>
      <w:lvlJc w:val="left"/>
      <w:pPr>
        <w:tabs>
          <w:tab w:val="num" w:pos="3600"/>
        </w:tabs>
        <w:ind w:left="3600" w:hanging="360"/>
      </w:pPr>
      <w:rPr>
        <w:rFonts w:ascii="Arial" w:hAnsi="Arial" w:hint="default"/>
      </w:rPr>
    </w:lvl>
    <w:lvl w:ilvl="5" w:tplc="B622ADF8" w:tentative="1">
      <w:start w:val="1"/>
      <w:numFmt w:val="bullet"/>
      <w:lvlText w:val="•"/>
      <w:lvlJc w:val="left"/>
      <w:pPr>
        <w:tabs>
          <w:tab w:val="num" w:pos="4320"/>
        </w:tabs>
        <w:ind w:left="4320" w:hanging="360"/>
      </w:pPr>
      <w:rPr>
        <w:rFonts w:ascii="Arial" w:hAnsi="Arial" w:hint="default"/>
      </w:rPr>
    </w:lvl>
    <w:lvl w:ilvl="6" w:tplc="73B2CE36" w:tentative="1">
      <w:start w:val="1"/>
      <w:numFmt w:val="bullet"/>
      <w:lvlText w:val="•"/>
      <w:lvlJc w:val="left"/>
      <w:pPr>
        <w:tabs>
          <w:tab w:val="num" w:pos="5040"/>
        </w:tabs>
        <w:ind w:left="5040" w:hanging="360"/>
      </w:pPr>
      <w:rPr>
        <w:rFonts w:ascii="Arial" w:hAnsi="Arial" w:hint="default"/>
      </w:rPr>
    </w:lvl>
    <w:lvl w:ilvl="7" w:tplc="738085BC" w:tentative="1">
      <w:start w:val="1"/>
      <w:numFmt w:val="bullet"/>
      <w:lvlText w:val="•"/>
      <w:lvlJc w:val="left"/>
      <w:pPr>
        <w:tabs>
          <w:tab w:val="num" w:pos="5760"/>
        </w:tabs>
        <w:ind w:left="5760" w:hanging="360"/>
      </w:pPr>
      <w:rPr>
        <w:rFonts w:ascii="Arial" w:hAnsi="Arial" w:hint="default"/>
      </w:rPr>
    </w:lvl>
    <w:lvl w:ilvl="8" w:tplc="FDE496F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016908"/>
    <w:multiLevelType w:val="hybridMultilevel"/>
    <w:tmpl w:val="6B7E3278"/>
    <w:lvl w:ilvl="0" w:tplc="91BAF300">
      <w:start w:val="1"/>
      <w:numFmt w:val="bullet"/>
      <w:lvlText w:val="•"/>
      <w:lvlJc w:val="left"/>
      <w:pPr>
        <w:tabs>
          <w:tab w:val="num" w:pos="720"/>
        </w:tabs>
        <w:ind w:left="720" w:hanging="360"/>
      </w:pPr>
      <w:rPr>
        <w:rFonts w:ascii="Arial" w:hAnsi="Arial" w:hint="default"/>
      </w:rPr>
    </w:lvl>
    <w:lvl w:ilvl="1" w:tplc="0694AFA4">
      <w:start w:val="1"/>
      <w:numFmt w:val="bullet"/>
      <w:lvlText w:val="•"/>
      <w:lvlJc w:val="left"/>
      <w:pPr>
        <w:tabs>
          <w:tab w:val="num" w:pos="1440"/>
        </w:tabs>
        <w:ind w:left="1440" w:hanging="360"/>
      </w:pPr>
      <w:rPr>
        <w:rFonts w:ascii="Arial" w:hAnsi="Arial" w:hint="default"/>
      </w:rPr>
    </w:lvl>
    <w:lvl w:ilvl="2" w:tplc="D7B4C37C" w:tentative="1">
      <w:start w:val="1"/>
      <w:numFmt w:val="bullet"/>
      <w:lvlText w:val="•"/>
      <w:lvlJc w:val="left"/>
      <w:pPr>
        <w:tabs>
          <w:tab w:val="num" w:pos="2160"/>
        </w:tabs>
        <w:ind w:left="2160" w:hanging="360"/>
      </w:pPr>
      <w:rPr>
        <w:rFonts w:ascii="Arial" w:hAnsi="Arial" w:hint="default"/>
      </w:rPr>
    </w:lvl>
    <w:lvl w:ilvl="3" w:tplc="E3F018C6" w:tentative="1">
      <w:start w:val="1"/>
      <w:numFmt w:val="bullet"/>
      <w:lvlText w:val="•"/>
      <w:lvlJc w:val="left"/>
      <w:pPr>
        <w:tabs>
          <w:tab w:val="num" w:pos="2880"/>
        </w:tabs>
        <w:ind w:left="2880" w:hanging="360"/>
      </w:pPr>
      <w:rPr>
        <w:rFonts w:ascii="Arial" w:hAnsi="Arial" w:hint="default"/>
      </w:rPr>
    </w:lvl>
    <w:lvl w:ilvl="4" w:tplc="B7A24350" w:tentative="1">
      <w:start w:val="1"/>
      <w:numFmt w:val="bullet"/>
      <w:lvlText w:val="•"/>
      <w:lvlJc w:val="left"/>
      <w:pPr>
        <w:tabs>
          <w:tab w:val="num" w:pos="3600"/>
        </w:tabs>
        <w:ind w:left="3600" w:hanging="360"/>
      </w:pPr>
      <w:rPr>
        <w:rFonts w:ascii="Arial" w:hAnsi="Arial" w:hint="default"/>
      </w:rPr>
    </w:lvl>
    <w:lvl w:ilvl="5" w:tplc="B9D266F2" w:tentative="1">
      <w:start w:val="1"/>
      <w:numFmt w:val="bullet"/>
      <w:lvlText w:val="•"/>
      <w:lvlJc w:val="left"/>
      <w:pPr>
        <w:tabs>
          <w:tab w:val="num" w:pos="4320"/>
        </w:tabs>
        <w:ind w:left="4320" w:hanging="360"/>
      </w:pPr>
      <w:rPr>
        <w:rFonts w:ascii="Arial" w:hAnsi="Arial" w:hint="default"/>
      </w:rPr>
    </w:lvl>
    <w:lvl w:ilvl="6" w:tplc="EE3282CC" w:tentative="1">
      <w:start w:val="1"/>
      <w:numFmt w:val="bullet"/>
      <w:lvlText w:val="•"/>
      <w:lvlJc w:val="left"/>
      <w:pPr>
        <w:tabs>
          <w:tab w:val="num" w:pos="5040"/>
        </w:tabs>
        <w:ind w:left="5040" w:hanging="360"/>
      </w:pPr>
      <w:rPr>
        <w:rFonts w:ascii="Arial" w:hAnsi="Arial" w:hint="default"/>
      </w:rPr>
    </w:lvl>
    <w:lvl w:ilvl="7" w:tplc="682013E6" w:tentative="1">
      <w:start w:val="1"/>
      <w:numFmt w:val="bullet"/>
      <w:lvlText w:val="•"/>
      <w:lvlJc w:val="left"/>
      <w:pPr>
        <w:tabs>
          <w:tab w:val="num" w:pos="5760"/>
        </w:tabs>
        <w:ind w:left="5760" w:hanging="360"/>
      </w:pPr>
      <w:rPr>
        <w:rFonts w:ascii="Arial" w:hAnsi="Arial" w:hint="default"/>
      </w:rPr>
    </w:lvl>
    <w:lvl w:ilvl="8" w:tplc="D4BCE89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9526F8"/>
    <w:multiLevelType w:val="hybridMultilevel"/>
    <w:tmpl w:val="5128C3E8"/>
    <w:lvl w:ilvl="0" w:tplc="225C6AC4">
      <w:start w:val="1"/>
      <w:numFmt w:val="bullet"/>
      <w:lvlText w:val="•"/>
      <w:lvlJc w:val="left"/>
      <w:pPr>
        <w:tabs>
          <w:tab w:val="num" w:pos="720"/>
        </w:tabs>
        <w:ind w:left="720" w:hanging="360"/>
      </w:pPr>
      <w:rPr>
        <w:rFonts w:ascii="Arial" w:hAnsi="Arial" w:hint="default"/>
      </w:rPr>
    </w:lvl>
    <w:lvl w:ilvl="1" w:tplc="5368485A" w:tentative="1">
      <w:start w:val="1"/>
      <w:numFmt w:val="bullet"/>
      <w:lvlText w:val="•"/>
      <w:lvlJc w:val="left"/>
      <w:pPr>
        <w:tabs>
          <w:tab w:val="num" w:pos="1440"/>
        </w:tabs>
        <w:ind w:left="1440" w:hanging="360"/>
      </w:pPr>
      <w:rPr>
        <w:rFonts w:ascii="Arial" w:hAnsi="Arial" w:hint="default"/>
      </w:rPr>
    </w:lvl>
    <w:lvl w:ilvl="2" w:tplc="1CA2D85C" w:tentative="1">
      <w:start w:val="1"/>
      <w:numFmt w:val="bullet"/>
      <w:lvlText w:val="•"/>
      <w:lvlJc w:val="left"/>
      <w:pPr>
        <w:tabs>
          <w:tab w:val="num" w:pos="2160"/>
        </w:tabs>
        <w:ind w:left="2160" w:hanging="360"/>
      </w:pPr>
      <w:rPr>
        <w:rFonts w:ascii="Arial" w:hAnsi="Arial" w:hint="default"/>
      </w:rPr>
    </w:lvl>
    <w:lvl w:ilvl="3" w:tplc="F10602A8">
      <w:start w:val="1"/>
      <w:numFmt w:val="bullet"/>
      <w:lvlText w:val="•"/>
      <w:lvlJc w:val="left"/>
      <w:pPr>
        <w:tabs>
          <w:tab w:val="num" w:pos="2880"/>
        </w:tabs>
        <w:ind w:left="2880" w:hanging="360"/>
      </w:pPr>
      <w:rPr>
        <w:rFonts w:ascii="Arial" w:hAnsi="Arial" w:hint="default"/>
      </w:rPr>
    </w:lvl>
    <w:lvl w:ilvl="4" w:tplc="50CAF054" w:tentative="1">
      <w:start w:val="1"/>
      <w:numFmt w:val="bullet"/>
      <w:lvlText w:val="•"/>
      <w:lvlJc w:val="left"/>
      <w:pPr>
        <w:tabs>
          <w:tab w:val="num" w:pos="3600"/>
        </w:tabs>
        <w:ind w:left="3600" w:hanging="360"/>
      </w:pPr>
      <w:rPr>
        <w:rFonts w:ascii="Arial" w:hAnsi="Arial" w:hint="default"/>
      </w:rPr>
    </w:lvl>
    <w:lvl w:ilvl="5" w:tplc="87B80DF2" w:tentative="1">
      <w:start w:val="1"/>
      <w:numFmt w:val="bullet"/>
      <w:lvlText w:val="•"/>
      <w:lvlJc w:val="left"/>
      <w:pPr>
        <w:tabs>
          <w:tab w:val="num" w:pos="4320"/>
        </w:tabs>
        <w:ind w:left="4320" w:hanging="360"/>
      </w:pPr>
      <w:rPr>
        <w:rFonts w:ascii="Arial" w:hAnsi="Arial" w:hint="default"/>
      </w:rPr>
    </w:lvl>
    <w:lvl w:ilvl="6" w:tplc="6E6CA710" w:tentative="1">
      <w:start w:val="1"/>
      <w:numFmt w:val="bullet"/>
      <w:lvlText w:val="•"/>
      <w:lvlJc w:val="left"/>
      <w:pPr>
        <w:tabs>
          <w:tab w:val="num" w:pos="5040"/>
        </w:tabs>
        <w:ind w:left="5040" w:hanging="360"/>
      </w:pPr>
      <w:rPr>
        <w:rFonts w:ascii="Arial" w:hAnsi="Arial" w:hint="default"/>
      </w:rPr>
    </w:lvl>
    <w:lvl w:ilvl="7" w:tplc="BF0A6C32" w:tentative="1">
      <w:start w:val="1"/>
      <w:numFmt w:val="bullet"/>
      <w:lvlText w:val="•"/>
      <w:lvlJc w:val="left"/>
      <w:pPr>
        <w:tabs>
          <w:tab w:val="num" w:pos="5760"/>
        </w:tabs>
        <w:ind w:left="5760" w:hanging="360"/>
      </w:pPr>
      <w:rPr>
        <w:rFonts w:ascii="Arial" w:hAnsi="Arial" w:hint="default"/>
      </w:rPr>
    </w:lvl>
    <w:lvl w:ilvl="8" w:tplc="2674933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4F3F7E"/>
    <w:multiLevelType w:val="hybridMultilevel"/>
    <w:tmpl w:val="058E5102"/>
    <w:lvl w:ilvl="0" w:tplc="4E2680AE">
      <w:start w:val="1"/>
      <w:numFmt w:val="bullet"/>
      <w:lvlText w:val="•"/>
      <w:lvlJc w:val="left"/>
      <w:pPr>
        <w:tabs>
          <w:tab w:val="num" w:pos="720"/>
        </w:tabs>
        <w:ind w:left="720" w:hanging="360"/>
      </w:pPr>
      <w:rPr>
        <w:rFonts w:ascii="Arial" w:hAnsi="Arial" w:hint="default"/>
      </w:rPr>
    </w:lvl>
    <w:lvl w:ilvl="1" w:tplc="0D247154">
      <w:start w:val="1"/>
      <w:numFmt w:val="bullet"/>
      <w:lvlText w:val="•"/>
      <w:lvlJc w:val="left"/>
      <w:pPr>
        <w:tabs>
          <w:tab w:val="num" w:pos="1440"/>
        </w:tabs>
        <w:ind w:left="1440" w:hanging="360"/>
      </w:pPr>
      <w:rPr>
        <w:rFonts w:ascii="Arial" w:hAnsi="Arial" w:hint="default"/>
      </w:rPr>
    </w:lvl>
    <w:lvl w:ilvl="2" w:tplc="4264618A" w:tentative="1">
      <w:start w:val="1"/>
      <w:numFmt w:val="bullet"/>
      <w:lvlText w:val="•"/>
      <w:lvlJc w:val="left"/>
      <w:pPr>
        <w:tabs>
          <w:tab w:val="num" w:pos="2160"/>
        </w:tabs>
        <w:ind w:left="2160" w:hanging="360"/>
      </w:pPr>
      <w:rPr>
        <w:rFonts w:ascii="Arial" w:hAnsi="Arial" w:hint="default"/>
      </w:rPr>
    </w:lvl>
    <w:lvl w:ilvl="3" w:tplc="88687526" w:tentative="1">
      <w:start w:val="1"/>
      <w:numFmt w:val="bullet"/>
      <w:lvlText w:val="•"/>
      <w:lvlJc w:val="left"/>
      <w:pPr>
        <w:tabs>
          <w:tab w:val="num" w:pos="2880"/>
        </w:tabs>
        <w:ind w:left="2880" w:hanging="360"/>
      </w:pPr>
      <w:rPr>
        <w:rFonts w:ascii="Arial" w:hAnsi="Arial" w:hint="default"/>
      </w:rPr>
    </w:lvl>
    <w:lvl w:ilvl="4" w:tplc="9ACE5F32" w:tentative="1">
      <w:start w:val="1"/>
      <w:numFmt w:val="bullet"/>
      <w:lvlText w:val="•"/>
      <w:lvlJc w:val="left"/>
      <w:pPr>
        <w:tabs>
          <w:tab w:val="num" w:pos="3600"/>
        </w:tabs>
        <w:ind w:left="3600" w:hanging="360"/>
      </w:pPr>
      <w:rPr>
        <w:rFonts w:ascii="Arial" w:hAnsi="Arial" w:hint="default"/>
      </w:rPr>
    </w:lvl>
    <w:lvl w:ilvl="5" w:tplc="596E38F0" w:tentative="1">
      <w:start w:val="1"/>
      <w:numFmt w:val="bullet"/>
      <w:lvlText w:val="•"/>
      <w:lvlJc w:val="left"/>
      <w:pPr>
        <w:tabs>
          <w:tab w:val="num" w:pos="4320"/>
        </w:tabs>
        <w:ind w:left="4320" w:hanging="360"/>
      </w:pPr>
      <w:rPr>
        <w:rFonts w:ascii="Arial" w:hAnsi="Arial" w:hint="default"/>
      </w:rPr>
    </w:lvl>
    <w:lvl w:ilvl="6" w:tplc="E25EAA84" w:tentative="1">
      <w:start w:val="1"/>
      <w:numFmt w:val="bullet"/>
      <w:lvlText w:val="•"/>
      <w:lvlJc w:val="left"/>
      <w:pPr>
        <w:tabs>
          <w:tab w:val="num" w:pos="5040"/>
        </w:tabs>
        <w:ind w:left="5040" w:hanging="360"/>
      </w:pPr>
      <w:rPr>
        <w:rFonts w:ascii="Arial" w:hAnsi="Arial" w:hint="default"/>
      </w:rPr>
    </w:lvl>
    <w:lvl w:ilvl="7" w:tplc="FEE07352" w:tentative="1">
      <w:start w:val="1"/>
      <w:numFmt w:val="bullet"/>
      <w:lvlText w:val="•"/>
      <w:lvlJc w:val="left"/>
      <w:pPr>
        <w:tabs>
          <w:tab w:val="num" w:pos="5760"/>
        </w:tabs>
        <w:ind w:left="5760" w:hanging="360"/>
      </w:pPr>
      <w:rPr>
        <w:rFonts w:ascii="Arial" w:hAnsi="Arial" w:hint="default"/>
      </w:rPr>
    </w:lvl>
    <w:lvl w:ilvl="8" w:tplc="746A940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F64032"/>
    <w:multiLevelType w:val="hybridMultilevel"/>
    <w:tmpl w:val="0F08F7F8"/>
    <w:lvl w:ilvl="0" w:tplc="B16E79F0">
      <w:start w:val="1"/>
      <w:numFmt w:val="bullet"/>
      <w:lvlText w:val="o"/>
      <w:lvlJc w:val="left"/>
      <w:pPr>
        <w:ind w:left="720" w:hanging="360"/>
      </w:pPr>
      <w:rPr>
        <w:rFonts w:ascii="Courier New" w:hAnsi="Courier New" w:cs="Courier New"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FD65F2C"/>
    <w:multiLevelType w:val="hybridMultilevel"/>
    <w:tmpl w:val="ECE80044"/>
    <w:lvl w:ilvl="0" w:tplc="BCEE7A58">
      <w:start w:val="1"/>
      <w:numFmt w:val="bullet"/>
      <w:lvlText w:val=""/>
      <w:lvlPicBulletId w:val="0"/>
      <w:lvlJc w:val="left"/>
      <w:pPr>
        <w:ind w:left="360" w:hanging="360"/>
      </w:pPr>
      <w:rPr>
        <w:rFonts w:ascii="Symbol" w:hAnsi="Symbol" w:hint="default"/>
        <w:color w:val="auto"/>
      </w:rPr>
    </w:lvl>
    <w:lvl w:ilvl="1" w:tplc="B16E79F0">
      <w:start w:val="1"/>
      <w:numFmt w:val="bullet"/>
      <w:lvlText w:val="o"/>
      <w:lvlJc w:val="left"/>
      <w:pPr>
        <w:ind w:left="644" w:hanging="360"/>
      </w:pPr>
      <w:rPr>
        <w:rFonts w:ascii="Courier New" w:hAnsi="Courier New" w:cs="Courier New" w:hint="default"/>
        <w:sz w:val="18"/>
        <w:szCs w:val="18"/>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23D7C8F"/>
    <w:multiLevelType w:val="hybridMultilevel"/>
    <w:tmpl w:val="9DE6E894"/>
    <w:lvl w:ilvl="0" w:tplc="1D02554A">
      <w:start w:val="1"/>
      <w:numFmt w:val="bullet"/>
      <w:lvlText w:val="•"/>
      <w:lvlJc w:val="left"/>
      <w:pPr>
        <w:tabs>
          <w:tab w:val="num" w:pos="720"/>
        </w:tabs>
        <w:ind w:left="720" w:hanging="360"/>
      </w:pPr>
      <w:rPr>
        <w:rFonts w:ascii="Arial" w:hAnsi="Arial" w:hint="default"/>
      </w:rPr>
    </w:lvl>
    <w:lvl w:ilvl="1" w:tplc="65587D5E">
      <w:start w:val="1"/>
      <w:numFmt w:val="bullet"/>
      <w:lvlText w:val="•"/>
      <w:lvlJc w:val="left"/>
      <w:pPr>
        <w:tabs>
          <w:tab w:val="num" w:pos="1440"/>
        </w:tabs>
        <w:ind w:left="1440" w:hanging="360"/>
      </w:pPr>
      <w:rPr>
        <w:rFonts w:ascii="Arial" w:hAnsi="Arial" w:hint="default"/>
      </w:rPr>
    </w:lvl>
    <w:lvl w:ilvl="2" w:tplc="048E3670" w:tentative="1">
      <w:start w:val="1"/>
      <w:numFmt w:val="bullet"/>
      <w:lvlText w:val="•"/>
      <w:lvlJc w:val="left"/>
      <w:pPr>
        <w:tabs>
          <w:tab w:val="num" w:pos="2160"/>
        </w:tabs>
        <w:ind w:left="2160" w:hanging="360"/>
      </w:pPr>
      <w:rPr>
        <w:rFonts w:ascii="Arial" w:hAnsi="Arial" w:hint="default"/>
      </w:rPr>
    </w:lvl>
    <w:lvl w:ilvl="3" w:tplc="B89E19B6" w:tentative="1">
      <w:start w:val="1"/>
      <w:numFmt w:val="bullet"/>
      <w:lvlText w:val="•"/>
      <w:lvlJc w:val="left"/>
      <w:pPr>
        <w:tabs>
          <w:tab w:val="num" w:pos="2880"/>
        </w:tabs>
        <w:ind w:left="2880" w:hanging="360"/>
      </w:pPr>
      <w:rPr>
        <w:rFonts w:ascii="Arial" w:hAnsi="Arial" w:hint="default"/>
      </w:rPr>
    </w:lvl>
    <w:lvl w:ilvl="4" w:tplc="A190880E" w:tentative="1">
      <w:start w:val="1"/>
      <w:numFmt w:val="bullet"/>
      <w:lvlText w:val="•"/>
      <w:lvlJc w:val="left"/>
      <w:pPr>
        <w:tabs>
          <w:tab w:val="num" w:pos="3600"/>
        </w:tabs>
        <w:ind w:left="3600" w:hanging="360"/>
      </w:pPr>
      <w:rPr>
        <w:rFonts w:ascii="Arial" w:hAnsi="Arial" w:hint="default"/>
      </w:rPr>
    </w:lvl>
    <w:lvl w:ilvl="5" w:tplc="FA6C9E24" w:tentative="1">
      <w:start w:val="1"/>
      <w:numFmt w:val="bullet"/>
      <w:lvlText w:val="•"/>
      <w:lvlJc w:val="left"/>
      <w:pPr>
        <w:tabs>
          <w:tab w:val="num" w:pos="4320"/>
        </w:tabs>
        <w:ind w:left="4320" w:hanging="360"/>
      </w:pPr>
      <w:rPr>
        <w:rFonts w:ascii="Arial" w:hAnsi="Arial" w:hint="default"/>
      </w:rPr>
    </w:lvl>
    <w:lvl w:ilvl="6" w:tplc="31DAFC94" w:tentative="1">
      <w:start w:val="1"/>
      <w:numFmt w:val="bullet"/>
      <w:lvlText w:val="•"/>
      <w:lvlJc w:val="left"/>
      <w:pPr>
        <w:tabs>
          <w:tab w:val="num" w:pos="5040"/>
        </w:tabs>
        <w:ind w:left="5040" w:hanging="360"/>
      </w:pPr>
      <w:rPr>
        <w:rFonts w:ascii="Arial" w:hAnsi="Arial" w:hint="default"/>
      </w:rPr>
    </w:lvl>
    <w:lvl w:ilvl="7" w:tplc="81B231A2" w:tentative="1">
      <w:start w:val="1"/>
      <w:numFmt w:val="bullet"/>
      <w:lvlText w:val="•"/>
      <w:lvlJc w:val="left"/>
      <w:pPr>
        <w:tabs>
          <w:tab w:val="num" w:pos="5760"/>
        </w:tabs>
        <w:ind w:left="5760" w:hanging="360"/>
      </w:pPr>
      <w:rPr>
        <w:rFonts w:ascii="Arial" w:hAnsi="Arial" w:hint="default"/>
      </w:rPr>
    </w:lvl>
    <w:lvl w:ilvl="8" w:tplc="669265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495E9E"/>
    <w:multiLevelType w:val="hybridMultilevel"/>
    <w:tmpl w:val="3CE0B506"/>
    <w:lvl w:ilvl="0" w:tplc="B16E79F0">
      <w:start w:val="1"/>
      <w:numFmt w:val="bullet"/>
      <w:lvlText w:val="o"/>
      <w:lvlJc w:val="left"/>
      <w:pPr>
        <w:ind w:left="720" w:hanging="360"/>
      </w:pPr>
      <w:rPr>
        <w:rFonts w:ascii="Courier New" w:hAnsi="Courier New" w:cs="Courier New"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85D7BBD"/>
    <w:multiLevelType w:val="hybridMultilevel"/>
    <w:tmpl w:val="8E84CBEE"/>
    <w:lvl w:ilvl="0" w:tplc="21341AFE">
      <w:start w:val="1"/>
      <w:numFmt w:val="bullet"/>
      <w:lvlText w:val="•"/>
      <w:lvlJc w:val="left"/>
      <w:pPr>
        <w:tabs>
          <w:tab w:val="num" w:pos="720"/>
        </w:tabs>
        <w:ind w:left="720" w:hanging="360"/>
      </w:pPr>
      <w:rPr>
        <w:rFonts w:ascii="Arial" w:hAnsi="Arial" w:hint="default"/>
      </w:rPr>
    </w:lvl>
    <w:lvl w:ilvl="1" w:tplc="D88648A6">
      <w:start w:val="1"/>
      <w:numFmt w:val="bullet"/>
      <w:lvlText w:val="•"/>
      <w:lvlJc w:val="left"/>
      <w:pPr>
        <w:tabs>
          <w:tab w:val="num" w:pos="1440"/>
        </w:tabs>
        <w:ind w:left="1440" w:hanging="360"/>
      </w:pPr>
      <w:rPr>
        <w:rFonts w:ascii="Arial" w:hAnsi="Arial" w:hint="default"/>
      </w:rPr>
    </w:lvl>
    <w:lvl w:ilvl="2" w:tplc="6532C9D0" w:tentative="1">
      <w:start w:val="1"/>
      <w:numFmt w:val="bullet"/>
      <w:lvlText w:val="•"/>
      <w:lvlJc w:val="left"/>
      <w:pPr>
        <w:tabs>
          <w:tab w:val="num" w:pos="2160"/>
        </w:tabs>
        <w:ind w:left="2160" w:hanging="360"/>
      </w:pPr>
      <w:rPr>
        <w:rFonts w:ascii="Arial" w:hAnsi="Arial" w:hint="default"/>
      </w:rPr>
    </w:lvl>
    <w:lvl w:ilvl="3" w:tplc="EF88E52E" w:tentative="1">
      <w:start w:val="1"/>
      <w:numFmt w:val="bullet"/>
      <w:lvlText w:val="•"/>
      <w:lvlJc w:val="left"/>
      <w:pPr>
        <w:tabs>
          <w:tab w:val="num" w:pos="2880"/>
        </w:tabs>
        <w:ind w:left="2880" w:hanging="360"/>
      </w:pPr>
      <w:rPr>
        <w:rFonts w:ascii="Arial" w:hAnsi="Arial" w:hint="default"/>
      </w:rPr>
    </w:lvl>
    <w:lvl w:ilvl="4" w:tplc="DCE6F188" w:tentative="1">
      <w:start w:val="1"/>
      <w:numFmt w:val="bullet"/>
      <w:lvlText w:val="•"/>
      <w:lvlJc w:val="left"/>
      <w:pPr>
        <w:tabs>
          <w:tab w:val="num" w:pos="3600"/>
        </w:tabs>
        <w:ind w:left="3600" w:hanging="360"/>
      </w:pPr>
      <w:rPr>
        <w:rFonts w:ascii="Arial" w:hAnsi="Arial" w:hint="default"/>
      </w:rPr>
    </w:lvl>
    <w:lvl w:ilvl="5" w:tplc="A52E434C" w:tentative="1">
      <w:start w:val="1"/>
      <w:numFmt w:val="bullet"/>
      <w:lvlText w:val="•"/>
      <w:lvlJc w:val="left"/>
      <w:pPr>
        <w:tabs>
          <w:tab w:val="num" w:pos="4320"/>
        </w:tabs>
        <w:ind w:left="4320" w:hanging="360"/>
      </w:pPr>
      <w:rPr>
        <w:rFonts w:ascii="Arial" w:hAnsi="Arial" w:hint="default"/>
      </w:rPr>
    </w:lvl>
    <w:lvl w:ilvl="6" w:tplc="281C0AF6" w:tentative="1">
      <w:start w:val="1"/>
      <w:numFmt w:val="bullet"/>
      <w:lvlText w:val="•"/>
      <w:lvlJc w:val="left"/>
      <w:pPr>
        <w:tabs>
          <w:tab w:val="num" w:pos="5040"/>
        </w:tabs>
        <w:ind w:left="5040" w:hanging="360"/>
      </w:pPr>
      <w:rPr>
        <w:rFonts w:ascii="Arial" w:hAnsi="Arial" w:hint="default"/>
      </w:rPr>
    </w:lvl>
    <w:lvl w:ilvl="7" w:tplc="E3DABD82" w:tentative="1">
      <w:start w:val="1"/>
      <w:numFmt w:val="bullet"/>
      <w:lvlText w:val="•"/>
      <w:lvlJc w:val="left"/>
      <w:pPr>
        <w:tabs>
          <w:tab w:val="num" w:pos="5760"/>
        </w:tabs>
        <w:ind w:left="5760" w:hanging="360"/>
      </w:pPr>
      <w:rPr>
        <w:rFonts w:ascii="Arial" w:hAnsi="Arial" w:hint="default"/>
      </w:rPr>
    </w:lvl>
    <w:lvl w:ilvl="8" w:tplc="CB9E05D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7A3FA4"/>
    <w:multiLevelType w:val="hybridMultilevel"/>
    <w:tmpl w:val="5D10B220"/>
    <w:lvl w:ilvl="0" w:tplc="1DC4642C">
      <w:start w:val="1"/>
      <w:numFmt w:val="bullet"/>
      <w:lvlText w:val="•"/>
      <w:lvlJc w:val="left"/>
      <w:pPr>
        <w:tabs>
          <w:tab w:val="num" w:pos="720"/>
        </w:tabs>
        <w:ind w:left="720" w:hanging="360"/>
      </w:pPr>
      <w:rPr>
        <w:rFonts w:ascii="Arial" w:hAnsi="Arial" w:hint="default"/>
      </w:rPr>
    </w:lvl>
    <w:lvl w:ilvl="1" w:tplc="56D45D92" w:tentative="1">
      <w:start w:val="1"/>
      <w:numFmt w:val="bullet"/>
      <w:lvlText w:val="•"/>
      <w:lvlJc w:val="left"/>
      <w:pPr>
        <w:tabs>
          <w:tab w:val="num" w:pos="1440"/>
        </w:tabs>
        <w:ind w:left="1440" w:hanging="360"/>
      </w:pPr>
      <w:rPr>
        <w:rFonts w:ascii="Arial" w:hAnsi="Arial" w:hint="default"/>
      </w:rPr>
    </w:lvl>
    <w:lvl w:ilvl="2" w:tplc="47948860" w:tentative="1">
      <w:start w:val="1"/>
      <w:numFmt w:val="bullet"/>
      <w:lvlText w:val="•"/>
      <w:lvlJc w:val="left"/>
      <w:pPr>
        <w:tabs>
          <w:tab w:val="num" w:pos="2160"/>
        </w:tabs>
        <w:ind w:left="2160" w:hanging="360"/>
      </w:pPr>
      <w:rPr>
        <w:rFonts w:ascii="Arial" w:hAnsi="Arial" w:hint="default"/>
      </w:rPr>
    </w:lvl>
    <w:lvl w:ilvl="3" w:tplc="47A84E50">
      <w:start w:val="1"/>
      <w:numFmt w:val="bullet"/>
      <w:lvlText w:val="•"/>
      <w:lvlJc w:val="left"/>
      <w:pPr>
        <w:tabs>
          <w:tab w:val="num" w:pos="2880"/>
        </w:tabs>
        <w:ind w:left="2880" w:hanging="360"/>
      </w:pPr>
      <w:rPr>
        <w:rFonts w:ascii="Arial" w:hAnsi="Arial" w:hint="default"/>
      </w:rPr>
    </w:lvl>
    <w:lvl w:ilvl="4" w:tplc="DA6CF9EC" w:tentative="1">
      <w:start w:val="1"/>
      <w:numFmt w:val="bullet"/>
      <w:lvlText w:val="•"/>
      <w:lvlJc w:val="left"/>
      <w:pPr>
        <w:tabs>
          <w:tab w:val="num" w:pos="3600"/>
        </w:tabs>
        <w:ind w:left="3600" w:hanging="360"/>
      </w:pPr>
      <w:rPr>
        <w:rFonts w:ascii="Arial" w:hAnsi="Arial" w:hint="default"/>
      </w:rPr>
    </w:lvl>
    <w:lvl w:ilvl="5" w:tplc="6DEEA9D6" w:tentative="1">
      <w:start w:val="1"/>
      <w:numFmt w:val="bullet"/>
      <w:lvlText w:val="•"/>
      <w:lvlJc w:val="left"/>
      <w:pPr>
        <w:tabs>
          <w:tab w:val="num" w:pos="4320"/>
        </w:tabs>
        <w:ind w:left="4320" w:hanging="360"/>
      </w:pPr>
      <w:rPr>
        <w:rFonts w:ascii="Arial" w:hAnsi="Arial" w:hint="default"/>
      </w:rPr>
    </w:lvl>
    <w:lvl w:ilvl="6" w:tplc="2B40AD1C" w:tentative="1">
      <w:start w:val="1"/>
      <w:numFmt w:val="bullet"/>
      <w:lvlText w:val="•"/>
      <w:lvlJc w:val="left"/>
      <w:pPr>
        <w:tabs>
          <w:tab w:val="num" w:pos="5040"/>
        </w:tabs>
        <w:ind w:left="5040" w:hanging="360"/>
      </w:pPr>
      <w:rPr>
        <w:rFonts w:ascii="Arial" w:hAnsi="Arial" w:hint="default"/>
      </w:rPr>
    </w:lvl>
    <w:lvl w:ilvl="7" w:tplc="9B8CF764" w:tentative="1">
      <w:start w:val="1"/>
      <w:numFmt w:val="bullet"/>
      <w:lvlText w:val="•"/>
      <w:lvlJc w:val="left"/>
      <w:pPr>
        <w:tabs>
          <w:tab w:val="num" w:pos="5760"/>
        </w:tabs>
        <w:ind w:left="5760" w:hanging="360"/>
      </w:pPr>
      <w:rPr>
        <w:rFonts w:ascii="Arial" w:hAnsi="Arial" w:hint="default"/>
      </w:rPr>
    </w:lvl>
    <w:lvl w:ilvl="8" w:tplc="5AC6AFD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A408D5"/>
    <w:multiLevelType w:val="hybridMultilevel"/>
    <w:tmpl w:val="418033D6"/>
    <w:lvl w:ilvl="0" w:tplc="AD3C6BA6">
      <w:numFmt w:val="bullet"/>
      <w:lvlText w:val=""/>
      <w:lvlJc w:val="left"/>
      <w:pPr>
        <w:ind w:left="1080" w:hanging="720"/>
      </w:pPr>
      <w:rPr>
        <w:rFonts w:ascii="Symbol" w:eastAsia="Calibr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E186890"/>
    <w:multiLevelType w:val="hybridMultilevel"/>
    <w:tmpl w:val="A10E4270"/>
    <w:lvl w:ilvl="0" w:tplc="2C0A0998">
      <w:start w:val="1"/>
      <w:numFmt w:val="lowerLetter"/>
      <w:lvlText w:val="%1)"/>
      <w:lvlJc w:val="left"/>
      <w:pPr>
        <w:ind w:left="360" w:hanging="360"/>
      </w:pPr>
      <w:rPr>
        <w:rFonts w:hint="default"/>
      </w:rPr>
    </w:lvl>
    <w:lvl w:ilvl="1" w:tplc="77BE2CB2">
      <w:start w:val="1"/>
      <w:numFmt w:val="bullet"/>
      <w:lvlText w:val="o"/>
      <w:lvlJc w:val="left"/>
      <w:pPr>
        <w:ind w:left="1080" w:hanging="360"/>
      </w:pPr>
      <w:rPr>
        <w:rFonts w:ascii="Courier New" w:hAnsi="Courier New" w:cs="Courier New" w:hint="default"/>
      </w:rPr>
    </w:lvl>
    <w:lvl w:ilvl="2" w:tplc="FC3E7F34">
      <w:start w:val="1"/>
      <w:numFmt w:val="bullet"/>
      <w:lvlText w:val=""/>
      <w:lvlJc w:val="left"/>
      <w:pPr>
        <w:ind w:left="1800" w:hanging="360"/>
      </w:pPr>
      <w:rPr>
        <w:rFonts w:ascii="Wingdings" w:hAnsi="Wingdings" w:hint="default"/>
      </w:rPr>
    </w:lvl>
    <w:lvl w:ilvl="3" w:tplc="825A1678">
      <w:start w:val="1"/>
      <w:numFmt w:val="bullet"/>
      <w:lvlText w:val=""/>
      <w:lvlJc w:val="left"/>
      <w:pPr>
        <w:ind w:left="2520" w:hanging="360"/>
      </w:pPr>
      <w:rPr>
        <w:rFonts w:ascii="Symbol" w:hAnsi="Symbol" w:hint="default"/>
      </w:rPr>
    </w:lvl>
    <w:lvl w:ilvl="4" w:tplc="37AC2590">
      <w:start w:val="1"/>
      <w:numFmt w:val="bullet"/>
      <w:lvlText w:val="o"/>
      <w:lvlJc w:val="left"/>
      <w:pPr>
        <w:ind w:left="3240" w:hanging="360"/>
      </w:pPr>
      <w:rPr>
        <w:rFonts w:ascii="Courier New" w:hAnsi="Courier New" w:cs="Courier New" w:hint="default"/>
      </w:rPr>
    </w:lvl>
    <w:lvl w:ilvl="5" w:tplc="8ED4C15C">
      <w:start w:val="1"/>
      <w:numFmt w:val="bullet"/>
      <w:lvlText w:val=""/>
      <w:lvlJc w:val="left"/>
      <w:pPr>
        <w:ind w:left="3960" w:hanging="360"/>
      </w:pPr>
      <w:rPr>
        <w:rFonts w:ascii="Wingdings" w:hAnsi="Wingdings" w:hint="default"/>
      </w:rPr>
    </w:lvl>
    <w:lvl w:ilvl="6" w:tplc="95649FF8">
      <w:start w:val="1"/>
      <w:numFmt w:val="bullet"/>
      <w:lvlText w:val=""/>
      <w:lvlJc w:val="left"/>
      <w:pPr>
        <w:ind w:left="4680" w:hanging="360"/>
      </w:pPr>
      <w:rPr>
        <w:rFonts w:ascii="Symbol" w:hAnsi="Symbol" w:hint="default"/>
      </w:rPr>
    </w:lvl>
    <w:lvl w:ilvl="7" w:tplc="846EDDA0">
      <w:start w:val="1"/>
      <w:numFmt w:val="bullet"/>
      <w:lvlText w:val="o"/>
      <w:lvlJc w:val="left"/>
      <w:pPr>
        <w:ind w:left="5400" w:hanging="360"/>
      </w:pPr>
      <w:rPr>
        <w:rFonts w:ascii="Courier New" w:hAnsi="Courier New" w:cs="Courier New" w:hint="default"/>
      </w:rPr>
    </w:lvl>
    <w:lvl w:ilvl="8" w:tplc="F5E6073A">
      <w:start w:val="1"/>
      <w:numFmt w:val="bullet"/>
      <w:lvlText w:val=""/>
      <w:lvlJc w:val="left"/>
      <w:pPr>
        <w:ind w:left="6120" w:hanging="360"/>
      </w:pPr>
      <w:rPr>
        <w:rFonts w:ascii="Wingdings" w:hAnsi="Wingdings" w:hint="default"/>
      </w:rPr>
    </w:lvl>
  </w:abstractNum>
  <w:abstractNum w:abstractNumId="23" w15:restartNumberingAfterBreak="0">
    <w:nsid w:val="3E186891"/>
    <w:multiLevelType w:val="hybridMultilevel"/>
    <w:tmpl w:val="C26A0A5A"/>
    <w:lvl w:ilvl="0" w:tplc="6C78A2DC">
      <w:start w:val="1"/>
      <w:numFmt w:val="bullet"/>
      <w:lvlText w:val=""/>
      <w:lvlJc w:val="left"/>
      <w:pPr>
        <w:ind w:left="360" w:hanging="360"/>
      </w:pPr>
      <w:rPr>
        <w:rFonts w:ascii="Symbol" w:hAnsi="Symbol" w:hint="default"/>
        <w:color w:val="auto"/>
        <w:sz w:val="18"/>
        <w:szCs w:val="18"/>
      </w:rPr>
    </w:lvl>
    <w:lvl w:ilvl="1" w:tplc="3FA066C2" w:tentative="1">
      <w:start w:val="1"/>
      <w:numFmt w:val="bullet"/>
      <w:lvlText w:val="o"/>
      <w:lvlJc w:val="left"/>
      <w:pPr>
        <w:ind w:left="1080" w:hanging="360"/>
      </w:pPr>
      <w:rPr>
        <w:rFonts w:ascii="Courier New" w:hAnsi="Courier New" w:cs="Courier New" w:hint="default"/>
      </w:rPr>
    </w:lvl>
    <w:lvl w:ilvl="2" w:tplc="A90CCA78" w:tentative="1">
      <w:start w:val="1"/>
      <w:numFmt w:val="bullet"/>
      <w:lvlText w:val=""/>
      <w:lvlJc w:val="left"/>
      <w:pPr>
        <w:ind w:left="1800" w:hanging="360"/>
      </w:pPr>
      <w:rPr>
        <w:rFonts w:ascii="Wingdings" w:hAnsi="Wingdings" w:hint="default"/>
      </w:rPr>
    </w:lvl>
    <w:lvl w:ilvl="3" w:tplc="1C2C2A58" w:tentative="1">
      <w:start w:val="1"/>
      <w:numFmt w:val="bullet"/>
      <w:lvlText w:val=""/>
      <w:lvlJc w:val="left"/>
      <w:pPr>
        <w:ind w:left="2520" w:hanging="360"/>
      </w:pPr>
      <w:rPr>
        <w:rFonts w:ascii="Symbol" w:hAnsi="Symbol" w:hint="default"/>
      </w:rPr>
    </w:lvl>
    <w:lvl w:ilvl="4" w:tplc="EA6E0276" w:tentative="1">
      <w:start w:val="1"/>
      <w:numFmt w:val="bullet"/>
      <w:lvlText w:val="o"/>
      <w:lvlJc w:val="left"/>
      <w:pPr>
        <w:ind w:left="3240" w:hanging="360"/>
      </w:pPr>
      <w:rPr>
        <w:rFonts w:ascii="Courier New" w:hAnsi="Courier New" w:cs="Courier New" w:hint="default"/>
      </w:rPr>
    </w:lvl>
    <w:lvl w:ilvl="5" w:tplc="D81E809A" w:tentative="1">
      <w:start w:val="1"/>
      <w:numFmt w:val="bullet"/>
      <w:lvlText w:val=""/>
      <w:lvlJc w:val="left"/>
      <w:pPr>
        <w:ind w:left="3960" w:hanging="360"/>
      </w:pPr>
      <w:rPr>
        <w:rFonts w:ascii="Wingdings" w:hAnsi="Wingdings" w:hint="default"/>
      </w:rPr>
    </w:lvl>
    <w:lvl w:ilvl="6" w:tplc="1CA0865E" w:tentative="1">
      <w:start w:val="1"/>
      <w:numFmt w:val="bullet"/>
      <w:lvlText w:val=""/>
      <w:lvlJc w:val="left"/>
      <w:pPr>
        <w:ind w:left="4680" w:hanging="360"/>
      </w:pPr>
      <w:rPr>
        <w:rFonts w:ascii="Symbol" w:hAnsi="Symbol" w:hint="default"/>
      </w:rPr>
    </w:lvl>
    <w:lvl w:ilvl="7" w:tplc="65366370" w:tentative="1">
      <w:start w:val="1"/>
      <w:numFmt w:val="bullet"/>
      <w:lvlText w:val="o"/>
      <w:lvlJc w:val="left"/>
      <w:pPr>
        <w:ind w:left="5400" w:hanging="360"/>
      </w:pPr>
      <w:rPr>
        <w:rFonts w:ascii="Courier New" w:hAnsi="Courier New" w:cs="Courier New" w:hint="default"/>
      </w:rPr>
    </w:lvl>
    <w:lvl w:ilvl="8" w:tplc="4222A77C" w:tentative="1">
      <w:start w:val="1"/>
      <w:numFmt w:val="bullet"/>
      <w:lvlText w:val=""/>
      <w:lvlJc w:val="left"/>
      <w:pPr>
        <w:ind w:left="6120" w:hanging="360"/>
      </w:pPr>
      <w:rPr>
        <w:rFonts w:ascii="Wingdings" w:hAnsi="Wingdings" w:hint="default"/>
      </w:rPr>
    </w:lvl>
  </w:abstractNum>
  <w:abstractNum w:abstractNumId="24" w15:restartNumberingAfterBreak="0">
    <w:nsid w:val="3E186893"/>
    <w:multiLevelType w:val="hybridMultilevel"/>
    <w:tmpl w:val="AA306A42"/>
    <w:lvl w:ilvl="0" w:tplc="D3982C74">
      <w:start w:val="1"/>
      <w:numFmt w:val="bullet"/>
      <w:lvlText w:val=""/>
      <w:lvlJc w:val="left"/>
      <w:pPr>
        <w:ind w:left="1077" w:hanging="360"/>
      </w:pPr>
      <w:rPr>
        <w:rFonts w:ascii="Symbol" w:hAnsi="Symbol" w:hint="default"/>
      </w:rPr>
    </w:lvl>
    <w:lvl w:ilvl="1" w:tplc="C5AC0326">
      <w:start w:val="1"/>
      <w:numFmt w:val="bullet"/>
      <w:lvlText w:val="o"/>
      <w:lvlJc w:val="left"/>
      <w:pPr>
        <w:ind w:left="1797" w:hanging="360"/>
      </w:pPr>
      <w:rPr>
        <w:rFonts w:ascii="Courier New" w:hAnsi="Courier New" w:cs="Courier New" w:hint="default"/>
      </w:rPr>
    </w:lvl>
    <w:lvl w:ilvl="2" w:tplc="3634DF88">
      <w:start w:val="1"/>
      <w:numFmt w:val="bullet"/>
      <w:lvlText w:val=""/>
      <w:lvlJc w:val="left"/>
      <w:pPr>
        <w:ind w:left="2517" w:hanging="360"/>
      </w:pPr>
      <w:rPr>
        <w:rFonts w:ascii="Wingdings" w:hAnsi="Wingdings" w:hint="default"/>
      </w:rPr>
    </w:lvl>
    <w:lvl w:ilvl="3" w:tplc="0910186A">
      <w:start w:val="1"/>
      <w:numFmt w:val="bullet"/>
      <w:lvlText w:val=""/>
      <w:lvlJc w:val="left"/>
      <w:pPr>
        <w:ind w:left="3237" w:hanging="360"/>
      </w:pPr>
      <w:rPr>
        <w:rFonts w:ascii="Symbol" w:hAnsi="Symbol" w:hint="default"/>
      </w:rPr>
    </w:lvl>
    <w:lvl w:ilvl="4" w:tplc="098ECB34">
      <w:start w:val="1"/>
      <w:numFmt w:val="bullet"/>
      <w:lvlText w:val="o"/>
      <w:lvlJc w:val="left"/>
      <w:pPr>
        <w:ind w:left="3957" w:hanging="360"/>
      </w:pPr>
      <w:rPr>
        <w:rFonts w:ascii="Courier New" w:hAnsi="Courier New" w:cs="Courier New" w:hint="default"/>
      </w:rPr>
    </w:lvl>
    <w:lvl w:ilvl="5" w:tplc="3452969A">
      <w:start w:val="1"/>
      <w:numFmt w:val="bullet"/>
      <w:lvlText w:val=""/>
      <w:lvlJc w:val="left"/>
      <w:pPr>
        <w:ind w:left="4677" w:hanging="360"/>
      </w:pPr>
      <w:rPr>
        <w:rFonts w:ascii="Wingdings" w:hAnsi="Wingdings" w:hint="default"/>
      </w:rPr>
    </w:lvl>
    <w:lvl w:ilvl="6" w:tplc="16D2B84A">
      <w:start w:val="1"/>
      <w:numFmt w:val="bullet"/>
      <w:lvlText w:val=""/>
      <w:lvlJc w:val="left"/>
      <w:pPr>
        <w:ind w:left="5397" w:hanging="360"/>
      </w:pPr>
      <w:rPr>
        <w:rFonts w:ascii="Symbol" w:hAnsi="Symbol" w:hint="default"/>
      </w:rPr>
    </w:lvl>
    <w:lvl w:ilvl="7" w:tplc="98C658BA">
      <w:start w:val="1"/>
      <w:numFmt w:val="bullet"/>
      <w:lvlText w:val="o"/>
      <w:lvlJc w:val="left"/>
      <w:pPr>
        <w:ind w:left="6117" w:hanging="360"/>
      </w:pPr>
      <w:rPr>
        <w:rFonts w:ascii="Courier New" w:hAnsi="Courier New" w:cs="Courier New" w:hint="default"/>
      </w:rPr>
    </w:lvl>
    <w:lvl w:ilvl="8" w:tplc="2896906C">
      <w:start w:val="1"/>
      <w:numFmt w:val="bullet"/>
      <w:lvlText w:val=""/>
      <w:lvlJc w:val="left"/>
      <w:pPr>
        <w:ind w:left="6837" w:hanging="360"/>
      </w:pPr>
      <w:rPr>
        <w:rFonts w:ascii="Wingdings" w:hAnsi="Wingdings" w:hint="default"/>
      </w:rPr>
    </w:lvl>
  </w:abstractNum>
  <w:abstractNum w:abstractNumId="25" w15:restartNumberingAfterBreak="0">
    <w:nsid w:val="3E18689A"/>
    <w:multiLevelType w:val="multilevel"/>
    <w:tmpl w:val="32F66D5A"/>
    <w:lvl w:ilvl="0">
      <w:start w:val="1"/>
      <w:numFmt w:val="bullet"/>
      <w:pStyle w:val="Bullet1"/>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ᴼ"/>
      <w:lvlJc w:val="left"/>
      <w:pPr>
        <w:tabs>
          <w:tab w:val="num" w:pos="720"/>
        </w:tabs>
        <w:ind w:left="1440" w:hanging="720"/>
      </w:pPr>
      <w:rPr>
        <w:rFonts w:ascii="Tahoma" w:hAnsi="Tahoma" w:cs="Times New Roman" w:hint="default"/>
        <w:color w:val="auto"/>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3F0600B7"/>
    <w:multiLevelType w:val="hybridMultilevel"/>
    <w:tmpl w:val="D4AC5E2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3F6D712A"/>
    <w:multiLevelType w:val="hybridMultilevel"/>
    <w:tmpl w:val="391C3156"/>
    <w:lvl w:ilvl="0" w:tplc="167629E2">
      <w:start w:val="1"/>
      <w:numFmt w:val="bullet"/>
      <w:lvlText w:val="•"/>
      <w:lvlJc w:val="left"/>
      <w:pPr>
        <w:tabs>
          <w:tab w:val="num" w:pos="720"/>
        </w:tabs>
        <w:ind w:left="720" w:hanging="360"/>
      </w:pPr>
      <w:rPr>
        <w:rFonts w:ascii="Arial" w:hAnsi="Arial" w:hint="default"/>
      </w:rPr>
    </w:lvl>
    <w:lvl w:ilvl="1" w:tplc="44F4A4E0">
      <w:start w:val="1"/>
      <w:numFmt w:val="bullet"/>
      <w:lvlText w:val="•"/>
      <w:lvlJc w:val="left"/>
      <w:pPr>
        <w:tabs>
          <w:tab w:val="num" w:pos="1440"/>
        </w:tabs>
        <w:ind w:left="1440" w:hanging="360"/>
      </w:pPr>
      <w:rPr>
        <w:rFonts w:ascii="Arial" w:hAnsi="Arial" w:hint="default"/>
      </w:rPr>
    </w:lvl>
    <w:lvl w:ilvl="2" w:tplc="D1924A38" w:tentative="1">
      <w:start w:val="1"/>
      <w:numFmt w:val="bullet"/>
      <w:lvlText w:val="•"/>
      <w:lvlJc w:val="left"/>
      <w:pPr>
        <w:tabs>
          <w:tab w:val="num" w:pos="2160"/>
        </w:tabs>
        <w:ind w:left="2160" w:hanging="360"/>
      </w:pPr>
      <w:rPr>
        <w:rFonts w:ascii="Arial" w:hAnsi="Arial" w:hint="default"/>
      </w:rPr>
    </w:lvl>
    <w:lvl w:ilvl="3" w:tplc="B7386ACE" w:tentative="1">
      <w:start w:val="1"/>
      <w:numFmt w:val="bullet"/>
      <w:lvlText w:val="•"/>
      <w:lvlJc w:val="left"/>
      <w:pPr>
        <w:tabs>
          <w:tab w:val="num" w:pos="2880"/>
        </w:tabs>
        <w:ind w:left="2880" w:hanging="360"/>
      </w:pPr>
      <w:rPr>
        <w:rFonts w:ascii="Arial" w:hAnsi="Arial" w:hint="default"/>
      </w:rPr>
    </w:lvl>
    <w:lvl w:ilvl="4" w:tplc="C92C2068" w:tentative="1">
      <w:start w:val="1"/>
      <w:numFmt w:val="bullet"/>
      <w:lvlText w:val="•"/>
      <w:lvlJc w:val="left"/>
      <w:pPr>
        <w:tabs>
          <w:tab w:val="num" w:pos="3600"/>
        </w:tabs>
        <w:ind w:left="3600" w:hanging="360"/>
      </w:pPr>
      <w:rPr>
        <w:rFonts w:ascii="Arial" w:hAnsi="Arial" w:hint="default"/>
      </w:rPr>
    </w:lvl>
    <w:lvl w:ilvl="5" w:tplc="C0284486" w:tentative="1">
      <w:start w:val="1"/>
      <w:numFmt w:val="bullet"/>
      <w:lvlText w:val="•"/>
      <w:lvlJc w:val="left"/>
      <w:pPr>
        <w:tabs>
          <w:tab w:val="num" w:pos="4320"/>
        </w:tabs>
        <w:ind w:left="4320" w:hanging="360"/>
      </w:pPr>
      <w:rPr>
        <w:rFonts w:ascii="Arial" w:hAnsi="Arial" w:hint="default"/>
      </w:rPr>
    </w:lvl>
    <w:lvl w:ilvl="6" w:tplc="2F0C4EEA" w:tentative="1">
      <w:start w:val="1"/>
      <w:numFmt w:val="bullet"/>
      <w:lvlText w:val="•"/>
      <w:lvlJc w:val="left"/>
      <w:pPr>
        <w:tabs>
          <w:tab w:val="num" w:pos="5040"/>
        </w:tabs>
        <w:ind w:left="5040" w:hanging="360"/>
      </w:pPr>
      <w:rPr>
        <w:rFonts w:ascii="Arial" w:hAnsi="Arial" w:hint="default"/>
      </w:rPr>
    </w:lvl>
    <w:lvl w:ilvl="7" w:tplc="E98AD01C" w:tentative="1">
      <w:start w:val="1"/>
      <w:numFmt w:val="bullet"/>
      <w:lvlText w:val="•"/>
      <w:lvlJc w:val="left"/>
      <w:pPr>
        <w:tabs>
          <w:tab w:val="num" w:pos="5760"/>
        </w:tabs>
        <w:ind w:left="5760" w:hanging="360"/>
      </w:pPr>
      <w:rPr>
        <w:rFonts w:ascii="Arial" w:hAnsi="Arial" w:hint="default"/>
      </w:rPr>
    </w:lvl>
    <w:lvl w:ilvl="8" w:tplc="56BAA1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1EF4019"/>
    <w:multiLevelType w:val="hybridMultilevel"/>
    <w:tmpl w:val="D93A3E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46C95BDB"/>
    <w:multiLevelType w:val="hybridMultilevel"/>
    <w:tmpl w:val="5B9E15BE"/>
    <w:lvl w:ilvl="0" w:tplc="8DD2181C">
      <w:start w:val="1"/>
      <w:numFmt w:val="bullet"/>
      <w:lvlText w:val="•"/>
      <w:lvlJc w:val="left"/>
      <w:pPr>
        <w:tabs>
          <w:tab w:val="num" w:pos="720"/>
        </w:tabs>
        <w:ind w:left="720" w:hanging="360"/>
      </w:pPr>
      <w:rPr>
        <w:rFonts w:ascii="Arial" w:hAnsi="Arial" w:hint="default"/>
      </w:rPr>
    </w:lvl>
    <w:lvl w:ilvl="1" w:tplc="6016AE76">
      <w:start w:val="1"/>
      <w:numFmt w:val="bullet"/>
      <w:lvlText w:val="•"/>
      <w:lvlJc w:val="left"/>
      <w:pPr>
        <w:tabs>
          <w:tab w:val="num" w:pos="1440"/>
        </w:tabs>
        <w:ind w:left="1440" w:hanging="360"/>
      </w:pPr>
      <w:rPr>
        <w:rFonts w:ascii="Arial" w:hAnsi="Arial" w:hint="default"/>
      </w:rPr>
    </w:lvl>
    <w:lvl w:ilvl="2" w:tplc="78303BE2" w:tentative="1">
      <w:start w:val="1"/>
      <w:numFmt w:val="bullet"/>
      <w:lvlText w:val="•"/>
      <w:lvlJc w:val="left"/>
      <w:pPr>
        <w:tabs>
          <w:tab w:val="num" w:pos="2160"/>
        </w:tabs>
        <w:ind w:left="2160" w:hanging="360"/>
      </w:pPr>
      <w:rPr>
        <w:rFonts w:ascii="Arial" w:hAnsi="Arial" w:hint="default"/>
      </w:rPr>
    </w:lvl>
    <w:lvl w:ilvl="3" w:tplc="B74ED2D0" w:tentative="1">
      <w:start w:val="1"/>
      <w:numFmt w:val="bullet"/>
      <w:lvlText w:val="•"/>
      <w:lvlJc w:val="left"/>
      <w:pPr>
        <w:tabs>
          <w:tab w:val="num" w:pos="2880"/>
        </w:tabs>
        <w:ind w:left="2880" w:hanging="360"/>
      </w:pPr>
      <w:rPr>
        <w:rFonts w:ascii="Arial" w:hAnsi="Arial" w:hint="default"/>
      </w:rPr>
    </w:lvl>
    <w:lvl w:ilvl="4" w:tplc="03DC60A0" w:tentative="1">
      <w:start w:val="1"/>
      <w:numFmt w:val="bullet"/>
      <w:lvlText w:val="•"/>
      <w:lvlJc w:val="left"/>
      <w:pPr>
        <w:tabs>
          <w:tab w:val="num" w:pos="3600"/>
        </w:tabs>
        <w:ind w:left="3600" w:hanging="360"/>
      </w:pPr>
      <w:rPr>
        <w:rFonts w:ascii="Arial" w:hAnsi="Arial" w:hint="default"/>
      </w:rPr>
    </w:lvl>
    <w:lvl w:ilvl="5" w:tplc="484A9E0A" w:tentative="1">
      <w:start w:val="1"/>
      <w:numFmt w:val="bullet"/>
      <w:lvlText w:val="•"/>
      <w:lvlJc w:val="left"/>
      <w:pPr>
        <w:tabs>
          <w:tab w:val="num" w:pos="4320"/>
        </w:tabs>
        <w:ind w:left="4320" w:hanging="360"/>
      </w:pPr>
      <w:rPr>
        <w:rFonts w:ascii="Arial" w:hAnsi="Arial" w:hint="default"/>
      </w:rPr>
    </w:lvl>
    <w:lvl w:ilvl="6" w:tplc="7E724DE2" w:tentative="1">
      <w:start w:val="1"/>
      <w:numFmt w:val="bullet"/>
      <w:lvlText w:val="•"/>
      <w:lvlJc w:val="left"/>
      <w:pPr>
        <w:tabs>
          <w:tab w:val="num" w:pos="5040"/>
        </w:tabs>
        <w:ind w:left="5040" w:hanging="360"/>
      </w:pPr>
      <w:rPr>
        <w:rFonts w:ascii="Arial" w:hAnsi="Arial" w:hint="default"/>
      </w:rPr>
    </w:lvl>
    <w:lvl w:ilvl="7" w:tplc="2E1E865A" w:tentative="1">
      <w:start w:val="1"/>
      <w:numFmt w:val="bullet"/>
      <w:lvlText w:val="•"/>
      <w:lvlJc w:val="left"/>
      <w:pPr>
        <w:tabs>
          <w:tab w:val="num" w:pos="5760"/>
        </w:tabs>
        <w:ind w:left="5760" w:hanging="360"/>
      </w:pPr>
      <w:rPr>
        <w:rFonts w:ascii="Arial" w:hAnsi="Arial" w:hint="default"/>
      </w:rPr>
    </w:lvl>
    <w:lvl w:ilvl="8" w:tplc="C10225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DD76DFE"/>
    <w:multiLevelType w:val="hybridMultilevel"/>
    <w:tmpl w:val="B97C5B9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52DB53F7"/>
    <w:multiLevelType w:val="hybridMultilevel"/>
    <w:tmpl w:val="BDECB980"/>
    <w:lvl w:ilvl="0" w:tplc="08090001">
      <w:start w:val="1"/>
      <w:numFmt w:val="bullet"/>
      <w:lvlText w:val=""/>
      <w:lvlJc w:val="left"/>
      <w:pPr>
        <w:ind w:left="4471" w:hanging="360"/>
      </w:pPr>
      <w:rPr>
        <w:rFonts w:ascii="Symbol" w:hAnsi="Symbol" w:hint="default"/>
      </w:rPr>
    </w:lvl>
    <w:lvl w:ilvl="1" w:tplc="08090003" w:tentative="1">
      <w:start w:val="1"/>
      <w:numFmt w:val="bullet"/>
      <w:lvlText w:val="o"/>
      <w:lvlJc w:val="left"/>
      <w:pPr>
        <w:ind w:left="5191" w:hanging="360"/>
      </w:pPr>
      <w:rPr>
        <w:rFonts w:ascii="Courier New" w:hAnsi="Courier New" w:cs="Courier New" w:hint="default"/>
      </w:rPr>
    </w:lvl>
    <w:lvl w:ilvl="2" w:tplc="08090005" w:tentative="1">
      <w:start w:val="1"/>
      <w:numFmt w:val="bullet"/>
      <w:lvlText w:val=""/>
      <w:lvlJc w:val="left"/>
      <w:pPr>
        <w:ind w:left="5911" w:hanging="360"/>
      </w:pPr>
      <w:rPr>
        <w:rFonts w:ascii="Wingdings" w:hAnsi="Wingdings" w:hint="default"/>
      </w:rPr>
    </w:lvl>
    <w:lvl w:ilvl="3" w:tplc="08090001" w:tentative="1">
      <w:start w:val="1"/>
      <w:numFmt w:val="bullet"/>
      <w:lvlText w:val=""/>
      <w:lvlJc w:val="left"/>
      <w:pPr>
        <w:ind w:left="6631" w:hanging="360"/>
      </w:pPr>
      <w:rPr>
        <w:rFonts w:ascii="Symbol" w:hAnsi="Symbol" w:hint="default"/>
      </w:rPr>
    </w:lvl>
    <w:lvl w:ilvl="4" w:tplc="08090003" w:tentative="1">
      <w:start w:val="1"/>
      <w:numFmt w:val="bullet"/>
      <w:lvlText w:val="o"/>
      <w:lvlJc w:val="left"/>
      <w:pPr>
        <w:ind w:left="7351" w:hanging="360"/>
      </w:pPr>
      <w:rPr>
        <w:rFonts w:ascii="Courier New" w:hAnsi="Courier New" w:cs="Courier New" w:hint="default"/>
      </w:rPr>
    </w:lvl>
    <w:lvl w:ilvl="5" w:tplc="08090005" w:tentative="1">
      <w:start w:val="1"/>
      <w:numFmt w:val="bullet"/>
      <w:lvlText w:val=""/>
      <w:lvlJc w:val="left"/>
      <w:pPr>
        <w:ind w:left="8071" w:hanging="360"/>
      </w:pPr>
      <w:rPr>
        <w:rFonts w:ascii="Wingdings" w:hAnsi="Wingdings" w:hint="default"/>
      </w:rPr>
    </w:lvl>
    <w:lvl w:ilvl="6" w:tplc="08090001" w:tentative="1">
      <w:start w:val="1"/>
      <w:numFmt w:val="bullet"/>
      <w:lvlText w:val=""/>
      <w:lvlJc w:val="left"/>
      <w:pPr>
        <w:ind w:left="8791" w:hanging="360"/>
      </w:pPr>
      <w:rPr>
        <w:rFonts w:ascii="Symbol" w:hAnsi="Symbol" w:hint="default"/>
      </w:rPr>
    </w:lvl>
    <w:lvl w:ilvl="7" w:tplc="08090003" w:tentative="1">
      <w:start w:val="1"/>
      <w:numFmt w:val="bullet"/>
      <w:lvlText w:val="o"/>
      <w:lvlJc w:val="left"/>
      <w:pPr>
        <w:ind w:left="9511" w:hanging="360"/>
      </w:pPr>
      <w:rPr>
        <w:rFonts w:ascii="Courier New" w:hAnsi="Courier New" w:cs="Courier New" w:hint="default"/>
      </w:rPr>
    </w:lvl>
    <w:lvl w:ilvl="8" w:tplc="08090005" w:tentative="1">
      <w:start w:val="1"/>
      <w:numFmt w:val="bullet"/>
      <w:lvlText w:val=""/>
      <w:lvlJc w:val="left"/>
      <w:pPr>
        <w:ind w:left="10231" w:hanging="360"/>
      </w:pPr>
      <w:rPr>
        <w:rFonts w:ascii="Wingdings" w:hAnsi="Wingdings" w:hint="default"/>
      </w:rPr>
    </w:lvl>
  </w:abstractNum>
  <w:abstractNum w:abstractNumId="32" w15:restartNumberingAfterBreak="0">
    <w:nsid w:val="56681C37"/>
    <w:multiLevelType w:val="hybridMultilevel"/>
    <w:tmpl w:val="36E68E1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A5E167E"/>
    <w:multiLevelType w:val="hybridMultilevel"/>
    <w:tmpl w:val="FF82ADB0"/>
    <w:lvl w:ilvl="0" w:tplc="9C82ACEA">
      <w:numFmt w:val="bullet"/>
      <w:lvlText w:val=""/>
      <w:lvlJc w:val="left"/>
      <w:pPr>
        <w:ind w:left="1080" w:hanging="720"/>
      </w:pPr>
      <w:rPr>
        <w:rFonts w:ascii="Symbol" w:eastAsia="MS Mincho" w:hAnsi="Symbol"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B70106B"/>
    <w:multiLevelType w:val="hybridMultilevel"/>
    <w:tmpl w:val="F282E8D8"/>
    <w:lvl w:ilvl="0" w:tplc="3D44BEC8">
      <w:start w:val="1"/>
      <w:numFmt w:val="bullet"/>
      <w:lvlText w:val="•"/>
      <w:lvlJc w:val="left"/>
      <w:pPr>
        <w:tabs>
          <w:tab w:val="num" w:pos="720"/>
        </w:tabs>
        <w:ind w:left="720" w:hanging="360"/>
      </w:pPr>
      <w:rPr>
        <w:rFonts w:ascii="Arial" w:hAnsi="Arial" w:hint="default"/>
      </w:rPr>
    </w:lvl>
    <w:lvl w:ilvl="1" w:tplc="7ABE57B4" w:tentative="1">
      <w:start w:val="1"/>
      <w:numFmt w:val="bullet"/>
      <w:lvlText w:val="•"/>
      <w:lvlJc w:val="left"/>
      <w:pPr>
        <w:tabs>
          <w:tab w:val="num" w:pos="1440"/>
        </w:tabs>
        <w:ind w:left="1440" w:hanging="360"/>
      </w:pPr>
      <w:rPr>
        <w:rFonts w:ascii="Arial" w:hAnsi="Arial" w:hint="default"/>
      </w:rPr>
    </w:lvl>
    <w:lvl w:ilvl="2" w:tplc="3012ACD8" w:tentative="1">
      <w:start w:val="1"/>
      <w:numFmt w:val="bullet"/>
      <w:lvlText w:val="•"/>
      <w:lvlJc w:val="left"/>
      <w:pPr>
        <w:tabs>
          <w:tab w:val="num" w:pos="2160"/>
        </w:tabs>
        <w:ind w:left="2160" w:hanging="360"/>
      </w:pPr>
      <w:rPr>
        <w:rFonts w:ascii="Arial" w:hAnsi="Arial" w:hint="default"/>
      </w:rPr>
    </w:lvl>
    <w:lvl w:ilvl="3" w:tplc="6CD224B4">
      <w:start w:val="1"/>
      <w:numFmt w:val="bullet"/>
      <w:lvlText w:val="•"/>
      <w:lvlJc w:val="left"/>
      <w:pPr>
        <w:tabs>
          <w:tab w:val="num" w:pos="2880"/>
        </w:tabs>
        <w:ind w:left="2880" w:hanging="360"/>
      </w:pPr>
      <w:rPr>
        <w:rFonts w:ascii="Arial" w:hAnsi="Arial" w:hint="default"/>
      </w:rPr>
    </w:lvl>
    <w:lvl w:ilvl="4" w:tplc="602272B0" w:tentative="1">
      <w:start w:val="1"/>
      <w:numFmt w:val="bullet"/>
      <w:lvlText w:val="•"/>
      <w:lvlJc w:val="left"/>
      <w:pPr>
        <w:tabs>
          <w:tab w:val="num" w:pos="3600"/>
        </w:tabs>
        <w:ind w:left="3600" w:hanging="360"/>
      </w:pPr>
      <w:rPr>
        <w:rFonts w:ascii="Arial" w:hAnsi="Arial" w:hint="default"/>
      </w:rPr>
    </w:lvl>
    <w:lvl w:ilvl="5" w:tplc="493A9BFC" w:tentative="1">
      <w:start w:val="1"/>
      <w:numFmt w:val="bullet"/>
      <w:lvlText w:val="•"/>
      <w:lvlJc w:val="left"/>
      <w:pPr>
        <w:tabs>
          <w:tab w:val="num" w:pos="4320"/>
        </w:tabs>
        <w:ind w:left="4320" w:hanging="360"/>
      </w:pPr>
      <w:rPr>
        <w:rFonts w:ascii="Arial" w:hAnsi="Arial" w:hint="default"/>
      </w:rPr>
    </w:lvl>
    <w:lvl w:ilvl="6" w:tplc="BEA42562" w:tentative="1">
      <w:start w:val="1"/>
      <w:numFmt w:val="bullet"/>
      <w:lvlText w:val="•"/>
      <w:lvlJc w:val="left"/>
      <w:pPr>
        <w:tabs>
          <w:tab w:val="num" w:pos="5040"/>
        </w:tabs>
        <w:ind w:left="5040" w:hanging="360"/>
      </w:pPr>
      <w:rPr>
        <w:rFonts w:ascii="Arial" w:hAnsi="Arial" w:hint="default"/>
      </w:rPr>
    </w:lvl>
    <w:lvl w:ilvl="7" w:tplc="981CEAE6" w:tentative="1">
      <w:start w:val="1"/>
      <w:numFmt w:val="bullet"/>
      <w:lvlText w:val="•"/>
      <w:lvlJc w:val="left"/>
      <w:pPr>
        <w:tabs>
          <w:tab w:val="num" w:pos="5760"/>
        </w:tabs>
        <w:ind w:left="5760" w:hanging="360"/>
      </w:pPr>
      <w:rPr>
        <w:rFonts w:ascii="Arial" w:hAnsi="Arial" w:hint="default"/>
      </w:rPr>
    </w:lvl>
    <w:lvl w:ilvl="8" w:tplc="24BE118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93259D"/>
    <w:multiLevelType w:val="hybridMultilevel"/>
    <w:tmpl w:val="C2023E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68B10B1B"/>
    <w:multiLevelType w:val="hybridMultilevel"/>
    <w:tmpl w:val="3610648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BD0533A"/>
    <w:multiLevelType w:val="hybridMultilevel"/>
    <w:tmpl w:val="4E1617C0"/>
    <w:lvl w:ilvl="0" w:tplc="9078D0DA">
      <w:start w:val="1"/>
      <w:numFmt w:val="bullet"/>
      <w:lvlText w:val="•"/>
      <w:lvlJc w:val="left"/>
      <w:pPr>
        <w:tabs>
          <w:tab w:val="num" w:pos="720"/>
        </w:tabs>
        <w:ind w:left="720" w:hanging="360"/>
      </w:pPr>
      <w:rPr>
        <w:rFonts w:ascii="Arial" w:hAnsi="Arial" w:hint="default"/>
      </w:rPr>
    </w:lvl>
    <w:lvl w:ilvl="1" w:tplc="B3C89266" w:tentative="1">
      <w:start w:val="1"/>
      <w:numFmt w:val="bullet"/>
      <w:lvlText w:val="•"/>
      <w:lvlJc w:val="left"/>
      <w:pPr>
        <w:tabs>
          <w:tab w:val="num" w:pos="1440"/>
        </w:tabs>
        <w:ind w:left="1440" w:hanging="360"/>
      </w:pPr>
      <w:rPr>
        <w:rFonts w:ascii="Arial" w:hAnsi="Arial" w:hint="default"/>
      </w:rPr>
    </w:lvl>
    <w:lvl w:ilvl="2" w:tplc="ED8CA06A" w:tentative="1">
      <w:start w:val="1"/>
      <w:numFmt w:val="bullet"/>
      <w:lvlText w:val="•"/>
      <w:lvlJc w:val="left"/>
      <w:pPr>
        <w:tabs>
          <w:tab w:val="num" w:pos="2160"/>
        </w:tabs>
        <w:ind w:left="2160" w:hanging="360"/>
      </w:pPr>
      <w:rPr>
        <w:rFonts w:ascii="Arial" w:hAnsi="Arial" w:hint="default"/>
      </w:rPr>
    </w:lvl>
    <w:lvl w:ilvl="3" w:tplc="A2562C84">
      <w:start w:val="1"/>
      <w:numFmt w:val="bullet"/>
      <w:lvlText w:val="•"/>
      <w:lvlJc w:val="left"/>
      <w:pPr>
        <w:tabs>
          <w:tab w:val="num" w:pos="2880"/>
        </w:tabs>
        <w:ind w:left="2880" w:hanging="360"/>
      </w:pPr>
      <w:rPr>
        <w:rFonts w:ascii="Arial" w:hAnsi="Arial" w:hint="default"/>
      </w:rPr>
    </w:lvl>
    <w:lvl w:ilvl="4" w:tplc="41907E14" w:tentative="1">
      <w:start w:val="1"/>
      <w:numFmt w:val="bullet"/>
      <w:lvlText w:val="•"/>
      <w:lvlJc w:val="left"/>
      <w:pPr>
        <w:tabs>
          <w:tab w:val="num" w:pos="3600"/>
        </w:tabs>
        <w:ind w:left="3600" w:hanging="360"/>
      </w:pPr>
      <w:rPr>
        <w:rFonts w:ascii="Arial" w:hAnsi="Arial" w:hint="default"/>
      </w:rPr>
    </w:lvl>
    <w:lvl w:ilvl="5" w:tplc="60761974" w:tentative="1">
      <w:start w:val="1"/>
      <w:numFmt w:val="bullet"/>
      <w:lvlText w:val="•"/>
      <w:lvlJc w:val="left"/>
      <w:pPr>
        <w:tabs>
          <w:tab w:val="num" w:pos="4320"/>
        </w:tabs>
        <w:ind w:left="4320" w:hanging="360"/>
      </w:pPr>
      <w:rPr>
        <w:rFonts w:ascii="Arial" w:hAnsi="Arial" w:hint="default"/>
      </w:rPr>
    </w:lvl>
    <w:lvl w:ilvl="6" w:tplc="C6C6564A" w:tentative="1">
      <w:start w:val="1"/>
      <w:numFmt w:val="bullet"/>
      <w:lvlText w:val="•"/>
      <w:lvlJc w:val="left"/>
      <w:pPr>
        <w:tabs>
          <w:tab w:val="num" w:pos="5040"/>
        </w:tabs>
        <w:ind w:left="5040" w:hanging="360"/>
      </w:pPr>
      <w:rPr>
        <w:rFonts w:ascii="Arial" w:hAnsi="Arial" w:hint="default"/>
      </w:rPr>
    </w:lvl>
    <w:lvl w:ilvl="7" w:tplc="C79419E6" w:tentative="1">
      <w:start w:val="1"/>
      <w:numFmt w:val="bullet"/>
      <w:lvlText w:val="•"/>
      <w:lvlJc w:val="left"/>
      <w:pPr>
        <w:tabs>
          <w:tab w:val="num" w:pos="5760"/>
        </w:tabs>
        <w:ind w:left="5760" w:hanging="360"/>
      </w:pPr>
      <w:rPr>
        <w:rFonts w:ascii="Arial" w:hAnsi="Arial" w:hint="default"/>
      </w:rPr>
    </w:lvl>
    <w:lvl w:ilvl="8" w:tplc="0696E44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C850C04"/>
    <w:multiLevelType w:val="hybridMultilevel"/>
    <w:tmpl w:val="357A0682"/>
    <w:lvl w:ilvl="0" w:tplc="24D44FCA">
      <w:start w:val="1"/>
      <w:numFmt w:val="bullet"/>
      <w:lvlText w:val="•"/>
      <w:lvlJc w:val="left"/>
      <w:pPr>
        <w:tabs>
          <w:tab w:val="num" w:pos="720"/>
        </w:tabs>
        <w:ind w:left="720" w:hanging="360"/>
      </w:pPr>
      <w:rPr>
        <w:rFonts w:ascii="Arial" w:hAnsi="Arial" w:hint="default"/>
      </w:rPr>
    </w:lvl>
    <w:lvl w:ilvl="1" w:tplc="514AE0C2" w:tentative="1">
      <w:start w:val="1"/>
      <w:numFmt w:val="bullet"/>
      <w:lvlText w:val="•"/>
      <w:lvlJc w:val="left"/>
      <w:pPr>
        <w:tabs>
          <w:tab w:val="num" w:pos="1440"/>
        </w:tabs>
        <w:ind w:left="1440" w:hanging="360"/>
      </w:pPr>
      <w:rPr>
        <w:rFonts w:ascii="Arial" w:hAnsi="Arial" w:hint="default"/>
      </w:rPr>
    </w:lvl>
    <w:lvl w:ilvl="2" w:tplc="1FFA4168" w:tentative="1">
      <w:start w:val="1"/>
      <w:numFmt w:val="bullet"/>
      <w:lvlText w:val="•"/>
      <w:lvlJc w:val="left"/>
      <w:pPr>
        <w:tabs>
          <w:tab w:val="num" w:pos="2160"/>
        </w:tabs>
        <w:ind w:left="2160" w:hanging="360"/>
      </w:pPr>
      <w:rPr>
        <w:rFonts w:ascii="Arial" w:hAnsi="Arial" w:hint="default"/>
      </w:rPr>
    </w:lvl>
    <w:lvl w:ilvl="3" w:tplc="7D78E8D4">
      <w:start w:val="1"/>
      <w:numFmt w:val="bullet"/>
      <w:lvlText w:val="•"/>
      <w:lvlJc w:val="left"/>
      <w:pPr>
        <w:tabs>
          <w:tab w:val="num" w:pos="2880"/>
        </w:tabs>
        <w:ind w:left="2880" w:hanging="360"/>
      </w:pPr>
      <w:rPr>
        <w:rFonts w:ascii="Arial" w:hAnsi="Arial" w:hint="default"/>
      </w:rPr>
    </w:lvl>
    <w:lvl w:ilvl="4" w:tplc="B4D84EE6" w:tentative="1">
      <w:start w:val="1"/>
      <w:numFmt w:val="bullet"/>
      <w:lvlText w:val="•"/>
      <w:lvlJc w:val="left"/>
      <w:pPr>
        <w:tabs>
          <w:tab w:val="num" w:pos="3600"/>
        </w:tabs>
        <w:ind w:left="3600" w:hanging="360"/>
      </w:pPr>
      <w:rPr>
        <w:rFonts w:ascii="Arial" w:hAnsi="Arial" w:hint="default"/>
      </w:rPr>
    </w:lvl>
    <w:lvl w:ilvl="5" w:tplc="3BD0FECA" w:tentative="1">
      <w:start w:val="1"/>
      <w:numFmt w:val="bullet"/>
      <w:lvlText w:val="•"/>
      <w:lvlJc w:val="left"/>
      <w:pPr>
        <w:tabs>
          <w:tab w:val="num" w:pos="4320"/>
        </w:tabs>
        <w:ind w:left="4320" w:hanging="360"/>
      </w:pPr>
      <w:rPr>
        <w:rFonts w:ascii="Arial" w:hAnsi="Arial" w:hint="default"/>
      </w:rPr>
    </w:lvl>
    <w:lvl w:ilvl="6" w:tplc="2110BA64" w:tentative="1">
      <w:start w:val="1"/>
      <w:numFmt w:val="bullet"/>
      <w:lvlText w:val="•"/>
      <w:lvlJc w:val="left"/>
      <w:pPr>
        <w:tabs>
          <w:tab w:val="num" w:pos="5040"/>
        </w:tabs>
        <w:ind w:left="5040" w:hanging="360"/>
      </w:pPr>
      <w:rPr>
        <w:rFonts w:ascii="Arial" w:hAnsi="Arial" w:hint="default"/>
      </w:rPr>
    </w:lvl>
    <w:lvl w:ilvl="7" w:tplc="0A187CC4" w:tentative="1">
      <w:start w:val="1"/>
      <w:numFmt w:val="bullet"/>
      <w:lvlText w:val="•"/>
      <w:lvlJc w:val="left"/>
      <w:pPr>
        <w:tabs>
          <w:tab w:val="num" w:pos="5760"/>
        </w:tabs>
        <w:ind w:left="5760" w:hanging="360"/>
      </w:pPr>
      <w:rPr>
        <w:rFonts w:ascii="Arial" w:hAnsi="Arial" w:hint="default"/>
      </w:rPr>
    </w:lvl>
    <w:lvl w:ilvl="8" w:tplc="02A6DA1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D523FAB"/>
    <w:multiLevelType w:val="hybridMultilevel"/>
    <w:tmpl w:val="A4BA1664"/>
    <w:lvl w:ilvl="0" w:tplc="61D0D286">
      <w:start w:val="1"/>
      <w:numFmt w:val="bullet"/>
      <w:lvlText w:val="•"/>
      <w:lvlJc w:val="left"/>
      <w:pPr>
        <w:tabs>
          <w:tab w:val="num" w:pos="720"/>
        </w:tabs>
        <w:ind w:left="720" w:hanging="360"/>
      </w:pPr>
      <w:rPr>
        <w:rFonts w:ascii="Arial" w:hAnsi="Arial" w:hint="default"/>
      </w:rPr>
    </w:lvl>
    <w:lvl w:ilvl="1" w:tplc="15A6D88A" w:tentative="1">
      <w:start w:val="1"/>
      <w:numFmt w:val="bullet"/>
      <w:lvlText w:val="•"/>
      <w:lvlJc w:val="left"/>
      <w:pPr>
        <w:tabs>
          <w:tab w:val="num" w:pos="1440"/>
        </w:tabs>
        <w:ind w:left="1440" w:hanging="360"/>
      </w:pPr>
      <w:rPr>
        <w:rFonts w:ascii="Arial" w:hAnsi="Arial" w:hint="default"/>
      </w:rPr>
    </w:lvl>
    <w:lvl w:ilvl="2" w:tplc="D50842C8" w:tentative="1">
      <w:start w:val="1"/>
      <w:numFmt w:val="bullet"/>
      <w:lvlText w:val="•"/>
      <w:lvlJc w:val="left"/>
      <w:pPr>
        <w:tabs>
          <w:tab w:val="num" w:pos="2160"/>
        </w:tabs>
        <w:ind w:left="2160" w:hanging="360"/>
      </w:pPr>
      <w:rPr>
        <w:rFonts w:ascii="Arial" w:hAnsi="Arial" w:hint="default"/>
      </w:rPr>
    </w:lvl>
    <w:lvl w:ilvl="3" w:tplc="40489A2A">
      <w:start w:val="1"/>
      <w:numFmt w:val="bullet"/>
      <w:lvlText w:val="•"/>
      <w:lvlJc w:val="left"/>
      <w:pPr>
        <w:tabs>
          <w:tab w:val="num" w:pos="2880"/>
        </w:tabs>
        <w:ind w:left="2880" w:hanging="360"/>
      </w:pPr>
      <w:rPr>
        <w:rFonts w:ascii="Arial" w:hAnsi="Arial" w:hint="default"/>
      </w:rPr>
    </w:lvl>
    <w:lvl w:ilvl="4" w:tplc="E5EC2726" w:tentative="1">
      <w:start w:val="1"/>
      <w:numFmt w:val="bullet"/>
      <w:lvlText w:val="•"/>
      <w:lvlJc w:val="left"/>
      <w:pPr>
        <w:tabs>
          <w:tab w:val="num" w:pos="3600"/>
        </w:tabs>
        <w:ind w:left="3600" w:hanging="360"/>
      </w:pPr>
      <w:rPr>
        <w:rFonts w:ascii="Arial" w:hAnsi="Arial" w:hint="default"/>
      </w:rPr>
    </w:lvl>
    <w:lvl w:ilvl="5" w:tplc="61FEB5EC" w:tentative="1">
      <w:start w:val="1"/>
      <w:numFmt w:val="bullet"/>
      <w:lvlText w:val="•"/>
      <w:lvlJc w:val="left"/>
      <w:pPr>
        <w:tabs>
          <w:tab w:val="num" w:pos="4320"/>
        </w:tabs>
        <w:ind w:left="4320" w:hanging="360"/>
      </w:pPr>
      <w:rPr>
        <w:rFonts w:ascii="Arial" w:hAnsi="Arial" w:hint="default"/>
      </w:rPr>
    </w:lvl>
    <w:lvl w:ilvl="6" w:tplc="C5FE5DD2" w:tentative="1">
      <w:start w:val="1"/>
      <w:numFmt w:val="bullet"/>
      <w:lvlText w:val="•"/>
      <w:lvlJc w:val="left"/>
      <w:pPr>
        <w:tabs>
          <w:tab w:val="num" w:pos="5040"/>
        </w:tabs>
        <w:ind w:left="5040" w:hanging="360"/>
      </w:pPr>
      <w:rPr>
        <w:rFonts w:ascii="Arial" w:hAnsi="Arial" w:hint="default"/>
      </w:rPr>
    </w:lvl>
    <w:lvl w:ilvl="7" w:tplc="D8FCDC32" w:tentative="1">
      <w:start w:val="1"/>
      <w:numFmt w:val="bullet"/>
      <w:lvlText w:val="•"/>
      <w:lvlJc w:val="left"/>
      <w:pPr>
        <w:tabs>
          <w:tab w:val="num" w:pos="5760"/>
        </w:tabs>
        <w:ind w:left="5760" w:hanging="360"/>
      </w:pPr>
      <w:rPr>
        <w:rFonts w:ascii="Arial" w:hAnsi="Arial" w:hint="default"/>
      </w:rPr>
    </w:lvl>
    <w:lvl w:ilvl="8" w:tplc="2CD8C65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23358F4"/>
    <w:multiLevelType w:val="hybridMultilevel"/>
    <w:tmpl w:val="48566C50"/>
    <w:lvl w:ilvl="0" w:tplc="9CF04188">
      <w:start w:val="1"/>
      <w:numFmt w:val="bullet"/>
      <w:lvlText w:val="o"/>
      <w:lvlJc w:val="left"/>
      <w:pPr>
        <w:ind w:left="644" w:hanging="360"/>
      </w:pPr>
      <w:rPr>
        <w:rFonts w:ascii="Courier New" w:hAnsi="Courier New" w:cs="Courier New" w:hint="default"/>
        <w:sz w:val="18"/>
        <w:szCs w:val="18"/>
      </w:rPr>
    </w:lvl>
    <w:lvl w:ilvl="1" w:tplc="04080003">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1" w15:restartNumberingAfterBreak="0">
    <w:nsid w:val="73374F9E"/>
    <w:multiLevelType w:val="hybridMultilevel"/>
    <w:tmpl w:val="6A2695B2"/>
    <w:lvl w:ilvl="0" w:tplc="63427B66">
      <w:start w:val="1"/>
      <w:numFmt w:val="bullet"/>
      <w:lvlText w:val="•"/>
      <w:lvlJc w:val="left"/>
      <w:pPr>
        <w:tabs>
          <w:tab w:val="num" w:pos="720"/>
        </w:tabs>
        <w:ind w:left="720" w:hanging="360"/>
      </w:pPr>
      <w:rPr>
        <w:rFonts w:ascii="Arial" w:hAnsi="Arial" w:hint="default"/>
      </w:rPr>
    </w:lvl>
    <w:lvl w:ilvl="1" w:tplc="5E823D58" w:tentative="1">
      <w:start w:val="1"/>
      <w:numFmt w:val="bullet"/>
      <w:lvlText w:val="•"/>
      <w:lvlJc w:val="left"/>
      <w:pPr>
        <w:tabs>
          <w:tab w:val="num" w:pos="1440"/>
        </w:tabs>
        <w:ind w:left="1440" w:hanging="360"/>
      </w:pPr>
      <w:rPr>
        <w:rFonts w:ascii="Arial" w:hAnsi="Arial" w:hint="default"/>
      </w:rPr>
    </w:lvl>
    <w:lvl w:ilvl="2" w:tplc="E5FA3CBE" w:tentative="1">
      <w:start w:val="1"/>
      <w:numFmt w:val="bullet"/>
      <w:lvlText w:val="•"/>
      <w:lvlJc w:val="left"/>
      <w:pPr>
        <w:tabs>
          <w:tab w:val="num" w:pos="2160"/>
        </w:tabs>
        <w:ind w:left="2160" w:hanging="360"/>
      </w:pPr>
      <w:rPr>
        <w:rFonts w:ascii="Arial" w:hAnsi="Arial" w:hint="default"/>
      </w:rPr>
    </w:lvl>
    <w:lvl w:ilvl="3" w:tplc="8EE8E7A8">
      <w:start w:val="1"/>
      <w:numFmt w:val="bullet"/>
      <w:lvlText w:val="•"/>
      <w:lvlJc w:val="left"/>
      <w:pPr>
        <w:tabs>
          <w:tab w:val="num" w:pos="2880"/>
        </w:tabs>
        <w:ind w:left="2880" w:hanging="360"/>
      </w:pPr>
      <w:rPr>
        <w:rFonts w:ascii="Arial" w:hAnsi="Arial" w:hint="default"/>
      </w:rPr>
    </w:lvl>
    <w:lvl w:ilvl="4" w:tplc="956E22DE" w:tentative="1">
      <w:start w:val="1"/>
      <w:numFmt w:val="bullet"/>
      <w:lvlText w:val="•"/>
      <w:lvlJc w:val="left"/>
      <w:pPr>
        <w:tabs>
          <w:tab w:val="num" w:pos="3600"/>
        </w:tabs>
        <w:ind w:left="3600" w:hanging="360"/>
      </w:pPr>
      <w:rPr>
        <w:rFonts w:ascii="Arial" w:hAnsi="Arial" w:hint="default"/>
      </w:rPr>
    </w:lvl>
    <w:lvl w:ilvl="5" w:tplc="0570E114" w:tentative="1">
      <w:start w:val="1"/>
      <w:numFmt w:val="bullet"/>
      <w:lvlText w:val="•"/>
      <w:lvlJc w:val="left"/>
      <w:pPr>
        <w:tabs>
          <w:tab w:val="num" w:pos="4320"/>
        </w:tabs>
        <w:ind w:left="4320" w:hanging="360"/>
      </w:pPr>
      <w:rPr>
        <w:rFonts w:ascii="Arial" w:hAnsi="Arial" w:hint="default"/>
      </w:rPr>
    </w:lvl>
    <w:lvl w:ilvl="6" w:tplc="4E207806" w:tentative="1">
      <w:start w:val="1"/>
      <w:numFmt w:val="bullet"/>
      <w:lvlText w:val="•"/>
      <w:lvlJc w:val="left"/>
      <w:pPr>
        <w:tabs>
          <w:tab w:val="num" w:pos="5040"/>
        </w:tabs>
        <w:ind w:left="5040" w:hanging="360"/>
      </w:pPr>
      <w:rPr>
        <w:rFonts w:ascii="Arial" w:hAnsi="Arial" w:hint="default"/>
      </w:rPr>
    </w:lvl>
    <w:lvl w:ilvl="7" w:tplc="16F8A190" w:tentative="1">
      <w:start w:val="1"/>
      <w:numFmt w:val="bullet"/>
      <w:lvlText w:val="•"/>
      <w:lvlJc w:val="left"/>
      <w:pPr>
        <w:tabs>
          <w:tab w:val="num" w:pos="5760"/>
        </w:tabs>
        <w:ind w:left="5760" w:hanging="360"/>
      </w:pPr>
      <w:rPr>
        <w:rFonts w:ascii="Arial" w:hAnsi="Arial" w:hint="default"/>
      </w:rPr>
    </w:lvl>
    <w:lvl w:ilvl="8" w:tplc="7D14D01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6101787"/>
    <w:multiLevelType w:val="hybridMultilevel"/>
    <w:tmpl w:val="BB7295F2"/>
    <w:lvl w:ilvl="0" w:tplc="EC4CA908">
      <w:start w:val="1"/>
      <w:numFmt w:val="bullet"/>
      <w:lvlText w:val="•"/>
      <w:lvlJc w:val="left"/>
      <w:pPr>
        <w:tabs>
          <w:tab w:val="num" w:pos="720"/>
        </w:tabs>
        <w:ind w:left="720" w:hanging="360"/>
      </w:pPr>
      <w:rPr>
        <w:rFonts w:ascii="Arial" w:hAnsi="Arial" w:hint="default"/>
      </w:rPr>
    </w:lvl>
    <w:lvl w:ilvl="1" w:tplc="2C9CE8AA" w:tentative="1">
      <w:start w:val="1"/>
      <w:numFmt w:val="bullet"/>
      <w:lvlText w:val="•"/>
      <w:lvlJc w:val="left"/>
      <w:pPr>
        <w:tabs>
          <w:tab w:val="num" w:pos="1440"/>
        </w:tabs>
        <w:ind w:left="1440" w:hanging="360"/>
      </w:pPr>
      <w:rPr>
        <w:rFonts w:ascii="Arial" w:hAnsi="Arial" w:hint="default"/>
      </w:rPr>
    </w:lvl>
    <w:lvl w:ilvl="2" w:tplc="4C805FD2" w:tentative="1">
      <w:start w:val="1"/>
      <w:numFmt w:val="bullet"/>
      <w:lvlText w:val="•"/>
      <w:lvlJc w:val="left"/>
      <w:pPr>
        <w:tabs>
          <w:tab w:val="num" w:pos="2160"/>
        </w:tabs>
        <w:ind w:left="2160" w:hanging="360"/>
      </w:pPr>
      <w:rPr>
        <w:rFonts w:ascii="Arial" w:hAnsi="Arial" w:hint="default"/>
      </w:rPr>
    </w:lvl>
    <w:lvl w:ilvl="3" w:tplc="943061F6">
      <w:start w:val="1"/>
      <w:numFmt w:val="bullet"/>
      <w:lvlText w:val="•"/>
      <w:lvlJc w:val="left"/>
      <w:pPr>
        <w:tabs>
          <w:tab w:val="num" w:pos="2880"/>
        </w:tabs>
        <w:ind w:left="2880" w:hanging="360"/>
      </w:pPr>
      <w:rPr>
        <w:rFonts w:ascii="Arial" w:hAnsi="Arial" w:hint="default"/>
      </w:rPr>
    </w:lvl>
    <w:lvl w:ilvl="4" w:tplc="8FE4BF88" w:tentative="1">
      <w:start w:val="1"/>
      <w:numFmt w:val="bullet"/>
      <w:lvlText w:val="•"/>
      <w:lvlJc w:val="left"/>
      <w:pPr>
        <w:tabs>
          <w:tab w:val="num" w:pos="3600"/>
        </w:tabs>
        <w:ind w:left="3600" w:hanging="360"/>
      </w:pPr>
      <w:rPr>
        <w:rFonts w:ascii="Arial" w:hAnsi="Arial" w:hint="default"/>
      </w:rPr>
    </w:lvl>
    <w:lvl w:ilvl="5" w:tplc="7BF267BC" w:tentative="1">
      <w:start w:val="1"/>
      <w:numFmt w:val="bullet"/>
      <w:lvlText w:val="•"/>
      <w:lvlJc w:val="left"/>
      <w:pPr>
        <w:tabs>
          <w:tab w:val="num" w:pos="4320"/>
        </w:tabs>
        <w:ind w:left="4320" w:hanging="360"/>
      </w:pPr>
      <w:rPr>
        <w:rFonts w:ascii="Arial" w:hAnsi="Arial" w:hint="default"/>
      </w:rPr>
    </w:lvl>
    <w:lvl w:ilvl="6" w:tplc="09BCF16E" w:tentative="1">
      <w:start w:val="1"/>
      <w:numFmt w:val="bullet"/>
      <w:lvlText w:val="•"/>
      <w:lvlJc w:val="left"/>
      <w:pPr>
        <w:tabs>
          <w:tab w:val="num" w:pos="5040"/>
        </w:tabs>
        <w:ind w:left="5040" w:hanging="360"/>
      </w:pPr>
      <w:rPr>
        <w:rFonts w:ascii="Arial" w:hAnsi="Arial" w:hint="default"/>
      </w:rPr>
    </w:lvl>
    <w:lvl w:ilvl="7" w:tplc="C24A0A6E" w:tentative="1">
      <w:start w:val="1"/>
      <w:numFmt w:val="bullet"/>
      <w:lvlText w:val="•"/>
      <w:lvlJc w:val="left"/>
      <w:pPr>
        <w:tabs>
          <w:tab w:val="num" w:pos="5760"/>
        </w:tabs>
        <w:ind w:left="5760" w:hanging="360"/>
      </w:pPr>
      <w:rPr>
        <w:rFonts w:ascii="Arial" w:hAnsi="Arial" w:hint="default"/>
      </w:rPr>
    </w:lvl>
    <w:lvl w:ilvl="8" w:tplc="9B324F9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C9953F0"/>
    <w:multiLevelType w:val="hybridMultilevel"/>
    <w:tmpl w:val="ADA089E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6"/>
  </w:num>
  <w:num w:numId="7">
    <w:abstractNumId w:val="40"/>
  </w:num>
  <w:num w:numId="8">
    <w:abstractNumId w:val="8"/>
  </w:num>
  <w:num w:numId="9">
    <w:abstractNumId w:val="4"/>
  </w:num>
  <w:num w:numId="10">
    <w:abstractNumId w:val="2"/>
  </w:num>
  <w:num w:numId="11">
    <w:abstractNumId w:val="38"/>
  </w:num>
  <w:num w:numId="12">
    <w:abstractNumId w:val="3"/>
  </w:num>
  <w:num w:numId="13">
    <w:abstractNumId w:val="6"/>
  </w:num>
  <w:num w:numId="14">
    <w:abstractNumId w:val="20"/>
  </w:num>
  <w:num w:numId="15">
    <w:abstractNumId w:val="37"/>
  </w:num>
  <w:num w:numId="16">
    <w:abstractNumId w:val="32"/>
  </w:num>
  <w:num w:numId="17">
    <w:abstractNumId w:val="11"/>
  </w:num>
  <w:num w:numId="18">
    <w:abstractNumId w:val="29"/>
  </w:num>
  <w:num w:numId="19">
    <w:abstractNumId w:val="17"/>
  </w:num>
  <w:num w:numId="20">
    <w:abstractNumId w:val="27"/>
  </w:num>
  <w:num w:numId="21">
    <w:abstractNumId w:val="1"/>
  </w:num>
  <w:num w:numId="22">
    <w:abstractNumId w:val="9"/>
  </w:num>
  <w:num w:numId="23">
    <w:abstractNumId w:val="39"/>
  </w:num>
  <w:num w:numId="24">
    <w:abstractNumId w:val="41"/>
  </w:num>
  <w:num w:numId="25">
    <w:abstractNumId w:val="14"/>
  </w:num>
  <w:num w:numId="26">
    <w:abstractNumId w:val="34"/>
  </w:num>
  <w:num w:numId="27">
    <w:abstractNumId w:val="13"/>
  </w:num>
  <w:num w:numId="28">
    <w:abstractNumId w:val="42"/>
  </w:num>
  <w:num w:numId="29">
    <w:abstractNumId w:val="19"/>
  </w:num>
  <w:num w:numId="30">
    <w:abstractNumId w:val="18"/>
  </w:num>
  <w:num w:numId="31">
    <w:abstractNumId w:val="15"/>
  </w:num>
  <w:num w:numId="32">
    <w:abstractNumId w:val="21"/>
  </w:num>
  <w:num w:numId="33">
    <w:abstractNumId w:val="12"/>
  </w:num>
  <w:num w:numId="34">
    <w:abstractNumId w:val="43"/>
  </w:num>
  <w:num w:numId="35">
    <w:abstractNumId w:val="26"/>
  </w:num>
  <w:num w:numId="36">
    <w:abstractNumId w:val="36"/>
  </w:num>
  <w:num w:numId="37">
    <w:abstractNumId w:val="28"/>
  </w:num>
  <w:num w:numId="38">
    <w:abstractNumId w:val="30"/>
  </w:num>
  <w:num w:numId="39">
    <w:abstractNumId w:val="35"/>
  </w:num>
  <w:num w:numId="40">
    <w:abstractNumId w:val="0"/>
  </w:num>
  <w:num w:numId="41">
    <w:abstractNumId w:val="5"/>
  </w:num>
  <w:num w:numId="42">
    <w:abstractNumId w:val="33"/>
  </w:num>
  <w:num w:numId="43">
    <w:abstractNumId w:val="7"/>
  </w:num>
  <w:num w:numId="4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3"/>
  <w:drawingGridVerticalSpacing w:val="11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F6"/>
    <w:rsid w:val="00000E66"/>
    <w:rsid w:val="000013EC"/>
    <w:rsid w:val="000017C8"/>
    <w:rsid w:val="0000340D"/>
    <w:rsid w:val="0000442E"/>
    <w:rsid w:val="00005D82"/>
    <w:rsid w:val="000069C4"/>
    <w:rsid w:val="00006BDB"/>
    <w:rsid w:val="00006D0C"/>
    <w:rsid w:val="00006FC1"/>
    <w:rsid w:val="0000754F"/>
    <w:rsid w:val="00007DF2"/>
    <w:rsid w:val="000105E7"/>
    <w:rsid w:val="00010CD7"/>
    <w:rsid w:val="00011401"/>
    <w:rsid w:val="0001201F"/>
    <w:rsid w:val="00012AA7"/>
    <w:rsid w:val="00013060"/>
    <w:rsid w:val="000139A7"/>
    <w:rsid w:val="00013A11"/>
    <w:rsid w:val="00013AB3"/>
    <w:rsid w:val="00014247"/>
    <w:rsid w:val="000146F8"/>
    <w:rsid w:val="00014BDE"/>
    <w:rsid w:val="00015FB6"/>
    <w:rsid w:val="000178A9"/>
    <w:rsid w:val="00017B65"/>
    <w:rsid w:val="000201BD"/>
    <w:rsid w:val="00020239"/>
    <w:rsid w:val="0002099F"/>
    <w:rsid w:val="00020AC9"/>
    <w:rsid w:val="00020B68"/>
    <w:rsid w:val="00021DE8"/>
    <w:rsid w:val="000237DA"/>
    <w:rsid w:val="00023D78"/>
    <w:rsid w:val="0002401C"/>
    <w:rsid w:val="00024327"/>
    <w:rsid w:val="00025154"/>
    <w:rsid w:val="000254A9"/>
    <w:rsid w:val="000255BD"/>
    <w:rsid w:val="0002621F"/>
    <w:rsid w:val="00026340"/>
    <w:rsid w:val="00026516"/>
    <w:rsid w:val="000266C9"/>
    <w:rsid w:val="00026C57"/>
    <w:rsid w:val="0002778C"/>
    <w:rsid w:val="00030770"/>
    <w:rsid w:val="00030800"/>
    <w:rsid w:val="000308D5"/>
    <w:rsid w:val="00031EB4"/>
    <w:rsid w:val="00032164"/>
    <w:rsid w:val="000328E9"/>
    <w:rsid w:val="00032B02"/>
    <w:rsid w:val="00032D33"/>
    <w:rsid w:val="00032D78"/>
    <w:rsid w:val="00033225"/>
    <w:rsid w:val="000339DE"/>
    <w:rsid w:val="000347D0"/>
    <w:rsid w:val="00034929"/>
    <w:rsid w:val="000353F5"/>
    <w:rsid w:val="00036104"/>
    <w:rsid w:val="00036B80"/>
    <w:rsid w:val="00040144"/>
    <w:rsid w:val="00040A06"/>
    <w:rsid w:val="00040E71"/>
    <w:rsid w:val="00041267"/>
    <w:rsid w:val="00041948"/>
    <w:rsid w:val="00043108"/>
    <w:rsid w:val="000446CC"/>
    <w:rsid w:val="00044763"/>
    <w:rsid w:val="00045A5C"/>
    <w:rsid w:val="00045E96"/>
    <w:rsid w:val="0004729A"/>
    <w:rsid w:val="00050585"/>
    <w:rsid w:val="00050775"/>
    <w:rsid w:val="00052445"/>
    <w:rsid w:val="00052521"/>
    <w:rsid w:val="00053193"/>
    <w:rsid w:val="000540A1"/>
    <w:rsid w:val="000542A6"/>
    <w:rsid w:val="00054FA3"/>
    <w:rsid w:val="00056F22"/>
    <w:rsid w:val="00057482"/>
    <w:rsid w:val="0005770F"/>
    <w:rsid w:val="00057A38"/>
    <w:rsid w:val="00057EB0"/>
    <w:rsid w:val="00060B18"/>
    <w:rsid w:val="0006126E"/>
    <w:rsid w:val="00061558"/>
    <w:rsid w:val="00061D9F"/>
    <w:rsid w:val="00061FE2"/>
    <w:rsid w:val="000635FB"/>
    <w:rsid w:val="00063A93"/>
    <w:rsid w:val="000646CD"/>
    <w:rsid w:val="000650FB"/>
    <w:rsid w:val="0006557D"/>
    <w:rsid w:val="00065C94"/>
    <w:rsid w:val="0006615D"/>
    <w:rsid w:val="00066AAA"/>
    <w:rsid w:val="000671D7"/>
    <w:rsid w:val="00070233"/>
    <w:rsid w:val="000702FF"/>
    <w:rsid w:val="0007063A"/>
    <w:rsid w:val="000709B8"/>
    <w:rsid w:val="00071032"/>
    <w:rsid w:val="00071C69"/>
    <w:rsid w:val="00072CE3"/>
    <w:rsid w:val="00072D2D"/>
    <w:rsid w:val="00073707"/>
    <w:rsid w:val="00074812"/>
    <w:rsid w:val="00074843"/>
    <w:rsid w:val="00074C0A"/>
    <w:rsid w:val="00074C2C"/>
    <w:rsid w:val="0007577C"/>
    <w:rsid w:val="000765E8"/>
    <w:rsid w:val="00076A0A"/>
    <w:rsid w:val="000776A1"/>
    <w:rsid w:val="00080528"/>
    <w:rsid w:val="000815AD"/>
    <w:rsid w:val="00081ED2"/>
    <w:rsid w:val="00082F2B"/>
    <w:rsid w:val="000858F2"/>
    <w:rsid w:val="00085E3F"/>
    <w:rsid w:val="0008648D"/>
    <w:rsid w:val="00087115"/>
    <w:rsid w:val="00090994"/>
    <w:rsid w:val="00090F57"/>
    <w:rsid w:val="0009104F"/>
    <w:rsid w:val="0009183E"/>
    <w:rsid w:val="000920F5"/>
    <w:rsid w:val="000925E5"/>
    <w:rsid w:val="00092DC3"/>
    <w:rsid w:val="000930D0"/>
    <w:rsid w:val="0009509C"/>
    <w:rsid w:val="00096A48"/>
    <w:rsid w:val="00096B18"/>
    <w:rsid w:val="00097139"/>
    <w:rsid w:val="000A030A"/>
    <w:rsid w:val="000A05D1"/>
    <w:rsid w:val="000A07AF"/>
    <w:rsid w:val="000A0DA1"/>
    <w:rsid w:val="000A0F8A"/>
    <w:rsid w:val="000A146A"/>
    <w:rsid w:val="000A1D4E"/>
    <w:rsid w:val="000A2880"/>
    <w:rsid w:val="000A2FBE"/>
    <w:rsid w:val="000A5093"/>
    <w:rsid w:val="000A7332"/>
    <w:rsid w:val="000B01A9"/>
    <w:rsid w:val="000B0C18"/>
    <w:rsid w:val="000B1778"/>
    <w:rsid w:val="000B1CEA"/>
    <w:rsid w:val="000B23DD"/>
    <w:rsid w:val="000B24C9"/>
    <w:rsid w:val="000B2982"/>
    <w:rsid w:val="000B2C98"/>
    <w:rsid w:val="000B30E4"/>
    <w:rsid w:val="000B33C5"/>
    <w:rsid w:val="000B6DAB"/>
    <w:rsid w:val="000B7723"/>
    <w:rsid w:val="000B77F3"/>
    <w:rsid w:val="000B78DA"/>
    <w:rsid w:val="000B79C0"/>
    <w:rsid w:val="000C0032"/>
    <w:rsid w:val="000C0191"/>
    <w:rsid w:val="000C0A43"/>
    <w:rsid w:val="000C14F0"/>
    <w:rsid w:val="000C16CA"/>
    <w:rsid w:val="000C1A73"/>
    <w:rsid w:val="000C2CCA"/>
    <w:rsid w:val="000C3AB6"/>
    <w:rsid w:val="000C3C89"/>
    <w:rsid w:val="000C3F5A"/>
    <w:rsid w:val="000C6C3D"/>
    <w:rsid w:val="000C6F0D"/>
    <w:rsid w:val="000C6F70"/>
    <w:rsid w:val="000C79CB"/>
    <w:rsid w:val="000C7A73"/>
    <w:rsid w:val="000D09DA"/>
    <w:rsid w:val="000D0A49"/>
    <w:rsid w:val="000D2509"/>
    <w:rsid w:val="000D2BB3"/>
    <w:rsid w:val="000D2D20"/>
    <w:rsid w:val="000D315A"/>
    <w:rsid w:val="000D4E54"/>
    <w:rsid w:val="000D58C3"/>
    <w:rsid w:val="000D598C"/>
    <w:rsid w:val="000D5A13"/>
    <w:rsid w:val="000D6A50"/>
    <w:rsid w:val="000D6D8E"/>
    <w:rsid w:val="000D779E"/>
    <w:rsid w:val="000D7F62"/>
    <w:rsid w:val="000E1C4E"/>
    <w:rsid w:val="000E1D28"/>
    <w:rsid w:val="000E1EA4"/>
    <w:rsid w:val="000E2036"/>
    <w:rsid w:val="000E24A7"/>
    <w:rsid w:val="000E32BA"/>
    <w:rsid w:val="000E3722"/>
    <w:rsid w:val="000E4CED"/>
    <w:rsid w:val="000E5377"/>
    <w:rsid w:val="000E5AC7"/>
    <w:rsid w:val="000E5CA5"/>
    <w:rsid w:val="000E6714"/>
    <w:rsid w:val="000E77FB"/>
    <w:rsid w:val="000E78A8"/>
    <w:rsid w:val="000F1FBE"/>
    <w:rsid w:val="000F26B0"/>
    <w:rsid w:val="000F2C5D"/>
    <w:rsid w:val="000F39DE"/>
    <w:rsid w:val="000F4782"/>
    <w:rsid w:val="000F4DBC"/>
    <w:rsid w:val="000F5C24"/>
    <w:rsid w:val="000F5E8A"/>
    <w:rsid w:val="000F6118"/>
    <w:rsid w:val="000F6B47"/>
    <w:rsid w:val="000F6D3C"/>
    <w:rsid w:val="000F6EA1"/>
    <w:rsid w:val="000F701B"/>
    <w:rsid w:val="00102505"/>
    <w:rsid w:val="001028DC"/>
    <w:rsid w:val="00103657"/>
    <w:rsid w:val="00103808"/>
    <w:rsid w:val="00104A3C"/>
    <w:rsid w:val="00104F1A"/>
    <w:rsid w:val="00104FC2"/>
    <w:rsid w:val="0010579E"/>
    <w:rsid w:val="00105CBA"/>
    <w:rsid w:val="0011054B"/>
    <w:rsid w:val="0011268E"/>
    <w:rsid w:val="00112BE9"/>
    <w:rsid w:val="00113FB6"/>
    <w:rsid w:val="00114711"/>
    <w:rsid w:val="00114E10"/>
    <w:rsid w:val="00114E52"/>
    <w:rsid w:val="0011501A"/>
    <w:rsid w:val="001161A3"/>
    <w:rsid w:val="00116709"/>
    <w:rsid w:val="0011691E"/>
    <w:rsid w:val="00116995"/>
    <w:rsid w:val="00117BC2"/>
    <w:rsid w:val="0012024E"/>
    <w:rsid w:val="00120B55"/>
    <w:rsid w:val="0012114E"/>
    <w:rsid w:val="001223E7"/>
    <w:rsid w:val="001224E9"/>
    <w:rsid w:val="001233CA"/>
    <w:rsid w:val="00124765"/>
    <w:rsid w:val="00124D4A"/>
    <w:rsid w:val="00125A73"/>
    <w:rsid w:val="00125B19"/>
    <w:rsid w:val="00126317"/>
    <w:rsid w:val="001267D7"/>
    <w:rsid w:val="00126949"/>
    <w:rsid w:val="00126FE2"/>
    <w:rsid w:val="0012791A"/>
    <w:rsid w:val="00127A64"/>
    <w:rsid w:val="001325D4"/>
    <w:rsid w:val="00132FA3"/>
    <w:rsid w:val="00133E39"/>
    <w:rsid w:val="00134B1E"/>
    <w:rsid w:val="0013594E"/>
    <w:rsid w:val="00135AA2"/>
    <w:rsid w:val="00136684"/>
    <w:rsid w:val="001366A3"/>
    <w:rsid w:val="00136817"/>
    <w:rsid w:val="001369A2"/>
    <w:rsid w:val="001415A9"/>
    <w:rsid w:val="00141CEE"/>
    <w:rsid w:val="00142510"/>
    <w:rsid w:val="00143074"/>
    <w:rsid w:val="001441C8"/>
    <w:rsid w:val="00144E25"/>
    <w:rsid w:val="00144F12"/>
    <w:rsid w:val="00144F4D"/>
    <w:rsid w:val="0014618E"/>
    <w:rsid w:val="001479E1"/>
    <w:rsid w:val="00151196"/>
    <w:rsid w:val="001513C7"/>
    <w:rsid w:val="00151FF7"/>
    <w:rsid w:val="00152099"/>
    <w:rsid w:val="001522C3"/>
    <w:rsid w:val="00152FA6"/>
    <w:rsid w:val="001541D6"/>
    <w:rsid w:val="00155AA1"/>
    <w:rsid w:val="001565D8"/>
    <w:rsid w:val="0015732E"/>
    <w:rsid w:val="00160B0B"/>
    <w:rsid w:val="00160EB8"/>
    <w:rsid w:val="00161617"/>
    <w:rsid w:val="00161923"/>
    <w:rsid w:val="00162888"/>
    <w:rsid w:val="00162BDD"/>
    <w:rsid w:val="0016305E"/>
    <w:rsid w:val="001633DC"/>
    <w:rsid w:val="0016376C"/>
    <w:rsid w:val="00163C8D"/>
    <w:rsid w:val="00164607"/>
    <w:rsid w:val="00164B05"/>
    <w:rsid w:val="00164F23"/>
    <w:rsid w:val="00165E55"/>
    <w:rsid w:val="00166656"/>
    <w:rsid w:val="00166BDC"/>
    <w:rsid w:val="00166C15"/>
    <w:rsid w:val="0016729D"/>
    <w:rsid w:val="0017097E"/>
    <w:rsid w:val="00171395"/>
    <w:rsid w:val="00171B93"/>
    <w:rsid w:val="00171C3B"/>
    <w:rsid w:val="00171D68"/>
    <w:rsid w:val="00172D3D"/>
    <w:rsid w:val="0017315C"/>
    <w:rsid w:val="0017432F"/>
    <w:rsid w:val="0017545C"/>
    <w:rsid w:val="0017552B"/>
    <w:rsid w:val="00175879"/>
    <w:rsid w:val="00175992"/>
    <w:rsid w:val="001760BD"/>
    <w:rsid w:val="00176490"/>
    <w:rsid w:val="001772E9"/>
    <w:rsid w:val="00180A68"/>
    <w:rsid w:val="001834B6"/>
    <w:rsid w:val="00183ABC"/>
    <w:rsid w:val="00184741"/>
    <w:rsid w:val="001851A9"/>
    <w:rsid w:val="00185B57"/>
    <w:rsid w:val="00185C35"/>
    <w:rsid w:val="00185D59"/>
    <w:rsid w:val="00186878"/>
    <w:rsid w:val="00186DCF"/>
    <w:rsid w:val="00186F3E"/>
    <w:rsid w:val="00187344"/>
    <w:rsid w:val="001874DF"/>
    <w:rsid w:val="00187734"/>
    <w:rsid w:val="001928A5"/>
    <w:rsid w:val="00192FCD"/>
    <w:rsid w:val="001937AC"/>
    <w:rsid w:val="00194167"/>
    <w:rsid w:val="0019490A"/>
    <w:rsid w:val="00194C5F"/>
    <w:rsid w:val="001958FA"/>
    <w:rsid w:val="00196646"/>
    <w:rsid w:val="001969E5"/>
    <w:rsid w:val="001972A2"/>
    <w:rsid w:val="00197438"/>
    <w:rsid w:val="001A275D"/>
    <w:rsid w:val="001A2FB5"/>
    <w:rsid w:val="001A30BC"/>
    <w:rsid w:val="001A3974"/>
    <w:rsid w:val="001A39BC"/>
    <w:rsid w:val="001A44C9"/>
    <w:rsid w:val="001A5454"/>
    <w:rsid w:val="001A576A"/>
    <w:rsid w:val="001A5AFA"/>
    <w:rsid w:val="001A5B1C"/>
    <w:rsid w:val="001A60D0"/>
    <w:rsid w:val="001A62A4"/>
    <w:rsid w:val="001A6760"/>
    <w:rsid w:val="001A6BE9"/>
    <w:rsid w:val="001A7475"/>
    <w:rsid w:val="001B0D42"/>
    <w:rsid w:val="001B1B56"/>
    <w:rsid w:val="001B2B45"/>
    <w:rsid w:val="001B31BF"/>
    <w:rsid w:val="001B32C8"/>
    <w:rsid w:val="001B34C1"/>
    <w:rsid w:val="001B4282"/>
    <w:rsid w:val="001B48FD"/>
    <w:rsid w:val="001B5318"/>
    <w:rsid w:val="001B5DD6"/>
    <w:rsid w:val="001B6EBE"/>
    <w:rsid w:val="001B7783"/>
    <w:rsid w:val="001B7A79"/>
    <w:rsid w:val="001C0B76"/>
    <w:rsid w:val="001C1CF5"/>
    <w:rsid w:val="001C206E"/>
    <w:rsid w:val="001C36D0"/>
    <w:rsid w:val="001C37C5"/>
    <w:rsid w:val="001C4829"/>
    <w:rsid w:val="001C5A04"/>
    <w:rsid w:val="001C5C57"/>
    <w:rsid w:val="001C5D6E"/>
    <w:rsid w:val="001C65B9"/>
    <w:rsid w:val="001D058E"/>
    <w:rsid w:val="001D08E9"/>
    <w:rsid w:val="001D1936"/>
    <w:rsid w:val="001D1CED"/>
    <w:rsid w:val="001D283B"/>
    <w:rsid w:val="001D36B9"/>
    <w:rsid w:val="001D3E98"/>
    <w:rsid w:val="001D4481"/>
    <w:rsid w:val="001D46F4"/>
    <w:rsid w:val="001D552B"/>
    <w:rsid w:val="001D6231"/>
    <w:rsid w:val="001D6711"/>
    <w:rsid w:val="001D67B4"/>
    <w:rsid w:val="001E012B"/>
    <w:rsid w:val="001E1DC9"/>
    <w:rsid w:val="001E2640"/>
    <w:rsid w:val="001E2C74"/>
    <w:rsid w:val="001E39CA"/>
    <w:rsid w:val="001E3C09"/>
    <w:rsid w:val="001E3EAC"/>
    <w:rsid w:val="001E40B2"/>
    <w:rsid w:val="001E472E"/>
    <w:rsid w:val="001E4D00"/>
    <w:rsid w:val="001E55B2"/>
    <w:rsid w:val="001E56FB"/>
    <w:rsid w:val="001E5DE1"/>
    <w:rsid w:val="001E61DB"/>
    <w:rsid w:val="001E6401"/>
    <w:rsid w:val="001E7E10"/>
    <w:rsid w:val="001F0879"/>
    <w:rsid w:val="001F18BD"/>
    <w:rsid w:val="001F2BF2"/>
    <w:rsid w:val="001F2E8E"/>
    <w:rsid w:val="001F4A2A"/>
    <w:rsid w:val="001F57E9"/>
    <w:rsid w:val="001F589C"/>
    <w:rsid w:val="001F6149"/>
    <w:rsid w:val="001F6736"/>
    <w:rsid w:val="001F75EC"/>
    <w:rsid w:val="001F79BB"/>
    <w:rsid w:val="002004BB"/>
    <w:rsid w:val="00200781"/>
    <w:rsid w:val="0020173D"/>
    <w:rsid w:val="00201C9E"/>
    <w:rsid w:val="00201DF8"/>
    <w:rsid w:val="00201EC4"/>
    <w:rsid w:val="002027DC"/>
    <w:rsid w:val="0020487F"/>
    <w:rsid w:val="00204946"/>
    <w:rsid w:val="002067B5"/>
    <w:rsid w:val="00207448"/>
    <w:rsid w:val="002079D0"/>
    <w:rsid w:val="00210CAE"/>
    <w:rsid w:val="00211C02"/>
    <w:rsid w:val="00211F71"/>
    <w:rsid w:val="002128B1"/>
    <w:rsid w:val="00212B0A"/>
    <w:rsid w:val="00212F3D"/>
    <w:rsid w:val="00213389"/>
    <w:rsid w:val="002133D0"/>
    <w:rsid w:val="002138B5"/>
    <w:rsid w:val="002138BB"/>
    <w:rsid w:val="0021400C"/>
    <w:rsid w:val="00214A51"/>
    <w:rsid w:val="00214B1A"/>
    <w:rsid w:val="00214C08"/>
    <w:rsid w:val="00215C1F"/>
    <w:rsid w:val="002165CF"/>
    <w:rsid w:val="00217343"/>
    <w:rsid w:val="0021796A"/>
    <w:rsid w:val="002211CF"/>
    <w:rsid w:val="00222D3D"/>
    <w:rsid w:val="002230CA"/>
    <w:rsid w:val="00223522"/>
    <w:rsid w:val="00223983"/>
    <w:rsid w:val="00223B8E"/>
    <w:rsid w:val="00224797"/>
    <w:rsid w:val="00224C2D"/>
    <w:rsid w:val="00224EBA"/>
    <w:rsid w:val="0022551A"/>
    <w:rsid w:val="00225D7D"/>
    <w:rsid w:val="00227E97"/>
    <w:rsid w:val="00227EC5"/>
    <w:rsid w:val="00230165"/>
    <w:rsid w:val="002327AE"/>
    <w:rsid w:val="00232E0C"/>
    <w:rsid w:val="00234138"/>
    <w:rsid w:val="00235570"/>
    <w:rsid w:val="002362A4"/>
    <w:rsid w:val="00237362"/>
    <w:rsid w:val="00237972"/>
    <w:rsid w:val="00237C90"/>
    <w:rsid w:val="002444B1"/>
    <w:rsid w:val="00245767"/>
    <w:rsid w:val="0024591F"/>
    <w:rsid w:val="002460BC"/>
    <w:rsid w:val="00247219"/>
    <w:rsid w:val="00247DE8"/>
    <w:rsid w:val="00250073"/>
    <w:rsid w:val="00250718"/>
    <w:rsid w:val="002507BB"/>
    <w:rsid w:val="002508C5"/>
    <w:rsid w:val="00250C1D"/>
    <w:rsid w:val="0025257E"/>
    <w:rsid w:val="00253EF4"/>
    <w:rsid w:val="00254A66"/>
    <w:rsid w:val="00255651"/>
    <w:rsid w:val="00255B60"/>
    <w:rsid w:val="00256105"/>
    <w:rsid w:val="00257921"/>
    <w:rsid w:val="00260562"/>
    <w:rsid w:val="002607A2"/>
    <w:rsid w:val="00261B6D"/>
    <w:rsid w:val="00263FFA"/>
    <w:rsid w:val="00264EF3"/>
    <w:rsid w:val="002656DD"/>
    <w:rsid w:val="002658C5"/>
    <w:rsid w:val="002672B1"/>
    <w:rsid w:val="00267FA7"/>
    <w:rsid w:val="00270BB9"/>
    <w:rsid w:val="00270DC3"/>
    <w:rsid w:val="00271800"/>
    <w:rsid w:val="00272115"/>
    <w:rsid w:val="002721CF"/>
    <w:rsid w:val="0027264F"/>
    <w:rsid w:val="00272B14"/>
    <w:rsid w:val="00272DFA"/>
    <w:rsid w:val="00274103"/>
    <w:rsid w:val="00276146"/>
    <w:rsid w:val="002767D5"/>
    <w:rsid w:val="00276D7B"/>
    <w:rsid w:val="00277D80"/>
    <w:rsid w:val="00280B44"/>
    <w:rsid w:val="0028138F"/>
    <w:rsid w:val="0028203B"/>
    <w:rsid w:val="00282B51"/>
    <w:rsid w:val="00283A59"/>
    <w:rsid w:val="00283FBA"/>
    <w:rsid w:val="00284159"/>
    <w:rsid w:val="002847B9"/>
    <w:rsid w:val="00285D48"/>
    <w:rsid w:val="002864D6"/>
    <w:rsid w:val="00286F74"/>
    <w:rsid w:val="00290253"/>
    <w:rsid w:val="00290284"/>
    <w:rsid w:val="00290A23"/>
    <w:rsid w:val="0029131C"/>
    <w:rsid w:val="002914ED"/>
    <w:rsid w:val="00292B5A"/>
    <w:rsid w:val="00292F85"/>
    <w:rsid w:val="00293D40"/>
    <w:rsid w:val="0029440A"/>
    <w:rsid w:val="002954B9"/>
    <w:rsid w:val="00295763"/>
    <w:rsid w:val="00295808"/>
    <w:rsid w:val="00295A14"/>
    <w:rsid w:val="00296C5D"/>
    <w:rsid w:val="002A092A"/>
    <w:rsid w:val="002A098F"/>
    <w:rsid w:val="002A14D0"/>
    <w:rsid w:val="002A1638"/>
    <w:rsid w:val="002A1B45"/>
    <w:rsid w:val="002A28FE"/>
    <w:rsid w:val="002A2E22"/>
    <w:rsid w:val="002A35FA"/>
    <w:rsid w:val="002A370B"/>
    <w:rsid w:val="002A4B81"/>
    <w:rsid w:val="002A4B8B"/>
    <w:rsid w:val="002A52E2"/>
    <w:rsid w:val="002A5616"/>
    <w:rsid w:val="002A5C1A"/>
    <w:rsid w:val="002A696E"/>
    <w:rsid w:val="002A71E0"/>
    <w:rsid w:val="002A7518"/>
    <w:rsid w:val="002B0592"/>
    <w:rsid w:val="002B05B1"/>
    <w:rsid w:val="002B20AE"/>
    <w:rsid w:val="002B22EC"/>
    <w:rsid w:val="002B3EA9"/>
    <w:rsid w:val="002B4F19"/>
    <w:rsid w:val="002B5710"/>
    <w:rsid w:val="002B6641"/>
    <w:rsid w:val="002B70D9"/>
    <w:rsid w:val="002B714E"/>
    <w:rsid w:val="002B769C"/>
    <w:rsid w:val="002C0059"/>
    <w:rsid w:val="002C0A4C"/>
    <w:rsid w:val="002C147E"/>
    <w:rsid w:val="002C1E14"/>
    <w:rsid w:val="002C35C2"/>
    <w:rsid w:val="002C3843"/>
    <w:rsid w:val="002C5847"/>
    <w:rsid w:val="002C5C6A"/>
    <w:rsid w:val="002C640E"/>
    <w:rsid w:val="002C641C"/>
    <w:rsid w:val="002C6796"/>
    <w:rsid w:val="002C6A15"/>
    <w:rsid w:val="002C73BA"/>
    <w:rsid w:val="002D01A8"/>
    <w:rsid w:val="002D12A1"/>
    <w:rsid w:val="002D14B6"/>
    <w:rsid w:val="002D1753"/>
    <w:rsid w:val="002D17E5"/>
    <w:rsid w:val="002D1AAC"/>
    <w:rsid w:val="002D2EE3"/>
    <w:rsid w:val="002D44B8"/>
    <w:rsid w:val="002D45D4"/>
    <w:rsid w:val="002D4687"/>
    <w:rsid w:val="002D4A39"/>
    <w:rsid w:val="002D5DC2"/>
    <w:rsid w:val="002D5EF7"/>
    <w:rsid w:val="002D60D4"/>
    <w:rsid w:val="002D6C62"/>
    <w:rsid w:val="002D6C79"/>
    <w:rsid w:val="002D6F4E"/>
    <w:rsid w:val="002D7334"/>
    <w:rsid w:val="002E000C"/>
    <w:rsid w:val="002E0E37"/>
    <w:rsid w:val="002E0EDB"/>
    <w:rsid w:val="002E1335"/>
    <w:rsid w:val="002E1F4C"/>
    <w:rsid w:val="002E2855"/>
    <w:rsid w:val="002E2FE0"/>
    <w:rsid w:val="002E34E0"/>
    <w:rsid w:val="002E35E6"/>
    <w:rsid w:val="002E5102"/>
    <w:rsid w:val="002E63A4"/>
    <w:rsid w:val="002E6807"/>
    <w:rsid w:val="002E6EA4"/>
    <w:rsid w:val="002E7327"/>
    <w:rsid w:val="002E77E6"/>
    <w:rsid w:val="002F0710"/>
    <w:rsid w:val="002F2F59"/>
    <w:rsid w:val="002F3006"/>
    <w:rsid w:val="002F338E"/>
    <w:rsid w:val="002F3603"/>
    <w:rsid w:val="002F3CE8"/>
    <w:rsid w:val="002F427A"/>
    <w:rsid w:val="002F42BE"/>
    <w:rsid w:val="002F4367"/>
    <w:rsid w:val="002F55F1"/>
    <w:rsid w:val="002F5788"/>
    <w:rsid w:val="002F68B8"/>
    <w:rsid w:val="002F6E74"/>
    <w:rsid w:val="002F7B34"/>
    <w:rsid w:val="002F7F8C"/>
    <w:rsid w:val="0030041E"/>
    <w:rsid w:val="00300A03"/>
    <w:rsid w:val="00302002"/>
    <w:rsid w:val="00302419"/>
    <w:rsid w:val="00303BAA"/>
    <w:rsid w:val="00303D11"/>
    <w:rsid w:val="0030431D"/>
    <w:rsid w:val="00304385"/>
    <w:rsid w:val="00304471"/>
    <w:rsid w:val="0030451B"/>
    <w:rsid w:val="00305DE9"/>
    <w:rsid w:val="00306F4A"/>
    <w:rsid w:val="003100E2"/>
    <w:rsid w:val="0031050E"/>
    <w:rsid w:val="00310FA8"/>
    <w:rsid w:val="00311673"/>
    <w:rsid w:val="00311CB2"/>
    <w:rsid w:val="003127E9"/>
    <w:rsid w:val="0031406F"/>
    <w:rsid w:val="00314968"/>
    <w:rsid w:val="00314DE8"/>
    <w:rsid w:val="003152F8"/>
    <w:rsid w:val="00316C32"/>
    <w:rsid w:val="00316DED"/>
    <w:rsid w:val="003171A0"/>
    <w:rsid w:val="003208B1"/>
    <w:rsid w:val="00320C0E"/>
    <w:rsid w:val="00321864"/>
    <w:rsid w:val="00322791"/>
    <w:rsid w:val="00322B04"/>
    <w:rsid w:val="00322E78"/>
    <w:rsid w:val="00322F1D"/>
    <w:rsid w:val="003235E4"/>
    <w:rsid w:val="00324B6A"/>
    <w:rsid w:val="0032613E"/>
    <w:rsid w:val="003262BD"/>
    <w:rsid w:val="00326408"/>
    <w:rsid w:val="00326542"/>
    <w:rsid w:val="00326FBC"/>
    <w:rsid w:val="00330D58"/>
    <w:rsid w:val="003314FA"/>
    <w:rsid w:val="00332920"/>
    <w:rsid w:val="003334D2"/>
    <w:rsid w:val="0033371A"/>
    <w:rsid w:val="00334556"/>
    <w:rsid w:val="0033462B"/>
    <w:rsid w:val="00334FAD"/>
    <w:rsid w:val="003351B7"/>
    <w:rsid w:val="0033594F"/>
    <w:rsid w:val="00335AA8"/>
    <w:rsid w:val="00335C03"/>
    <w:rsid w:val="0033638C"/>
    <w:rsid w:val="003367F6"/>
    <w:rsid w:val="00336FDB"/>
    <w:rsid w:val="00337F3A"/>
    <w:rsid w:val="003402EE"/>
    <w:rsid w:val="003409BC"/>
    <w:rsid w:val="00340A5F"/>
    <w:rsid w:val="00341F36"/>
    <w:rsid w:val="00342075"/>
    <w:rsid w:val="003434E0"/>
    <w:rsid w:val="003438D3"/>
    <w:rsid w:val="00343ED0"/>
    <w:rsid w:val="0034469F"/>
    <w:rsid w:val="00344FD0"/>
    <w:rsid w:val="003452BC"/>
    <w:rsid w:val="00346567"/>
    <w:rsid w:val="00346716"/>
    <w:rsid w:val="00346A53"/>
    <w:rsid w:val="0034760D"/>
    <w:rsid w:val="003505CF"/>
    <w:rsid w:val="0035237B"/>
    <w:rsid w:val="00352CAF"/>
    <w:rsid w:val="00352E05"/>
    <w:rsid w:val="00353234"/>
    <w:rsid w:val="003539BE"/>
    <w:rsid w:val="00354AD2"/>
    <w:rsid w:val="003554B6"/>
    <w:rsid w:val="003556E8"/>
    <w:rsid w:val="0035570A"/>
    <w:rsid w:val="00355888"/>
    <w:rsid w:val="00356232"/>
    <w:rsid w:val="003577BB"/>
    <w:rsid w:val="00360358"/>
    <w:rsid w:val="0036093B"/>
    <w:rsid w:val="00360955"/>
    <w:rsid w:val="00361401"/>
    <w:rsid w:val="00361451"/>
    <w:rsid w:val="003619E9"/>
    <w:rsid w:val="00362373"/>
    <w:rsid w:val="00362E04"/>
    <w:rsid w:val="0036300B"/>
    <w:rsid w:val="00364060"/>
    <w:rsid w:val="00365591"/>
    <w:rsid w:val="00365B0F"/>
    <w:rsid w:val="00366276"/>
    <w:rsid w:val="0036646E"/>
    <w:rsid w:val="00366B85"/>
    <w:rsid w:val="003671A7"/>
    <w:rsid w:val="0036728B"/>
    <w:rsid w:val="00367782"/>
    <w:rsid w:val="0037353D"/>
    <w:rsid w:val="00373573"/>
    <w:rsid w:val="00374514"/>
    <w:rsid w:val="003745FB"/>
    <w:rsid w:val="00375BD7"/>
    <w:rsid w:val="003765D8"/>
    <w:rsid w:val="00376A19"/>
    <w:rsid w:val="0037720D"/>
    <w:rsid w:val="003774E0"/>
    <w:rsid w:val="00377D4F"/>
    <w:rsid w:val="00380296"/>
    <w:rsid w:val="00380DAA"/>
    <w:rsid w:val="0038127F"/>
    <w:rsid w:val="003818A8"/>
    <w:rsid w:val="00383948"/>
    <w:rsid w:val="0038515D"/>
    <w:rsid w:val="0038595B"/>
    <w:rsid w:val="00385DBC"/>
    <w:rsid w:val="0038689E"/>
    <w:rsid w:val="00386E93"/>
    <w:rsid w:val="0038739E"/>
    <w:rsid w:val="00387656"/>
    <w:rsid w:val="00390415"/>
    <w:rsid w:val="00390E1C"/>
    <w:rsid w:val="003914A0"/>
    <w:rsid w:val="00392C39"/>
    <w:rsid w:val="0039352A"/>
    <w:rsid w:val="0039352C"/>
    <w:rsid w:val="003936A4"/>
    <w:rsid w:val="003945EE"/>
    <w:rsid w:val="00395C0D"/>
    <w:rsid w:val="0039618F"/>
    <w:rsid w:val="003962F0"/>
    <w:rsid w:val="003963E5"/>
    <w:rsid w:val="003966D6"/>
    <w:rsid w:val="00396782"/>
    <w:rsid w:val="00397202"/>
    <w:rsid w:val="00397D18"/>
    <w:rsid w:val="003A015A"/>
    <w:rsid w:val="003A023C"/>
    <w:rsid w:val="003A11C8"/>
    <w:rsid w:val="003A1C35"/>
    <w:rsid w:val="003A2CA9"/>
    <w:rsid w:val="003A3ADB"/>
    <w:rsid w:val="003A4474"/>
    <w:rsid w:val="003A453C"/>
    <w:rsid w:val="003A492D"/>
    <w:rsid w:val="003A4DE4"/>
    <w:rsid w:val="003A4EE9"/>
    <w:rsid w:val="003A4FD2"/>
    <w:rsid w:val="003A689C"/>
    <w:rsid w:val="003A70BD"/>
    <w:rsid w:val="003A74DE"/>
    <w:rsid w:val="003B0D7F"/>
    <w:rsid w:val="003B0D85"/>
    <w:rsid w:val="003B1126"/>
    <w:rsid w:val="003B1249"/>
    <w:rsid w:val="003B1279"/>
    <w:rsid w:val="003B131A"/>
    <w:rsid w:val="003B13E9"/>
    <w:rsid w:val="003B1578"/>
    <w:rsid w:val="003B1AD0"/>
    <w:rsid w:val="003B1C6A"/>
    <w:rsid w:val="003B2B95"/>
    <w:rsid w:val="003B2DDC"/>
    <w:rsid w:val="003B3041"/>
    <w:rsid w:val="003B5B18"/>
    <w:rsid w:val="003B5D30"/>
    <w:rsid w:val="003B5E36"/>
    <w:rsid w:val="003B61B9"/>
    <w:rsid w:val="003B64BD"/>
    <w:rsid w:val="003B6E61"/>
    <w:rsid w:val="003B7D9D"/>
    <w:rsid w:val="003C0237"/>
    <w:rsid w:val="003C0928"/>
    <w:rsid w:val="003C1158"/>
    <w:rsid w:val="003C15EF"/>
    <w:rsid w:val="003C2057"/>
    <w:rsid w:val="003C2805"/>
    <w:rsid w:val="003C41DD"/>
    <w:rsid w:val="003C52B0"/>
    <w:rsid w:val="003C6BDB"/>
    <w:rsid w:val="003C73BA"/>
    <w:rsid w:val="003C7926"/>
    <w:rsid w:val="003D03D1"/>
    <w:rsid w:val="003D0C47"/>
    <w:rsid w:val="003D11FE"/>
    <w:rsid w:val="003D1D35"/>
    <w:rsid w:val="003D1E55"/>
    <w:rsid w:val="003D256E"/>
    <w:rsid w:val="003D2F79"/>
    <w:rsid w:val="003D3104"/>
    <w:rsid w:val="003D315E"/>
    <w:rsid w:val="003D3F62"/>
    <w:rsid w:val="003D46F2"/>
    <w:rsid w:val="003D63AB"/>
    <w:rsid w:val="003D7930"/>
    <w:rsid w:val="003E097F"/>
    <w:rsid w:val="003E0F74"/>
    <w:rsid w:val="003E157B"/>
    <w:rsid w:val="003E16F0"/>
    <w:rsid w:val="003E1ECF"/>
    <w:rsid w:val="003E228B"/>
    <w:rsid w:val="003E3A4D"/>
    <w:rsid w:val="003E3C03"/>
    <w:rsid w:val="003E4A53"/>
    <w:rsid w:val="003E4D43"/>
    <w:rsid w:val="003E514D"/>
    <w:rsid w:val="003E5D6D"/>
    <w:rsid w:val="003E5EE2"/>
    <w:rsid w:val="003E6072"/>
    <w:rsid w:val="003E6906"/>
    <w:rsid w:val="003E7065"/>
    <w:rsid w:val="003E70BE"/>
    <w:rsid w:val="003F03A3"/>
    <w:rsid w:val="003F0CD7"/>
    <w:rsid w:val="003F0FD6"/>
    <w:rsid w:val="003F1055"/>
    <w:rsid w:val="003F1402"/>
    <w:rsid w:val="003F165F"/>
    <w:rsid w:val="003F1A73"/>
    <w:rsid w:val="003F1F3E"/>
    <w:rsid w:val="003F208E"/>
    <w:rsid w:val="003F29F4"/>
    <w:rsid w:val="003F2CD7"/>
    <w:rsid w:val="003F3755"/>
    <w:rsid w:val="003F4772"/>
    <w:rsid w:val="003F566B"/>
    <w:rsid w:val="003F58CC"/>
    <w:rsid w:val="003F5A8D"/>
    <w:rsid w:val="003F7DD4"/>
    <w:rsid w:val="003F7EEE"/>
    <w:rsid w:val="0040008D"/>
    <w:rsid w:val="004005B1"/>
    <w:rsid w:val="00400A90"/>
    <w:rsid w:val="0040245B"/>
    <w:rsid w:val="004030D6"/>
    <w:rsid w:val="004048DF"/>
    <w:rsid w:val="00405938"/>
    <w:rsid w:val="00405B08"/>
    <w:rsid w:val="004061C6"/>
    <w:rsid w:val="0040725A"/>
    <w:rsid w:val="0041024E"/>
    <w:rsid w:val="00410954"/>
    <w:rsid w:val="0041286B"/>
    <w:rsid w:val="00413529"/>
    <w:rsid w:val="00413ACD"/>
    <w:rsid w:val="00413E91"/>
    <w:rsid w:val="004143B9"/>
    <w:rsid w:val="00414745"/>
    <w:rsid w:val="00414B52"/>
    <w:rsid w:val="00414D46"/>
    <w:rsid w:val="00415220"/>
    <w:rsid w:val="00415250"/>
    <w:rsid w:val="004152D9"/>
    <w:rsid w:val="00415818"/>
    <w:rsid w:val="0041592D"/>
    <w:rsid w:val="00415C6A"/>
    <w:rsid w:val="00416051"/>
    <w:rsid w:val="0041646A"/>
    <w:rsid w:val="00416479"/>
    <w:rsid w:val="004174DE"/>
    <w:rsid w:val="004177B9"/>
    <w:rsid w:val="00421869"/>
    <w:rsid w:val="00422617"/>
    <w:rsid w:val="00423EAC"/>
    <w:rsid w:val="00425274"/>
    <w:rsid w:val="00426A6F"/>
    <w:rsid w:val="00426BCB"/>
    <w:rsid w:val="004275E5"/>
    <w:rsid w:val="00427A25"/>
    <w:rsid w:val="00427A2D"/>
    <w:rsid w:val="00430659"/>
    <w:rsid w:val="00431B1A"/>
    <w:rsid w:val="004324BC"/>
    <w:rsid w:val="00432BD4"/>
    <w:rsid w:val="00433078"/>
    <w:rsid w:val="00433240"/>
    <w:rsid w:val="00433535"/>
    <w:rsid w:val="0043370F"/>
    <w:rsid w:val="00433DB7"/>
    <w:rsid w:val="00434644"/>
    <w:rsid w:val="00435405"/>
    <w:rsid w:val="00435E15"/>
    <w:rsid w:val="00436F37"/>
    <w:rsid w:val="004372CE"/>
    <w:rsid w:val="004376CA"/>
    <w:rsid w:val="004378B9"/>
    <w:rsid w:val="00437C49"/>
    <w:rsid w:val="00441325"/>
    <w:rsid w:val="00441C62"/>
    <w:rsid w:val="00443186"/>
    <w:rsid w:val="00443194"/>
    <w:rsid w:val="00443AEC"/>
    <w:rsid w:val="00444900"/>
    <w:rsid w:val="00444D80"/>
    <w:rsid w:val="00445469"/>
    <w:rsid w:val="00445830"/>
    <w:rsid w:val="004458E9"/>
    <w:rsid w:val="00445A37"/>
    <w:rsid w:val="00445D6E"/>
    <w:rsid w:val="00446BBE"/>
    <w:rsid w:val="00446D27"/>
    <w:rsid w:val="004472FA"/>
    <w:rsid w:val="0044756B"/>
    <w:rsid w:val="004514C7"/>
    <w:rsid w:val="00451711"/>
    <w:rsid w:val="00451A73"/>
    <w:rsid w:val="00451ED9"/>
    <w:rsid w:val="00452875"/>
    <w:rsid w:val="00452BA9"/>
    <w:rsid w:val="004531D1"/>
    <w:rsid w:val="00453E75"/>
    <w:rsid w:val="00453F01"/>
    <w:rsid w:val="0045431E"/>
    <w:rsid w:val="00454CB5"/>
    <w:rsid w:val="00454F7A"/>
    <w:rsid w:val="00455E45"/>
    <w:rsid w:val="00456552"/>
    <w:rsid w:val="00456CDD"/>
    <w:rsid w:val="00456E34"/>
    <w:rsid w:val="0045707D"/>
    <w:rsid w:val="004577FF"/>
    <w:rsid w:val="00457F7B"/>
    <w:rsid w:val="00461118"/>
    <w:rsid w:val="00462D67"/>
    <w:rsid w:val="00462E40"/>
    <w:rsid w:val="0046403B"/>
    <w:rsid w:val="00464D75"/>
    <w:rsid w:val="004655E6"/>
    <w:rsid w:val="00465A2E"/>
    <w:rsid w:val="00465AAF"/>
    <w:rsid w:val="00465B48"/>
    <w:rsid w:val="00466D7D"/>
    <w:rsid w:val="004678D3"/>
    <w:rsid w:val="00467AE2"/>
    <w:rsid w:val="00467E58"/>
    <w:rsid w:val="0047082F"/>
    <w:rsid w:val="00470E79"/>
    <w:rsid w:val="004718D4"/>
    <w:rsid w:val="00471ED6"/>
    <w:rsid w:val="0047362D"/>
    <w:rsid w:val="00473BCD"/>
    <w:rsid w:val="00473FDE"/>
    <w:rsid w:val="00475283"/>
    <w:rsid w:val="0047559C"/>
    <w:rsid w:val="00475EF0"/>
    <w:rsid w:val="004764BE"/>
    <w:rsid w:val="00476559"/>
    <w:rsid w:val="00476AE0"/>
    <w:rsid w:val="00477940"/>
    <w:rsid w:val="004810B7"/>
    <w:rsid w:val="00485162"/>
    <w:rsid w:val="0048598D"/>
    <w:rsid w:val="004859BD"/>
    <w:rsid w:val="0048624E"/>
    <w:rsid w:val="00486E89"/>
    <w:rsid w:val="00487130"/>
    <w:rsid w:val="004875FC"/>
    <w:rsid w:val="004920C3"/>
    <w:rsid w:val="004926CA"/>
    <w:rsid w:val="004934EE"/>
    <w:rsid w:val="00493EEC"/>
    <w:rsid w:val="00494325"/>
    <w:rsid w:val="004949C1"/>
    <w:rsid w:val="00495BB8"/>
    <w:rsid w:val="004964C9"/>
    <w:rsid w:val="00496796"/>
    <w:rsid w:val="00496A90"/>
    <w:rsid w:val="00496E8B"/>
    <w:rsid w:val="00497B3B"/>
    <w:rsid w:val="004A16A8"/>
    <w:rsid w:val="004A2982"/>
    <w:rsid w:val="004A2A20"/>
    <w:rsid w:val="004A2FC0"/>
    <w:rsid w:val="004A319A"/>
    <w:rsid w:val="004A3F48"/>
    <w:rsid w:val="004A46BC"/>
    <w:rsid w:val="004A487F"/>
    <w:rsid w:val="004A4929"/>
    <w:rsid w:val="004A5D66"/>
    <w:rsid w:val="004A5DBC"/>
    <w:rsid w:val="004A5E40"/>
    <w:rsid w:val="004A6211"/>
    <w:rsid w:val="004A71E2"/>
    <w:rsid w:val="004B00A2"/>
    <w:rsid w:val="004B0377"/>
    <w:rsid w:val="004B2905"/>
    <w:rsid w:val="004B2EC6"/>
    <w:rsid w:val="004B394A"/>
    <w:rsid w:val="004B3C0A"/>
    <w:rsid w:val="004B3CAD"/>
    <w:rsid w:val="004B4000"/>
    <w:rsid w:val="004B4235"/>
    <w:rsid w:val="004B4BD4"/>
    <w:rsid w:val="004B4EB0"/>
    <w:rsid w:val="004B51E9"/>
    <w:rsid w:val="004B5344"/>
    <w:rsid w:val="004B5B05"/>
    <w:rsid w:val="004B5CAC"/>
    <w:rsid w:val="004B5D92"/>
    <w:rsid w:val="004B6187"/>
    <w:rsid w:val="004B74D4"/>
    <w:rsid w:val="004B78A4"/>
    <w:rsid w:val="004C035B"/>
    <w:rsid w:val="004C06D6"/>
    <w:rsid w:val="004C1A0C"/>
    <w:rsid w:val="004C1E9A"/>
    <w:rsid w:val="004C28F4"/>
    <w:rsid w:val="004C2C67"/>
    <w:rsid w:val="004C382E"/>
    <w:rsid w:val="004C3E51"/>
    <w:rsid w:val="004C3EB3"/>
    <w:rsid w:val="004C455C"/>
    <w:rsid w:val="004C4BF5"/>
    <w:rsid w:val="004C54AA"/>
    <w:rsid w:val="004C589D"/>
    <w:rsid w:val="004C5F68"/>
    <w:rsid w:val="004C6646"/>
    <w:rsid w:val="004C68A5"/>
    <w:rsid w:val="004C6AC7"/>
    <w:rsid w:val="004C7538"/>
    <w:rsid w:val="004D03E8"/>
    <w:rsid w:val="004D0C01"/>
    <w:rsid w:val="004D2D87"/>
    <w:rsid w:val="004D2EA7"/>
    <w:rsid w:val="004D3965"/>
    <w:rsid w:val="004D4CCE"/>
    <w:rsid w:val="004D4F31"/>
    <w:rsid w:val="004D51C3"/>
    <w:rsid w:val="004D54D4"/>
    <w:rsid w:val="004D6972"/>
    <w:rsid w:val="004E010C"/>
    <w:rsid w:val="004E0884"/>
    <w:rsid w:val="004E1289"/>
    <w:rsid w:val="004E1B97"/>
    <w:rsid w:val="004E1D72"/>
    <w:rsid w:val="004E1E01"/>
    <w:rsid w:val="004E30D5"/>
    <w:rsid w:val="004E3736"/>
    <w:rsid w:val="004E3D7B"/>
    <w:rsid w:val="004E447D"/>
    <w:rsid w:val="004E6C23"/>
    <w:rsid w:val="004E6CF7"/>
    <w:rsid w:val="004E7126"/>
    <w:rsid w:val="004E7323"/>
    <w:rsid w:val="004E7B60"/>
    <w:rsid w:val="004F029D"/>
    <w:rsid w:val="004F0403"/>
    <w:rsid w:val="004F0C08"/>
    <w:rsid w:val="004F0CCA"/>
    <w:rsid w:val="004F1770"/>
    <w:rsid w:val="004F189A"/>
    <w:rsid w:val="004F20CB"/>
    <w:rsid w:val="004F2D3C"/>
    <w:rsid w:val="004F32A8"/>
    <w:rsid w:val="004F3A69"/>
    <w:rsid w:val="004F3C64"/>
    <w:rsid w:val="004F3D2E"/>
    <w:rsid w:val="004F4622"/>
    <w:rsid w:val="004F4F5D"/>
    <w:rsid w:val="004F5E3B"/>
    <w:rsid w:val="004F771F"/>
    <w:rsid w:val="00500E72"/>
    <w:rsid w:val="005034B0"/>
    <w:rsid w:val="005036E6"/>
    <w:rsid w:val="00503B6A"/>
    <w:rsid w:val="00504273"/>
    <w:rsid w:val="0050499F"/>
    <w:rsid w:val="0050547F"/>
    <w:rsid w:val="00505503"/>
    <w:rsid w:val="00505708"/>
    <w:rsid w:val="00507FD9"/>
    <w:rsid w:val="00512171"/>
    <w:rsid w:val="00512294"/>
    <w:rsid w:val="00512C74"/>
    <w:rsid w:val="00513642"/>
    <w:rsid w:val="00513787"/>
    <w:rsid w:val="00513CF8"/>
    <w:rsid w:val="005149C7"/>
    <w:rsid w:val="005150BD"/>
    <w:rsid w:val="005156B8"/>
    <w:rsid w:val="0051651E"/>
    <w:rsid w:val="00517728"/>
    <w:rsid w:val="00520242"/>
    <w:rsid w:val="00520F87"/>
    <w:rsid w:val="00522711"/>
    <w:rsid w:val="00522E3A"/>
    <w:rsid w:val="00523D6B"/>
    <w:rsid w:val="005243FA"/>
    <w:rsid w:val="00524FCC"/>
    <w:rsid w:val="00525D46"/>
    <w:rsid w:val="00525D79"/>
    <w:rsid w:val="005315A3"/>
    <w:rsid w:val="00532890"/>
    <w:rsid w:val="005328F7"/>
    <w:rsid w:val="005330B9"/>
    <w:rsid w:val="00533278"/>
    <w:rsid w:val="00533396"/>
    <w:rsid w:val="0053363F"/>
    <w:rsid w:val="00535338"/>
    <w:rsid w:val="00535632"/>
    <w:rsid w:val="00535D33"/>
    <w:rsid w:val="00535DE0"/>
    <w:rsid w:val="0053605E"/>
    <w:rsid w:val="005369AA"/>
    <w:rsid w:val="005371B8"/>
    <w:rsid w:val="00537E98"/>
    <w:rsid w:val="00541CE8"/>
    <w:rsid w:val="00542C8F"/>
    <w:rsid w:val="00542FD4"/>
    <w:rsid w:val="00543420"/>
    <w:rsid w:val="00543E12"/>
    <w:rsid w:val="00544440"/>
    <w:rsid w:val="00544FE2"/>
    <w:rsid w:val="00546917"/>
    <w:rsid w:val="005469CC"/>
    <w:rsid w:val="005476B4"/>
    <w:rsid w:val="0055061D"/>
    <w:rsid w:val="0055116E"/>
    <w:rsid w:val="00551946"/>
    <w:rsid w:val="00552132"/>
    <w:rsid w:val="00552B95"/>
    <w:rsid w:val="00552E3B"/>
    <w:rsid w:val="00553D82"/>
    <w:rsid w:val="00553D88"/>
    <w:rsid w:val="00554356"/>
    <w:rsid w:val="00555746"/>
    <w:rsid w:val="00555946"/>
    <w:rsid w:val="0055601B"/>
    <w:rsid w:val="005565F0"/>
    <w:rsid w:val="00557E4C"/>
    <w:rsid w:val="00557EE1"/>
    <w:rsid w:val="00560D55"/>
    <w:rsid w:val="005610B3"/>
    <w:rsid w:val="005612E3"/>
    <w:rsid w:val="005631D5"/>
    <w:rsid w:val="00564DFE"/>
    <w:rsid w:val="0056605D"/>
    <w:rsid w:val="005663E2"/>
    <w:rsid w:val="00566C52"/>
    <w:rsid w:val="00567D28"/>
    <w:rsid w:val="00570918"/>
    <w:rsid w:val="00570EF5"/>
    <w:rsid w:val="005713C1"/>
    <w:rsid w:val="005714EB"/>
    <w:rsid w:val="00571664"/>
    <w:rsid w:val="00571F8A"/>
    <w:rsid w:val="005748DD"/>
    <w:rsid w:val="00574A1A"/>
    <w:rsid w:val="005756E5"/>
    <w:rsid w:val="00575859"/>
    <w:rsid w:val="005759C2"/>
    <w:rsid w:val="00575DB4"/>
    <w:rsid w:val="0057655C"/>
    <w:rsid w:val="005768B9"/>
    <w:rsid w:val="00576FF1"/>
    <w:rsid w:val="0057728E"/>
    <w:rsid w:val="0057757E"/>
    <w:rsid w:val="00577C4C"/>
    <w:rsid w:val="00577E11"/>
    <w:rsid w:val="005805EE"/>
    <w:rsid w:val="00580705"/>
    <w:rsid w:val="00580A8D"/>
    <w:rsid w:val="00580E9D"/>
    <w:rsid w:val="005814B1"/>
    <w:rsid w:val="00581858"/>
    <w:rsid w:val="00582104"/>
    <w:rsid w:val="00582645"/>
    <w:rsid w:val="00582A68"/>
    <w:rsid w:val="00582BFB"/>
    <w:rsid w:val="00584978"/>
    <w:rsid w:val="0058563B"/>
    <w:rsid w:val="005856A6"/>
    <w:rsid w:val="0058585E"/>
    <w:rsid w:val="00585C8C"/>
    <w:rsid w:val="00586B95"/>
    <w:rsid w:val="00587423"/>
    <w:rsid w:val="0058769C"/>
    <w:rsid w:val="00590657"/>
    <w:rsid w:val="00590A33"/>
    <w:rsid w:val="005914CB"/>
    <w:rsid w:val="005917B3"/>
    <w:rsid w:val="00591C2B"/>
    <w:rsid w:val="005921E4"/>
    <w:rsid w:val="00594107"/>
    <w:rsid w:val="00594E36"/>
    <w:rsid w:val="0059652B"/>
    <w:rsid w:val="00597893"/>
    <w:rsid w:val="005A0A74"/>
    <w:rsid w:val="005A159A"/>
    <w:rsid w:val="005A1E6D"/>
    <w:rsid w:val="005A22F8"/>
    <w:rsid w:val="005A2BA2"/>
    <w:rsid w:val="005A4681"/>
    <w:rsid w:val="005A61C9"/>
    <w:rsid w:val="005B0333"/>
    <w:rsid w:val="005B1771"/>
    <w:rsid w:val="005B18D8"/>
    <w:rsid w:val="005B3720"/>
    <w:rsid w:val="005B3799"/>
    <w:rsid w:val="005B3DAA"/>
    <w:rsid w:val="005B4164"/>
    <w:rsid w:val="005B5970"/>
    <w:rsid w:val="005B5E5F"/>
    <w:rsid w:val="005B6C90"/>
    <w:rsid w:val="005B6FD6"/>
    <w:rsid w:val="005C002D"/>
    <w:rsid w:val="005C080B"/>
    <w:rsid w:val="005C27A1"/>
    <w:rsid w:val="005C2A99"/>
    <w:rsid w:val="005C42AB"/>
    <w:rsid w:val="005C501E"/>
    <w:rsid w:val="005C55AD"/>
    <w:rsid w:val="005C66F0"/>
    <w:rsid w:val="005C69CA"/>
    <w:rsid w:val="005C742A"/>
    <w:rsid w:val="005C7CA3"/>
    <w:rsid w:val="005D1D7E"/>
    <w:rsid w:val="005D2729"/>
    <w:rsid w:val="005D2C03"/>
    <w:rsid w:val="005D3160"/>
    <w:rsid w:val="005D44F6"/>
    <w:rsid w:val="005D541A"/>
    <w:rsid w:val="005D617A"/>
    <w:rsid w:val="005D629E"/>
    <w:rsid w:val="005D74D3"/>
    <w:rsid w:val="005E00BC"/>
    <w:rsid w:val="005E09DA"/>
    <w:rsid w:val="005E14BB"/>
    <w:rsid w:val="005E166E"/>
    <w:rsid w:val="005E1671"/>
    <w:rsid w:val="005E22BE"/>
    <w:rsid w:val="005E3093"/>
    <w:rsid w:val="005E3B15"/>
    <w:rsid w:val="005E489B"/>
    <w:rsid w:val="005E4BB2"/>
    <w:rsid w:val="005E5332"/>
    <w:rsid w:val="005E5670"/>
    <w:rsid w:val="005E5A99"/>
    <w:rsid w:val="005E5D92"/>
    <w:rsid w:val="005E698D"/>
    <w:rsid w:val="005E7308"/>
    <w:rsid w:val="005F0A85"/>
    <w:rsid w:val="005F0FCA"/>
    <w:rsid w:val="005F1294"/>
    <w:rsid w:val="005F17FC"/>
    <w:rsid w:val="005F19B4"/>
    <w:rsid w:val="005F1BF9"/>
    <w:rsid w:val="005F2471"/>
    <w:rsid w:val="005F2784"/>
    <w:rsid w:val="005F3FE0"/>
    <w:rsid w:val="005F47E6"/>
    <w:rsid w:val="005F561D"/>
    <w:rsid w:val="005F5949"/>
    <w:rsid w:val="005F5A48"/>
    <w:rsid w:val="005F5CA1"/>
    <w:rsid w:val="005F647A"/>
    <w:rsid w:val="005F71E7"/>
    <w:rsid w:val="005F72E4"/>
    <w:rsid w:val="005F738D"/>
    <w:rsid w:val="005F771D"/>
    <w:rsid w:val="005F776B"/>
    <w:rsid w:val="005F782D"/>
    <w:rsid w:val="005F7EB3"/>
    <w:rsid w:val="005F7F15"/>
    <w:rsid w:val="006001AD"/>
    <w:rsid w:val="00600928"/>
    <w:rsid w:val="00600A1F"/>
    <w:rsid w:val="0060280D"/>
    <w:rsid w:val="00602CD7"/>
    <w:rsid w:val="00603B45"/>
    <w:rsid w:val="006040BC"/>
    <w:rsid w:val="0060474D"/>
    <w:rsid w:val="00604E45"/>
    <w:rsid w:val="006051A0"/>
    <w:rsid w:val="00605451"/>
    <w:rsid w:val="0060598B"/>
    <w:rsid w:val="00605F26"/>
    <w:rsid w:val="0060609D"/>
    <w:rsid w:val="006060CA"/>
    <w:rsid w:val="006069AC"/>
    <w:rsid w:val="00611549"/>
    <w:rsid w:val="00611B0C"/>
    <w:rsid w:val="00611DD2"/>
    <w:rsid w:val="0061399D"/>
    <w:rsid w:val="00613DFE"/>
    <w:rsid w:val="00614438"/>
    <w:rsid w:val="00615503"/>
    <w:rsid w:val="00617D86"/>
    <w:rsid w:val="0062009A"/>
    <w:rsid w:val="006209BF"/>
    <w:rsid w:val="006221E8"/>
    <w:rsid w:val="0062278A"/>
    <w:rsid w:val="00622798"/>
    <w:rsid w:val="0062283F"/>
    <w:rsid w:val="00622C57"/>
    <w:rsid w:val="00623818"/>
    <w:rsid w:val="00623F86"/>
    <w:rsid w:val="00624A07"/>
    <w:rsid w:val="00624C41"/>
    <w:rsid w:val="00625430"/>
    <w:rsid w:val="006259E6"/>
    <w:rsid w:val="00630F73"/>
    <w:rsid w:val="006313CE"/>
    <w:rsid w:val="0063165E"/>
    <w:rsid w:val="00631D40"/>
    <w:rsid w:val="006320C7"/>
    <w:rsid w:val="00632C1C"/>
    <w:rsid w:val="00632DAA"/>
    <w:rsid w:val="006334BC"/>
    <w:rsid w:val="0064077C"/>
    <w:rsid w:val="0064170B"/>
    <w:rsid w:val="006436D6"/>
    <w:rsid w:val="00643FEB"/>
    <w:rsid w:val="0064401F"/>
    <w:rsid w:val="00645373"/>
    <w:rsid w:val="006458BD"/>
    <w:rsid w:val="00645BD8"/>
    <w:rsid w:val="006462D9"/>
    <w:rsid w:val="006465CD"/>
    <w:rsid w:val="006467B7"/>
    <w:rsid w:val="00647375"/>
    <w:rsid w:val="00647E5E"/>
    <w:rsid w:val="00650D8D"/>
    <w:rsid w:val="006517E8"/>
    <w:rsid w:val="00651B7F"/>
    <w:rsid w:val="0065243E"/>
    <w:rsid w:val="00652A3A"/>
    <w:rsid w:val="006559BE"/>
    <w:rsid w:val="0065674C"/>
    <w:rsid w:val="00656E2C"/>
    <w:rsid w:val="006571AC"/>
    <w:rsid w:val="006572E7"/>
    <w:rsid w:val="00657AC0"/>
    <w:rsid w:val="00657C76"/>
    <w:rsid w:val="00660327"/>
    <w:rsid w:val="00661628"/>
    <w:rsid w:val="0066183D"/>
    <w:rsid w:val="00661E26"/>
    <w:rsid w:val="006620E5"/>
    <w:rsid w:val="00663546"/>
    <w:rsid w:val="0066369A"/>
    <w:rsid w:val="00663B27"/>
    <w:rsid w:val="00663FCA"/>
    <w:rsid w:val="006642F6"/>
    <w:rsid w:val="006646C4"/>
    <w:rsid w:val="00664DC0"/>
    <w:rsid w:val="00667344"/>
    <w:rsid w:val="00671FBB"/>
    <w:rsid w:val="00673463"/>
    <w:rsid w:val="00673E66"/>
    <w:rsid w:val="00674BE3"/>
    <w:rsid w:val="00674D7C"/>
    <w:rsid w:val="00674F34"/>
    <w:rsid w:val="00675561"/>
    <w:rsid w:val="00676B25"/>
    <w:rsid w:val="00676D4A"/>
    <w:rsid w:val="006772F3"/>
    <w:rsid w:val="00677CA1"/>
    <w:rsid w:val="0068083F"/>
    <w:rsid w:val="006833FD"/>
    <w:rsid w:val="00683A2B"/>
    <w:rsid w:val="0068449C"/>
    <w:rsid w:val="00684932"/>
    <w:rsid w:val="006857DB"/>
    <w:rsid w:val="0068634A"/>
    <w:rsid w:val="0068641C"/>
    <w:rsid w:val="00686C02"/>
    <w:rsid w:val="006870A7"/>
    <w:rsid w:val="00691D11"/>
    <w:rsid w:val="006938D4"/>
    <w:rsid w:val="0069461F"/>
    <w:rsid w:val="00694882"/>
    <w:rsid w:val="006950D7"/>
    <w:rsid w:val="0069563A"/>
    <w:rsid w:val="00695851"/>
    <w:rsid w:val="00697631"/>
    <w:rsid w:val="006A06E2"/>
    <w:rsid w:val="006A0F14"/>
    <w:rsid w:val="006A0F43"/>
    <w:rsid w:val="006A187C"/>
    <w:rsid w:val="006A2D17"/>
    <w:rsid w:val="006A3901"/>
    <w:rsid w:val="006A490E"/>
    <w:rsid w:val="006A4984"/>
    <w:rsid w:val="006A4BEC"/>
    <w:rsid w:val="006A4DBA"/>
    <w:rsid w:val="006A547F"/>
    <w:rsid w:val="006A7803"/>
    <w:rsid w:val="006B0539"/>
    <w:rsid w:val="006B0914"/>
    <w:rsid w:val="006B17A3"/>
    <w:rsid w:val="006B19F6"/>
    <w:rsid w:val="006B1FA8"/>
    <w:rsid w:val="006B457F"/>
    <w:rsid w:val="006B471B"/>
    <w:rsid w:val="006B4BFE"/>
    <w:rsid w:val="006B4FB1"/>
    <w:rsid w:val="006B5FBD"/>
    <w:rsid w:val="006B60FD"/>
    <w:rsid w:val="006B6F55"/>
    <w:rsid w:val="006B7567"/>
    <w:rsid w:val="006C13EB"/>
    <w:rsid w:val="006C18D7"/>
    <w:rsid w:val="006C2C24"/>
    <w:rsid w:val="006C376B"/>
    <w:rsid w:val="006C3DBE"/>
    <w:rsid w:val="006C41DD"/>
    <w:rsid w:val="006C4236"/>
    <w:rsid w:val="006C53E5"/>
    <w:rsid w:val="006C6CE0"/>
    <w:rsid w:val="006C71A8"/>
    <w:rsid w:val="006C776E"/>
    <w:rsid w:val="006C77A2"/>
    <w:rsid w:val="006C78A1"/>
    <w:rsid w:val="006C7B01"/>
    <w:rsid w:val="006D0307"/>
    <w:rsid w:val="006D039D"/>
    <w:rsid w:val="006D0B6D"/>
    <w:rsid w:val="006D1733"/>
    <w:rsid w:val="006D193C"/>
    <w:rsid w:val="006D1B01"/>
    <w:rsid w:val="006D200E"/>
    <w:rsid w:val="006D212E"/>
    <w:rsid w:val="006D4958"/>
    <w:rsid w:val="006D56EA"/>
    <w:rsid w:val="006D5764"/>
    <w:rsid w:val="006D5F20"/>
    <w:rsid w:val="006D7114"/>
    <w:rsid w:val="006E078B"/>
    <w:rsid w:val="006E13AD"/>
    <w:rsid w:val="006E16FE"/>
    <w:rsid w:val="006E30B7"/>
    <w:rsid w:val="006E43E2"/>
    <w:rsid w:val="006E44E2"/>
    <w:rsid w:val="006E4A3D"/>
    <w:rsid w:val="006E4E74"/>
    <w:rsid w:val="006E5615"/>
    <w:rsid w:val="006E7091"/>
    <w:rsid w:val="006E70DA"/>
    <w:rsid w:val="006E7557"/>
    <w:rsid w:val="006E7842"/>
    <w:rsid w:val="006E7ED4"/>
    <w:rsid w:val="006F02B8"/>
    <w:rsid w:val="006F0412"/>
    <w:rsid w:val="006F17BE"/>
    <w:rsid w:val="006F1F10"/>
    <w:rsid w:val="006F23E4"/>
    <w:rsid w:val="006F2A81"/>
    <w:rsid w:val="006F2A9C"/>
    <w:rsid w:val="006F363E"/>
    <w:rsid w:val="006F3EAE"/>
    <w:rsid w:val="006F47F3"/>
    <w:rsid w:val="006F4AC5"/>
    <w:rsid w:val="006F4D81"/>
    <w:rsid w:val="006F5D84"/>
    <w:rsid w:val="006F5DE1"/>
    <w:rsid w:val="006F64CE"/>
    <w:rsid w:val="006F6585"/>
    <w:rsid w:val="006F7714"/>
    <w:rsid w:val="006F7E4E"/>
    <w:rsid w:val="007008A3"/>
    <w:rsid w:val="007018F8"/>
    <w:rsid w:val="00702331"/>
    <w:rsid w:val="0070234B"/>
    <w:rsid w:val="00702659"/>
    <w:rsid w:val="00702F0D"/>
    <w:rsid w:val="00702F61"/>
    <w:rsid w:val="00703B09"/>
    <w:rsid w:val="0070555A"/>
    <w:rsid w:val="00705BB6"/>
    <w:rsid w:val="00705C7A"/>
    <w:rsid w:val="00705DE0"/>
    <w:rsid w:val="007062D9"/>
    <w:rsid w:val="00706D40"/>
    <w:rsid w:val="007078AB"/>
    <w:rsid w:val="007102E4"/>
    <w:rsid w:val="007106C4"/>
    <w:rsid w:val="0071130B"/>
    <w:rsid w:val="00712E48"/>
    <w:rsid w:val="007130D1"/>
    <w:rsid w:val="00713A45"/>
    <w:rsid w:val="00713F02"/>
    <w:rsid w:val="00714756"/>
    <w:rsid w:val="0071489F"/>
    <w:rsid w:val="0071519D"/>
    <w:rsid w:val="007156C4"/>
    <w:rsid w:val="0071626F"/>
    <w:rsid w:val="0071774D"/>
    <w:rsid w:val="00721196"/>
    <w:rsid w:val="0072177F"/>
    <w:rsid w:val="0072294B"/>
    <w:rsid w:val="00722E76"/>
    <w:rsid w:val="007240C6"/>
    <w:rsid w:val="007241DD"/>
    <w:rsid w:val="007243A2"/>
    <w:rsid w:val="00724E47"/>
    <w:rsid w:val="00724FBD"/>
    <w:rsid w:val="007264E9"/>
    <w:rsid w:val="00726659"/>
    <w:rsid w:val="00727500"/>
    <w:rsid w:val="007301C3"/>
    <w:rsid w:val="007301D0"/>
    <w:rsid w:val="00730C49"/>
    <w:rsid w:val="007314FC"/>
    <w:rsid w:val="00731C51"/>
    <w:rsid w:val="00731E1F"/>
    <w:rsid w:val="00733B25"/>
    <w:rsid w:val="0073518D"/>
    <w:rsid w:val="007358D4"/>
    <w:rsid w:val="00735D32"/>
    <w:rsid w:val="00737AF9"/>
    <w:rsid w:val="00737DFB"/>
    <w:rsid w:val="0074095D"/>
    <w:rsid w:val="00741A5F"/>
    <w:rsid w:val="00741CA9"/>
    <w:rsid w:val="00742073"/>
    <w:rsid w:val="007430AE"/>
    <w:rsid w:val="00743350"/>
    <w:rsid w:val="00743742"/>
    <w:rsid w:val="007444EF"/>
    <w:rsid w:val="007455E9"/>
    <w:rsid w:val="00745EF1"/>
    <w:rsid w:val="0074622D"/>
    <w:rsid w:val="00746D66"/>
    <w:rsid w:val="007500E3"/>
    <w:rsid w:val="0075496D"/>
    <w:rsid w:val="00755FDC"/>
    <w:rsid w:val="00756146"/>
    <w:rsid w:val="00756EC0"/>
    <w:rsid w:val="00761368"/>
    <w:rsid w:val="00762591"/>
    <w:rsid w:val="007634E8"/>
    <w:rsid w:val="00763795"/>
    <w:rsid w:val="00763987"/>
    <w:rsid w:val="00763D9A"/>
    <w:rsid w:val="00765AA3"/>
    <w:rsid w:val="00765B24"/>
    <w:rsid w:val="00766562"/>
    <w:rsid w:val="00766BC0"/>
    <w:rsid w:val="007670E1"/>
    <w:rsid w:val="00767535"/>
    <w:rsid w:val="00767DA0"/>
    <w:rsid w:val="0077020D"/>
    <w:rsid w:val="00770344"/>
    <w:rsid w:val="0077047B"/>
    <w:rsid w:val="00771556"/>
    <w:rsid w:val="0077196D"/>
    <w:rsid w:val="00771A1B"/>
    <w:rsid w:val="00771E5F"/>
    <w:rsid w:val="0077386A"/>
    <w:rsid w:val="00773D5F"/>
    <w:rsid w:val="00775452"/>
    <w:rsid w:val="0077641A"/>
    <w:rsid w:val="00777E18"/>
    <w:rsid w:val="00780F5E"/>
    <w:rsid w:val="00781094"/>
    <w:rsid w:val="00781A34"/>
    <w:rsid w:val="00781D35"/>
    <w:rsid w:val="00781D56"/>
    <w:rsid w:val="00783071"/>
    <w:rsid w:val="00783E56"/>
    <w:rsid w:val="007841E2"/>
    <w:rsid w:val="00784DF4"/>
    <w:rsid w:val="00785197"/>
    <w:rsid w:val="00786C41"/>
    <w:rsid w:val="007870D7"/>
    <w:rsid w:val="007875AA"/>
    <w:rsid w:val="00787A46"/>
    <w:rsid w:val="00787F15"/>
    <w:rsid w:val="00791C9B"/>
    <w:rsid w:val="0079306B"/>
    <w:rsid w:val="00793815"/>
    <w:rsid w:val="00793EE2"/>
    <w:rsid w:val="00794128"/>
    <w:rsid w:val="00795252"/>
    <w:rsid w:val="00795869"/>
    <w:rsid w:val="0079639B"/>
    <w:rsid w:val="007967F4"/>
    <w:rsid w:val="007A0652"/>
    <w:rsid w:val="007A1AF5"/>
    <w:rsid w:val="007A1C86"/>
    <w:rsid w:val="007A275D"/>
    <w:rsid w:val="007A2CA1"/>
    <w:rsid w:val="007A3EA5"/>
    <w:rsid w:val="007A490A"/>
    <w:rsid w:val="007A523A"/>
    <w:rsid w:val="007A5765"/>
    <w:rsid w:val="007A588A"/>
    <w:rsid w:val="007A5D2C"/>
    <w:rsid w:val="007A5DE5"/>
    <w:rsid w:val="007A61AD"/>
    <w:rsid w:val="007B0860"/>
    <w:rsid w:val="007B16E6"/>
    <w:rsid w:val="007B197B"/>
    <w:rsid w:val="007B1AAA"/>
    <w:rsid w:val="007B2224"/>
    <w:rsid w:val="007B3EE8"/>
    <w:rsid w:val="007B3F20"/>
    <w:rsid w:val="007B41A8"/>
    <w:rsid w:val="007B47DC"/>
    <w:rsid w:val="007B4971"/>
    <w:rsid w:val="007B4D66"/>
    <w:rsid w:val="007B5FBF"/>
    <w:rsid w:val="007B62C6"/>
    <w:rsid w:val="007B6A1D"/>
    <w:rsid w:val="007B7A9C"/>
    <w:rsid w:val="007B7E68"/>
    <w:rsid w:val="007C000F"/>
    <w:rsid w:val="007C19BC"/>
    <w:rsid w:val="007C1FC9"/>
    <w:rsid w:val="007C21CB"/>
    <w:rsid w:val="007C2814"/>
    <w:rsid w:val="007C2E43"/>
    <w:rsid w:val="007C3834"/>
    <w:rsid w:val="007C46F3"/>
    <w:rsid w:val="007C4864"/>
    <w:rsid w:val="007C4A53"/>
    <w:rsid w:val="007C57BE"/>
    <w:rsid w:val="007C5EFA"/>
    <w:rsid w:val="007C5F0D"/>
    <w:rsid w:val="007C6B30"/>
    <w:rsid w:val="007C733D"/>
    <w:rsid w:val="007D0014"/>
    <w:rsid w:val="007D00BC"/>
    <w:rsid w:val="007D0120"/>
    <w:rsid w:val="007D058B"/>
    <w:rsid w:val="007D14EE"/>
    <w:rsid w:val="007D1E8F"/>
    <w:rsid w:val="007D2312"/>
    <w:rsid w:val="007D2EAA"/>
    <w:rsid w:val="007D3371"/>
    <w:rsid w:val="007D5E2F"/>
    <w:rsid w:val="007D60EA"/>
    <w:rsid w:val="007D7026"/>
    <w:rsid w:val="007D7BF2"/>
    <w:rsid w:val="007D7C57"/>
    <w:rsid w:val="007E2499"/>
    <w:rsid w:val="007E25C0"/>
    <w:rsid w:val="007E27FC"/>
    <w:rsid w:val="007E2A4C"/>
    <w:rsid w:val="007E2B45"/>
    <w:rsid w:val="007E3379"/>
    <w:rsid w:val="007E35F8"/>
    <w:rsid w:val="007E3FDE"/>
    <w:rsid w:val="007E4553"/>
    <w:rsid w:val="007E4993"/>
    <w:rsid w:val="007E4C3D"/>
    <w:rsid w:val="007E63CB"/>
    <w:rsid w:val="007E68DA"/>
    <w:rsid w:val="007E6D4D"/>
    <w:rsid w:val="007E735A"/>
    <w:rsid w:val="007E7D75"/>
    <w:rsid w:val="007E7FAE"/>
    <w:rsid w:val="007F1A31"/>
    <w:rsid w:val="007F2639"/>
    <w:rsid w:val="007F28B8"/>
    <w:rsid w:val="007F3B41"/>
    <w:rsid w:val="007F3D36"/>
    <w:rsid w:val="007F463F"/>
    <w:rsid w:val="007F54DF"/>
    <w:rsid w:val="007F5924"/>
    <w:rsid w:val="007F5BB6"/>
    <w:rsid w:val="007F5E15"/>
    <w:rsid w:val="007F5EB5"/>
    <w:rsid w:val="007F66BB"/>
    <w:rsid w:val="00801765"/>
    <w:rsid w:val="008020E5"/>
    <w:rsid w:val="0080238B"/>
    <w:rsid w:val="00802998"/>
    <w:rsid w:val="0080571D"/>
    <w:rsid w:val="00805DA0"/>
    <w:rsid w:val="008074EF"/>
    <w:rsid w:val="00807A48"/>
    <w:rsid w:val="00807C0E"/>
    <w:rsid w:val="00807ED7"/>
    <w:rsid w:val="00810B16"/>
    <w:rsid w:val="008112E6"/>
    <w:rsid w:val="00812070"/>
    <w:rsid w:val="008124A6"/>
    <w:rsid w:val="00812CC9"/>
    <w:rsid w:val="00812CD2"/>
    <w:rsid w:val="0081334A"/>
    <w:rsid w:val="0081376A"/>
    <w:rsid w:val="0081402E"/>
    <w:rsid w:val="008146D0"/>
    <w:rsid w:val="0081514C"/>
    <w:rsid w:val="00815D79"/>
    <w:rsid w:val="0081711B"/>
    <w:rsid w:val="0081755A"/>
    <w:rsid w:val="00820461"/>
    <w:rsid w:val="00820E25"/>
    <w:rsid w:val="00821CA3"/>
    <w:rsid w:val="00821D60"/>
    <w:rsid w:val="0082365E"/>
    <w:rsid w:val="00823FCE"/>
    <w:rsid w:val="00824156"/>
    <w:rsid w:val="008242AB"/>
    <w:rsid w:val="008248C1"/>
    <w:rsid w:val="00825822"/>
    <w:rsid w:val="00825A97"/>
    <w:rsid w:val="00825D8A"/>
    <w:rsid w:val="0082683D"/>
    <w:rsid w:val="008274B3"/>
    <w:rsid w:val="00827C6E"/>
    <w:rsid w:val="0083073A"/>
    <w:rsid w:val="0083113F"/>
    <w:rsid w:val="00831583"/>
    <w:rsid w:val="00831645"/>
    <w:rsid w:val="00831721"/>
    <w:rsid w:val="00832050"/>
    <w:rsid w:val="008321BF"/>
    <w:rsid w:val="00832EA2"/>
    <w:rsid w:val="008330B2"/>
    <w:rsid w:val="008330F2"/>
    <w:rsid w:val="00833797"/>
    <w:rsid w:val="00833B77"/>
    <w:rsid w:val="00836A6B"/>
    <w:rsid w:val="00836B14"/>
    <w:rsid w:val="008370C3"/>
    <w:rsid w:val="00837B9D"/>
    <w:rsid w:val="00842B20"/>
    <w:rsid w:val="00843255"/>
    <w:rsid w:val="0084353E"/>
    <w:rsid w:val="00843FE6"/>
    <w:rsid w:val="00844A79"/>
    <w:rsid w:val="00845051"/>
    <w:rsid w:val="0084527B"/>
    <w:rsid w:val="00845A62"/>
    <w:rsid w:val="00845FBD"/>
    <w:rsid w:val="008460F7"/>
    <w:rsid w:val="008478DD"/>
    <w:rsid w:val="00850753"/>
    <w:rsid w:val="008516A3"/>
    <w:rsid w:val="00851BBD"/>
    <w:rsid w:val="008524FF"/>
    <w:rsid w:val="008526D1"/>
    <w:rsid w:val="008533DD"/>
    <w:rsid w:val="00853694"/>
    <w:rsid w:val="008537EF"/>
    <w:rsid w:val="00853B37"/>
    <w:rsid w:val="00855A17"/>
    <w:rsid w:val="00856E23"/>
    <w:rsid w:val="008572B0"/>
    <w:rsid w:val="00857438"/>
    <w:rsid w:val="008575F3"/>
    <w:rsid w:val="00857730"/>
    <w:rsid w:val="008600E3"/>
    <w:rsid w:val="00862532"/>
    <w:rsid w:val="00863193"/>
    <w:rsid w:val="00863D3F"/>
    <w:rsid w:val="0086400C"/>
    <w:rsid w:val="00865610"/>
    <w:rsid w:val="00865675"/>
    <w:rsid w:val="00865ECD"/>
    <w:rsid w:val="0086666E"/>
    <w:rsid w:val="008667A7"/>
    <w:rsid w:val="00867460"/>
    <w:rsid w:val="008677D7"/>
    <w:rsid w:val="00867B8F"/>
    <w:rsid w:val="00870A31"/>
    <w:rsid w:val="00871BD4"/>
    <w:rsid w:val="008727B0"/>
    <w:rsid w:val="008732F3"/>
    <w:rsid w:val="00873F15"/>
    <w:rsid w:val="00874D66"/>
    <w:rsid w:val="00876496"/>
    <w:rsid w:val="008769BE"/>
    <w:rsid w:val="00876BC0"/>
    <w:rsid w:val="00877DD8"/>
    <w:rsid w:val="0088042E"/>
    <w:rsid w:val="00880902"/>
    <w:rsid w:val="00880FE8"/>
    <w:rsid w:val="00881B0B"/>
    <w:rsid w:val="00881E8F"/>
    <w:rsid w:val="00882A0A"/>
    <w:rsid w:val="00884294"/>
    <w:rsid w:val="008858E2"/>
    <w:rsid w:val="00885D0F"/>
    <w:rsid w:val="00885D50"/>
    <w:rsid w:val="008860AB"/>
    <w:rsid w:val="00886A9C"/>
    <w:rsid w:val="008873DA"/>
    <w:rsid w:val="0089052B"/>
    <w:rsid w:val="0089176C"/>
    <w:rsid w:val="0089254E"/>
    <w:rsid w:val="008941DE"/>
    <w:rsid w:val="00894EA1"/>
    <w:rsid w:val="00895230"/>
    <w:rsid w:val="008952CE"/>
    <w:rsid w:val="008955C1"/>
    <w:rsid w:val="008969EF"/>
    <w:rsid w:val="00896F4D"/>
    <w:rsid w:val="008970D7"/>
    <w:rsid w:val="00897890"/>
    <w:rsid w:val="008A0282"/>
    <w:rsid w:val="008A02B4"/>
    <w:rsid w:val="008A062C"/>
    <w:rsid w:val="008A1450"/>
    <w:rsid w:val="008A1463"/>
    <w:rsid w:val="008A1691"/>
    <w:rsid w:val="008A20A2"/>
    <w:rsid w:val="008A2104"/>
    <w:rsid w:val="008A22B0"/>
    <w:rsid w:val="008A26C4"/>
    <w:rsid w:val="008A2C52"/>
    <w:rsid w:val="008A2E69"/>
    <w:rsid w:val="008A31BC"/>
    <w:rsid w:val="008A33C0"/>
    <w:rsid w:val="008A3FF9"/>
    <w:rsid w:val="008A45B8"/>
    <w:rsid w:val="008A48A0"/>
    <w:rsid w:val="008A62AD"/>
    <w:rsid w:val="008A75C2"/>
    <w:rsid w:val="008B1711"/>
    <w:rsid w:val="008B1B71"/>
    <w:rsid w:val="008B285E"/>
    <w:rsid w:val="008B3A2C"/>
    <w:rsid w:val="008B42BA"/>
    <w:rsid w:val="008B59F2"/>
    <w:rsid w:val="008B5ABD"/>
    <w:rsid w:val="008B5B62"/>
    <w:rsid w:val="008B635F"/>
    <w:rsid w:val="008B76AA"/>
    <w:rsid w:val="008B7786"/>
    <w:rsid w:val="008B786B"/>
    <w:rsid w:val="008B7C8B"/>
    <w:rsid w:val="008C0003"/>
    <w:rsid w:val="008C018E"/>
    <w:rsid w:val="008C117A"/>
    <w:rsid w:val="008C1B01"/>
    <w:rsid w:val="008C2062"/>
    <w:rsid w:val="008C30A2"/>
    <w:rsid w:val="008C38AA"/>
    <w:rsid w:val="008C4BD0"/>
    <w:rsid w:val="008C5729"/>
    <w:rsid w:val="008C5F3D"/>
    <w:rsid w:val="008C6388"/>
    <w:rsid w:val="008C6D28"/>
    <w:rsid w:val="008C7E44"/>
    <w:rsid w:val="008D059C"/>
    <w:rsid w:val="008D1041"/>
    <w:rsid w:val="008D1CEC"/>
    <w:rsid w:val="008D1F84"/>
    <w:rsid w:val="008D24F4"/>
    <w:rsid w:val="008D4162"/>
    <w:rsid w:val="008D4292"/>
    <w:rsid w:val="008D4437"/>
    <w:rsid w:val="008D4B4C"/>
    <w:rsid w:val="008D7AFE"/>
    <w:rsid w:val="008E01D0"/>
    <w:rsid w:val="008E047E"/>
    <w:rsid w:val="008E0782"/>
    <w:rsid w:val="008E0A91"/>
    <w:rsid w:val="008E0F33"/>
    <w:rsid w:val="008E1203"/>
    <w:rsid w:val="008E264B"/>
    <w:rsid w:val="008E2AFD"/>
    <w:rsid w:val="008E2C7D"/>
    <w:rsid w:val="008E2F39"/>
    <w:rsid w:val="008E390C"/>
    <w:rsid w:val="008E3951"/>
    <w:rsid w:val="008E41E3"/>
    <w:rsid w:val="008E4E13"/>
    <w:rsid w:val="008E7143"/>
    <w:rsid w:val="008E7938"/>
    <w:rsid w:val="008E7EED"/>
    <w:rsid w:val="008F1D8C"/>
    <w:rsid w:val="008F369B"/>
    <w:rsid w:val="008F3901"/>
    <w:rsid w:val="008F3F48"/>
    <w:rsid w:val="008F40B2"/>
    <w:rsid w:val="008F42D8"/>
    <w:rsid w:val="008F4F0F"/>
    <w:rsid w:val="008F6517"/>
    <w:rsid w:val="008F6678"/>
    <w:rsid w:val="008F6895"/>
    <w:rsid w:val="008F7B05"/>
    <w:rsid w:val="008F7FE1"/>
    <w:rsid w:val="00900152"/>
    <w:rsid w:val="00900254"/>
    <w:rsid w:val="00900846"/>
    <w:rsid w:val="00900FB3"/>
    <w:rsid w:val="009017E5"/>
    <w:rsid w:val="00901F0A"/>
    <w:rsid w:val="009023CF"/>
    <w:rsid w:val="009035E7"/>
    <w:rsid w:val="009039F1"/>
    <w:rsid w:val="00904D9D"/>
    <w:rsid w:val="00905A85"/>
    <w:rsid w:val="00906ADA"/>
    <w:rsid w:val="0090736E"/>
    <w:rsid w:val="009076F9"/>
    <w:rsid w:val="00907DAB"/>
    <w:rsid w:val="00910326"/>
    <w:rsid w:val="009107C0"/>
    <w:rsid w:val="009109F4"/>
    <w:rsid w:val="0091255C"/>
    <w:rsid w:val="00912DF4"/>
    <w:rsid w:val="00914AD5"/>
    <w:rsid w:val="009157B1"/>
    <w:rsid w:val="00915ADE"/>
    <w:rsid w:val="0091629D"/>
    <w:rsid w:val="00917604"/>
    <w:rsid w:val="0091791B"/>
    <w:rsid w:val="00917CB4"/>
    <w:rsid w:val="00917CD9"/>
    <w:rsid w:val="00920DD2"/>
    <w:rsid w:val="00921045"/>
    <w:rsid w:val="00921554"/>
    <w:rsid w:val="009219E7"/>
    <w:rsid w:val="00923239"/>
    <w:rsid w:val="00923A61"/>
    <w:rsid w:val="00924716"/>
    <w:rsid w:val="00924835"/>
    <w:rsid w:val="0092485A"/>
    <w:rsid w:val="009248CE"/>
    <w:rsid w:val="009248D8"/>
    <w:rsid w:val="0092504C"/>
    <w:rsid w:val="009256DA"/>
    <w:rsid w:val="00930246"/>
    <w:rsid w:val="0093085C"/>
    <w:rsid w:val="00931D2C"/>
    <w:rsid w:val="00931F9D"/>
    <w:rsid w:val="00932674"/>
    <w:rsid w:val="00935751"/>
    <w:rsid w:val="00935F0B"/>
    <w:rsid w:val="00936CFC"/>
    <w:rsid w:val="00937165"/>
    <w:rsid w:val="009372B8"/>
    <w:rsid w:val="0094028D"/>
    <w:rsid w:val="0094115D"/>
    <w:rsid w:val="009411A1"/>
    <w:rsid w:val="009411CF"/>
    <w:rsid w:val="0094166A"/>
    <w:rsid w:val="00941DDA"/>
    <w:rsid w:val="009436A0"/>
    <w:rsid w:val="00944113"/>
    <w:rsid w:val="00944E88"/>
    <w:rsid w:val="009450BE"/>
    <w:rsid w:val="009455F3"/>
    <w:rsid w:val="00945BA8"/>
    <w:rsid w:val="009460D3"/>
    <w:rsid w:val="009471F9"/>
    <w:rsid w:val="00947979"/>
    <w:rsid w:val="009479E2"/>
    <w:rsid w:val="00947BAB"/>
    <w:rsid w:val="00950811"/>
    <w:rsid w:val="00950C03"/>
    <w:rsid w:val="00950CA2"/>
    <w:rsid w:val="00951019"/>
    <w:rsid w:val="00951E6F"/>
    <w:rsid w:val="00952365"/>
    <w:rsid w:val="0095318B"/>
    <w:rsid w:val="00953208"/>
    <w:rsid w:val="0095409E"/>
    <w:rsid w:val="00955436"/>
    <w:rsid w:val="00957B20"/>
    <w:rsid w:val="00960628"/>
    <w:rsid w:val="00960813"/>
    <w:rsid w:val="009608A0"/>
    <w:rsid w:val="00960FD1"/>
    <w:rsid w:val="00961A7B"/>
    <w:rsid w:val="00961E36"/>
    <w:rsid w:val="009625B1"/>
    <w:rsid w:val="00962693"/>
    <w:rsid w:val="00962757"/>
    <w:rsid w:val="00962F79"/>
    <w:rsid w:val="00963542"/>
    <w:rsid w:val="009648CF"/>
    <w:rsid w:val="00964A4E"/>
    <w:rsid w:val="00964C87"/>
    <w:rsid w:val="009657D1"/>
    <w:rsid w:val="0096591C"/>
    <w:rsid w:val="009665FE"/>
    <w:rsid w:val="009666F2"/>
    <w:rsid w:val="00966854"/>
    <w:rsid w:val="00966BB3"/>
    <w:rsid w:val="009678ED"/>
    <w:rsid w:val="00967AFD"/>
    <w:rsid w:val="00967E94"/>
    <w:rsid w:val="00967F9A"/>
    <w:rsid w:val="0097044C"/>
    <w:rsid w:val="00970BD9"/>
    <w:rsid w:val="0097157B"/>
    <w:rsid w:val="00971744"/>
    <w:rsid w:val="00971ACC"/>
    <w:rsid w:val="009731C9"/>
    <w:rsid w:val="00973259"/>
    <w:rsid w:val="009733C4"/>
    <w:rsid w:val="00973665"/>
    <w:rsid w:val="00973B20"/>
    <w:rsid w:val="00974237"/>
    <w:rsid w:val="009758CA"/>
    <w:rsid w:val="00975B2B"/>
    <w:rsid w:val="00975CCB"/>
    <w:rsid w:val="00976026"/>
    <w:rsid w:val="00981976"/>
    <w:rsid w:val="00981C65"/>
    <w:rsid w:val="0098297F"/>
    <w:rsid w:val="00983B73"/>
    <w:rsid w:val="00984497"/>
    <w:rsid w:val="00984A08"/>
    <w:rsid w:val="00985A92"/>
    <w:rsid w:val="00985CD6"/>
    <w:rsid w:val="00986297"/>
    <w:rsid w:val="009873E6"/>
    <w:rsid w:val="009901F5"/>
    <w:rsid w:val="0099039F"/>
    <w:rsid w:val="00990730"/>
    <w:rsid w:val="00990DF3"/>
    <w:rsid w:val="009919CB"/>
    <w:rsid w:val="009920EE"/>
    <w:rsid w:val="0099354E"/>
    <w:rsid w:val="00993605"/>
    <w:rsid w:val="00993803"/>
    <w:rsid w:val="009940B7"/>
    <w:rsid w:val="009947FE"/>
    <w:rsid w:val="00994E7A"/>
    <w:rsid w:val="00994E9C"/>
    <w:rsid w:val="00994F7A"/>
    <w:rsid w:val="009965B9"/>
    <w:rsid w:val="00996A3B"/>
    <w:rsid w:val="00996C34"/>
    <w:rsid w:val="009A029A"/>
    <w:rsid w:val="009A03BE"/>
    <w:rsid w:val="009A2639"/>
    <w:rsid w:val="009A289F"/>
    <w:rsid w:val="009A2A39"/>
    <w:rsid w:val="009A48BE"/>
    <w:rsid w:val="009A4939"/>
    <w:rsid w:val="009A5214"/>
    <w:rsid w:val="009A5516"/>
    <w:rsid w:val="009A580E"/>
    <w:rsid w:val="009A60D2"/>
    <w:rsid w:val="009A6140"/>
    <w:rsid w:val="009A61B1"/>
    <w:rsid w:val="009A7600"/>
    <w:rsid w:val="009B0CFA"/>
    <w:rsid w:val="009B18C1"/>
    <w:rsid w:val="009B1DFC"/>
    <w:rsid w:val="009B40FD"/>
    <w:rsid w:val="009B4BF0"/>
    <w:rsid w:val="009B4F0E"/>
    <w:rsid w:val="009B55BF"/>
    <w:rsid w:val="009B6791"/>
    <w:rsid w:val="009C1224"/>
    <w:rsid w:val="009C1316"/>
    <w:rsid w:val="009C19A4"/>
    <w:rsid w:val="009C2278"/>
    <w:rsid w:val="009C3E8A"/>
    <w:rsid w:val="009C403D"/>
    <w:rsid w:val="009C463A"/>
    <w:rsid w:val="009C5D66"/>
    <w:rsid w:val="009C6DC9"/>
    <w:rsid w:val="009C7288"/>
    <w:rsid w:val="009C76B2"/>
    <w:rsid w:val="009D058A"/>
    <w:rsid w:val="009D0D80"/>
    <w:rsid w:val="009D0F9C"/>
    <w:rsid w:val="009D1BED"/>
    <w:rsid w:val="009D1EAB"/>
    <w:rsid w:val="009D2280"/>
    <w:rsid w:val="009D25E3"/>
    <w:rsid w:val="009D2AB6"/>
    <w:rsid w:val="009D3CC8"/>
    <w:rsid w:val="009D5A5E"/>
    <w:rsid w:val="009D6183"/>
    <w:rsid w:val="009D7D2B"/>
    <w:rsid w:val="009E04A1"/>
    <w:rsid w:val="009E11AD"/>
    <w:rsid w:val="009E1929"/>
    <w:rsid w:val="009E2C87"/>
    <w:rsid w:val="009E3668"/>
    <w:rsid w:val="009E39A6"/>
    <w:rsid w:val="009E402A"/>
    <w:rsid w:val="009E4769"/>
    <w:rsid w:val="009E5B1E"/>
    <w:rsid w:val="009E6233"/>
    <w:rsid w:val="009E63C1"/>
    <w:rsid w:val="009E69E5"/>
    <w:rsid w:val="009E764C"/>
    <w:rsid w:val="009E7857"/>
    <w:rsid w:val="009E7E7D"/>
    <w:rsid w:val="009F097B"/>
    <w:rsid w:val="009F0E73"/>
    <w:rsid w:val="009F1187"/>
    <w:rsid w:val="009F161D"/>
    <w:rsid w:val="009F1D86"/>
    <w:rsid w:val="009F27D9"/>
    <w:rsid w:val="009F28B5"/>
    <w:rsid w:val="009F2B31"/>
    <w:rsid w:val="009F3247"/>
    <w:rsid w:val="009F5B75"/>
    <w:rsid w:val="009F6364"/>
    <w:rsid w:val="009F6F3E"/>
    <w:rsid w:val="009F6F6A"/>
    <w:rsid w:val="009F7797"/>
    <w:rsid w:val="00A00A08"/>
    <w:rsid w:val="00A00DFD"/>
    <w:rsid w:val="00A022B1"/>
    <w:rsid w:val="00A02EF8"/>
    <w:rsid w:val="00A02F9C"/>
    <w:rsid w:val="00A038C0"/>
    <w:rsid w:val="00A04461"/>
    <w:rsid w:val="00A04885"/>
    <w:rsid w:val="00A04ABF"/>
    <w:rsid w:val="00A04F21"/>
    <w:rsid w:val="00A056E0"/>
    <w:rsid w:val="00A0637E"/>
    <w:rsid w:val="00A06532"/>
    <w:rsid w:val="00A0678B"/>
    <w:rsid w:val="00A07093"/>
    <w:rsid w:val="00A125BB"/>
    <w:rsid w:val="00A12896"/>
    <w:rsid w:val="00A13F7C"/>
    <w:rsid w:val="00A1407B"/>
    <w:rsid w:val="00A14321"/>
    <w:rsid w:val="00A14EDD"/>
    <w:rsid w:val="00A15A16"/>
    <w:rsid w:val="00A1604E"/>
    <w:rsid w:val="00A16E26"/>
    <w:rsid w:val="00A2270B"/>
    <w:rsid w:val="00A2317C"/>
    <w:rsid w:val="00A23596"/>
    <w:rsid w:val="00A24229"/>
    <w:rsid w:val="00A253DE"/>
    <w:rsid w:val="00A263DD"/>
    <w:rsid w:val="00A26461"/>
    <w:rsid w:val="00A277AD"/>
    <w:rsid w:val="00A279B3"/>
    <w:rsid w:val="00A31221"/>
    <w:rsid w:val="00A31BD1"/>
    <w:rsid w:val="00A31C33"/>
    <w:rsid w:val="00A31ECF"/>
    <w:rsid w:val="00A3431B"/>
    <w:rsid w:val="00A35442"/>
    <w:rsid w:val="00A35EF9"/>
    <w:rsid w:val="00A379E5"/>
    <w:rsid w:val="00A40915"/>
    <w:rsid w:val="00A4092C"/>
    <w:rsid w:val="00A40E8E"/>
    <w:rsid w:val="00A40F66"/>
    <w:rsid w:val="00A4117F"/>
    <w:rsid w:val="00A414A3"/>
    <w:rsid w:val="00A418BF"/>
    <w:rsid w:val="00A41EA9"/>
    <w:rsid w:val="00A425DC"/>
    <w:rsid w:val="00A43515"/>
    <w:rsid w:val="00A43980"/>
    <w:rsid w:val="00A44142"/>
    <w:rsid w:val="00A44922"/>
    <w:rsid w:val="00A449F2"/>
    <w:rsid w:val="00A4552E"/>
    <w:rsid w:val="00A45CAD"/>
    <w:rsid w:val="00A4654D"/>
    <w:rsid w:val="00A46ABB"/>
    <w:rsid w:val="00A50B43"/>
    <w:rsid w:val="00A51763"/>
    <w:rsid w:val="00A5199A"/>
    <w:rsid w:val="00A51D2C"/>
    <w:rsid w:val="00A51D5B"/>
    <w:rsid w:val="00A52D33"/>
    <w:rsid w:val="00A539A6"/>
    <w:rsid w:val="00A5421B"/>
    <w:rsid w:val="00A54F0A"/>
    <w:rsid w:val="00A55376"/>
    <w:rsid w:val="00A5625E"/>
    <w:rsid w:val="00A56AFD"/>
    <w:rsid w:val="00A57383"/>
    <w:rsid w:val="00A57767"/>
    <w:rsid w:val="00A6007A"/>
    <w:rsid w:val="00A60342"/>
    <w:rsid w:val="00A60C74"/>
    <w:rsid w:val="00A61146"/>
    <w:rsid w:val="00A6182F"/>
    <w:rsid w:val="00A61D3B"/>
    <w:rsid w:val="00A63784"/>
    <w:rsid w:val="00A64D11"/>
    <w:rsid w:val="00A6509F"/>
    <w:rsid w:val="00A658E6"/>
    <w:rsid w:val="00A6646A"/>
    <w:rsid w:val="00A66FCD"/>
    <w:rsid w:val="00A6787F"/>
    <w:rsid w:val="00A70C0D"/>
    <w:rsid w:val="00A71447"/>
    <w:rsid w:val="00A71FD6"/>
    <w:rsid w:val="00A72714"/>
    <w:rsid w:val="00A72C4D"/>
    <w:rsid w:val="00A735A1"/>
    <w:rsid w:val="00A735E3"/>
    <w:rsid w:val="00A73BE6"/>
    <w:rsid w:val="00A74143"/>
    <w:rsid w:val="00A74280"/>
    <w:rsid w:val="00A742E8"/>
    <w:rsid w:val="00A746E3"/>
    <w:rsid w:val="00A7522D"/>
    <w:rsid w:val="00A75AFA"/>
    <w:rsid w:val="00A762CB"/>
    <w:rsid w:val="00A76DAA"/>
    <w:rsid w:val="00A7717A"/>
    <w:rsid w:val="00A771FB"/>
    <w:rsid w:val="00A77357"/>
    <w:rsid w:val="00A8021C"/>
    <w:rsid w:val="00A80256"/>
    <w:rsid w:val="00A81818"/>
    <w:rsid w:val="00A81F7F"/>
    <w:rsid w:val="00A8211D"/>
    <w:rsid w:val="00A82C3C"/>
    <w:rsid w:val="00A8302C"/>
    <w:rsid w:val="00A83BF1"/>
    <w:rsid w:val="00A84D71"/>
    <w:rsid w:val="00A84DAD"/>
    <w:rsid w:val="00A854E5"/>
    <w:rsid w:val="00A85DAB"/>
    <w:rsid w:val="00A85E88"/>
    <w:rsid w:val="00A8608A"/>
    <w:rsid w:val="00A86B72"/>
    <w:rsid w:val="00A86E60"/>
    <w:rsid w:val="00A8795E"/>
    <w:rsid w:val="00A87AB9"/>
    <w:rsid w:val="00A90DE9"/>
    <w:rsid w:val="00A9204F"/>
    <w:rsid w:val="00A923D6"/>
    <w:rsid w:val="00A924B9"/>
    <w:rsid w:val="00A927DD"/>
    <w:rsid w:val="00A93370"/>
    <w:rsid w:val="00A93868"/>
    <w:rsid w:val="00A938A7"/>
    <w:rsid w:val="00A958EE"/>
    <w:rsid w:val="00A95A7D"/>
    <w:rsid w:val="00A95CB9"/>
    <w:rsid w:val="00A95DFF"/>
    <w:rsid w:val="00A96187"/>
    <w:rsid w:val="00A96485"/>
    <w:rsid w:val="00A97020"/>
    <w:rsid w:val="00AA0431"/>
    <w:rsid w:val="00AA0494"/>
    <w:rsid w:val="00AA1465"/>
    <w:rsid w:val="00AA1593"/>
    <w:rsid w:val="00AA15CD"/>
    <w:rsid w:val="00AA21F5"/>
    <w:rsid w:val="00AA3621"/>
    <w:rsid w:val="00AA4181"/>
    <w:rsid w:val="00AA42C1"/>
    <w:rsid w:val="00AA4319"/>
    <w:rsid w:val="00AA43DE"/>
    <w:rsid w:val="00AA4C8B"/>
    <w:rsid w:val="00AA6A5C"/>
    <w:rsid w:val="00AB010F"/>
    <w:rsid w:val="00AB2A12"/>
    <w:rsid w:val="00AB2C60"/>
    <w:rsid w:val="00AB321C"/>
    <w:rsid w:val="00AB3363"/>
    <w:rsid w:val="00AB427B"/>
    <w:rsid w:val="00AB42AA"/>
    <w:rsid w:val="00AB4750"/>
    <w:rsid w:val="00AB6474"/>
    <w:rsid w:val="00AB75D5"/>
    <w:rsid w:val="00AC0334"/>
    <w:rsid w:val="00AC0708"/>
    <w:rsid w:val="00AC13EF"/>
    <w:rsid w:val="00AC1AE2"/>
    <w:rsid w:val="00AC2461"/>
    <w:rsid w:val="00AC3890"/>
    <w:rsid w:val="00AC490D"/>
    <w:rsid w:val="00AC5B6A"/>
    <w:rsid w:val="00AC6374"/>
    <w:rsid w:val="00AC79C9"/>
    <w:rsid w:val="00AD092F"/>
    <w:rsid w:val="00AD0968"/>
    <w:rsid w:val="00AD0EA8"/>
    <w:rsid w:val="00AD13D4"/>
    <w:rsid w:val="00AD1E94"/>
    <w:rsid w:val="00AD2945"/>
    <w:rsid w:val="00AD3889"/>
    <w:rsid w:val="00AD38C8"/>
    <w:rsid w:val="00AD4F0C"/>
    <w:rsid w:val="00AD588A"/>
    <w:rsid w:val="00AD5A71"/>
    <w:rsid w:val="00AD6046"/>
    <w:rsid w:val="00AD6AA5"/>
    <w:rsid w:val="00AD6F0A"/>
    <w:rsid w:val="00AE049E"/>
    <w:rsid w:val="00AE0D21"/>
    <w:rsid w:val="00AE131E"/>
    <w:rsid w:val="00AE143D"/>
    <w:rsid w:val="00AE1831"/>
    <w:rsid w:val="00AE4244"/>
    <w:rsid w:val="00AE4703"/>
    <w:rsid w:val="00AE5526"/>
    <w:rsid w:val="00AE56A7"/>
    <w:rsid w:val="00AE5FCA"/>
    <w:rsid w:val="00AE7A55"/>
    <w:rsid w:val="00AF1370"/>
    <w:rsid w:val="00AF1EF3"/>
    <w:rsid w:val="00AF24FE"/>
    <w:rsid w:val="00AF2D67"/>
    <w:rsid w:val="00AF3017"/>
    <w:rsid w:val="00AF35A8"/>
    <w:rsid w:val="00AF5CCC"/>
    <w:rsid w:val="00AF5CEF"/>
    <w:rsid w:val="00AF6134"/>
    <w:rsid w:val="00AF6473"/>
    <w:rsid w:val="00AF683D"/>
    <w:rsid w:val="00AF7031"/>
    <w:rsid w:val="00AF76C6"/>
    <w:rsid w:val="00B00392"/>
    <w:rsid w:val="00B00A0E"/>
    <w:rsid w:val="00B011DC"/>
    <w:rsid w:val="00B01ED0"/>
    <w:rsid w:val="00B021D2"/>
    <w:rsid w:val="00B02A12"/>
    <w:rsid w:val="00B02E65"/>
    <w:rsid w:val="00B03621"/>
    <w:rsid w:val="00B04C49"/>
    <w:rsid w:val="00B05609"/>
    <w:rsid w:val="00B05765"/>
    <w:rsid w:val="00B05CB9"/>
    <w:rsid w:val="00B06A9C"/>
    <w:rsid w:val="00B0707B"/>
    <w:rsid w:val="00B0772F"/>
    <w:rsid w:val="00B07B97"/>
    <w:rsid w:val="00B07E16"/>
    <w:rsid w:val="00B07E6C"/>
    <w:rsid w:val="00B116FE"/>
    <w:rsid w:val="00B11B31"/>
    <w:rsid w:val="00B11DD9"/>
    <w:rsid w:val="00B11E51"/>
    <w:rsid w:val="00B122AD"/>
    <w:rsid w:val="00B122C9"/>
    <w:rsid w:val="00B1349D"/>
    <w:rsid w:val="00B135B4"/>
    <w:rsid w:val="00B149F6"/>
    <w:rsid w:val="00B16D9A"/>
    <w:rsid w:val="00B17A5D"/>
    <w:rsid w:val="00B17BF3"/>
    <w:rsid w:val="00B20578"/>
    <w:rsid w:val="00B20B9E"/>
    <w:rsid w:val="00B212C0"/>
    <w:rsid w:val="00B21B42"/>
    <w:rsid w:val="00B21DE5"/>
    <w:rsid w:val="00B22A6F"/>
    <w:rsid w:val="00B238B5"/>
    <w:rsid w:val="00B241B1"/>
    <w:rsid w:val="00B24710"/>
    <w:rsid w:val="00B24878"/>
    <w:rsid w:val="00B24A69"/>
    <w:rsid w:val="00B257E8"/>
    <w:rsid w:val="00B258F4"/>
    <w:rsid w:val="00B269C6"/>
    <w:rsid w:val="00B300CE"/>
    <w:rsid w:val="00B302BA"/>
    <w:rsid w:val="00B32570"/>
    <w:rsid w:val="00B334C6"/>
    <w:rsid w:val="00B33F26"/>
    <w:rsid w:val="00B358BE"/>
    <w:rsid w:val="00B36596"/>
    <w:rsid w:val="00B36B95"/>
    <w:rsid w:val="00B3729A"/>
    <w:rsid w:val="00B400B0"/>
    <w:rsid w:val="00B4103C"/>
    <w:rsid w:val="00B416FD"/>
    <w:rsid w:val="00B42124"/>
    <w:rsid w:val="00B43331"/>
    <w:rsid w:val="00B436E9"/>
    <w:rsid w:val="00B439EE"/>
    <w:rsid w:val="00B440C7"/>
    <w:rsid w:val="00B4445A"/>
    <w:rsid w:val="00B451EB"/>
    <w:rsid w:val="00B45EB0"/>
    <w:rsid w:val="00B4655D"/>
    <w:rsid w:val="00B46AAA"/>
    <w:rsid w:val="00B46BD6"/>
    <w:rsid w:val="00B47197"/>
    <w:rsid w:val="00B472FD"/>
    <w:rsid w:val="00B473E6"/>
    <w:rsid w:val="00B47685"/>
    <w:rsid w:val="00B47D6B"/>
    <w:rsid w:val="00B504FF"/>
    <w:rsid w:val="00B514EF"/>
    <w:rsid w:val="00B51B9C"/>
    <w:rsid w:val="00B51F8D"/>
    <w:rsid w:val="00B52534"/>
    <w:rsid w:val="00B52632"/>
    <w:rsid w:val="00B52B08"/>
    <w:rsid w:val="00B53E32"/>
    <w:rsid w:val="00B550A2"/>
    <w:rsid w:val="00B555BD"/>
    <w:rsid w:val="00B5579A"/>
    <w:rsid w:val="00B56C88"/>
    <w:rsid w:val="00B604B7"/>
    <w:rsid w:val="00B60757"/>
    <w:rsid w:val="00B60B8D"/>
    <w:rsid w:val="00B60FF1"/>
    <w:rsid w:val="00B61897"/>
    <w:rsid w:val="00B61CE1"/>
    <w:rsid w:val="00B620AB"/>
    <w:rsid w:val="00B63FB2"/>
    <w:rsid w:val="00B64071"/>
    <w:rsid w:val="00B64E07"/>
    <w:rsid w:val="00B653DD"/>
    <w:rsid w:val="00B6699F"/>
    <w:rsid w:val="00B67A3C"/>
    <w:rsid w:val="00B70871"/>
    <w:rsid w:val="00B71017"/>
    <w:rsid w:val="00B712D2"/>
    <w:rsid w:val="00B721F7"/>
    <w:rsid w:val="00B725DE"/>
    <w:rsid w:val="00B72A35"/>
    <w:rsid w:val="00B73198"/>
    <w:rsid w:val="00B7377B"/>
    <w:rsid w:val="00B73D88"/>
    <w:rsid w:val="00B73FF5"/>
    <w:rsid w:val="00B751F8"/>
    <w:rsid w:val="00B75605"/>
    <w:rsid w:val="00B768DF"/>
    <w:rsid w:val="00B805FB"/>
    <w:rsid w:val="00B8194F"/>
    <w:rsid w:val="00B819A2"/>
    <w:rsid w:val="00B81F14"/>
    <w:rsid w:val="00B82789"/>
    <w:rsid w:val="00B82F99"/>
    <w:rsid w:val="00B83E25"/>
    <w:rsid w:val="00B84A4F"/>
    <w:rsid w:val="00B84B2E"/>
    <w:rsid w:val="00B851C8"/>
    <w:rsid w:val="00B85348"/>
    <w:rsid w:val="00B85BDF"/>
    <w:rsid w:val="00B8605C"/>
    <w:rsid w:val="00B86104"/>
    <w:rsid w:val="00B86252"/>
    <w:rsid w:val="00B86E44"/>
    <w:rsid w:val="00B878F3"/>
    <w:rsid w:val="00B90EA5"/>
    <w:rsid w:val="00B911B7"/>
    <w:rsid w:val="00B91209"/>
    <w:rsid w:val="00B915CE"/>
    <w:rsid w:val="00B92910"/>
    <w:rsid w:val="00B92BDD"/>
    <w:rsid w:val="00B93ABD"/>
    <w:rsid w:val="00B940CA"/>
    <w:rsid w:val="00B95E0B"/>
    <w:rsid w:val="00B96B59"/>
    <w:rsid w:val="00B96D32"/>
    <w:rsid w:val="00B97054"/>
    <w:rsid w:val="00B97F8B"/>
    <w:rsid w:val="00B97FBE"/>
    <w:rsid w:val="00BA0643"/>
    <w:rsid w:val="00BA0FAA"/>
    <w:rsid w:val="00BA1D72"/>
    <w:rsid w:val="00BA2B5C"/>
    <w:rsid w:val="00BA329B"/>
    <w:rsid w:val="00BA3768"/>
    <w:rsid w:val="00BA3AAA"/>
    <w:rsid w:val="00BA3F14"/>
    <w:rsid w:val="00BA606A"/>
    <w:rsid w:val="00BA63FE"/>
    <w:rsid w:val="00BA65BE"/>
    <w:rsid w:val="00BB0368"/>
    <w:rsid w:val="00BB190A"/>
    <w:rsid w:val="00BB1F20"/>
    <w:rsid w:val="00BB2C38"/>
    <w:rsid w:val="00BB395B"/>
    <w:rsid w:val="00BB5DD6"/>
    <w:rsid w:val="00BB7946"/>
    <w:rsid w:val="00BB79DE"/>
    <w:rsid w:val="00BB7C0D"/>
    <w:rsid w:val="00BC04E0"/>
    <w:rsid w:val="00BC06BA"/>
    <w:rsid w:val="00BC070D"/>
    <w:rsid w:val="00BC0FF0"/>
    <w:rsid w:val="00BC10F6"/>
    <w:rsid w:val="00BC13EB"/>
    <w:rsid w:val="00BC1604"/>
    <w:rsid w:val="00BC19C1"/>
    <w:rsid w:val="00BC1E4D"/>
    <w:rsid w:val="00BC2859"/>
    <w:rsid w:val="00BC2D73"/>
    <w:rsid w:val="00BC358A"/>
    <w:rsid w:val="00BC5C8C"/>
    <w:rsid w:val="00BC6BA1"/>
    <w:rsid w:val="00BC7940"/>
    <w:rsid w:val="00BC7D5C"/>
    <w:rsid w:val="00BD0399"/>
    <w:rsid w:val="00BD03A8"/>
    <w:rsid w:val="00BD075A"/>
    <w:rsid w:val="00BD17BA"/>
    <w:rsid w:val="00BD2AEF"/>
    <w:rsid w:val="00BD49A5"/>
    <w:rsid w:val="00BD4B96"/>
    <w:rsid w:val="00BD51E7"/>
    <w:rsid w:val="00BD556C"/>
    <w:rsid w:val="00BD71A7"/>
    <w:rsid w:val="00BD7263"/>
    <w:rsid w:val="00BE06B8"/>
    <w:rsid w:val="00BE0700"/>
    <w:rsid w:val="00BE1D4B"/>
    <w:rsid w:val="00BE2153"/>
    <w:rsid w:val="00BE238D"/>
    <w:rsid w:val="00BE5288"/>
    <w:rsid w:val="00BE53FA"/>
    <w:rsid w:val="00BE594B"/>
    <w:rsid w:val="00BE59C7"/>
    <w:rsid w:val="00BE6158"/>
    <w:rsid w:val="00BE6D5D"/>
    <w:rsid w:val="00BE76F7"/>
    <w:rsid w:val="00BE7A61"/>
    <w:rsid w:val="00BF2B15"/>
    <w:rsid w:val="00BF2DA9"/>
    <w:rsid w:val="00BF3D6B"/>
    <w:rsid w:val="00BF48AA"/>
    <w:rsid w:val="00BF4C85"/>
    <w:rsid w:val="00BF545C"/>
    <w:rsid w:val="00BF618F"/>
    <w:rsid w:val="00BF7AAE"/>
    <w:rsid w:val="00BF7ABC"/>
    <w:rsid w:val="00C002C2"/>
    <w:rsid w:val="00C02843"/>
    <w:rsid w:val="00C0299E"/>
    <w:rsid w:val="00C02BC4"/>
    <w:rsid w:val="00C02F1B"/>
    <w:rsid w:val="00C03D52"/>
    <w:rsid w:val="00C04FAB"/>
    <w:rsid w:val="00C0540A"/>
    <w:rsid w:val="00C0610D"/>
    <w:rsid w:val="00C067E3"/>
    <w:rsid w:val="00C12402"/>
    <w:rsid w:val="00C12F28"/>
    <w:rsid w:val="00C13238"/>
    <w:rsid w:val="00C13631"/>
    <w:rsid w:val="00C1497D"/>
    <w:rsid w:val="00C14ACF"/>
    <w:rsid w:val="00C150AE"/>
    <w:rsid w:val="00C156D0"/>
    <w:rsid w:val="00C17AB1"/>
    <w:rsid w:val="00C20AFC"/>
    <w:rsid w:val="00C21FD3"/>
    <w:rsid w:val="00C221F6"/>
    <w:rsid w:val="00C224D4"/>
    <w:rsid w:val="00C231D1"/>
    <w:rsid w:val="00C23224"/>
    <w:rsid w:val="00C24185"/>
    <w:rsid w:val="00C24504"/>
    <w:rsid w:val="00C25048"/>
    <w:rsid w:val="00C25113"/>
    <w:rsid w:val="00C26B20"/>
    <w:rsid w:val="00C26F87"/>
    <w:rsid w:val="00C27050"/>
    <w:rsid w:val="00C271AB"/>
    <w:rsid w:val="00C274D5"/>
    <w:rsid w:val="00C27737"/>
    <w:rsid w:val="00C3079B"/>
    <w:rsid w:val="00C311B9"/>
    <w:rsid w:val="00C31F83"/>
    <w:rsid w:val="00C32105"/>
    <w:rsid w:val="00C32171"/>
    <w:rsid w:val="00C326BB"/>
    <w:rsid w:val="00C32F82"/>
    <w:rsid w:val="00C33FD6"/>
    <w:rsid w:val="00C3412A"/>
    <w:rsid w:val="00C342A1"/>
    <w:rsid w:val="00C3551A"/>
    <w:rsid w:val="00C35D1D"/>
    <w:rsid w:val="00C37B2B"/>
    <w:rsid w:val="00C40A49"/>
    <w:rsid w:val="00C40D83"/>
    <w:rsid w:val="00C40DD7"/>
    <w:rsid w:val="00C4194D"/>
    <w:rsid w:val="00C41A80"/>
    <w:rsid w:val="00C41B84"/>
    <w:rsid w:val="00C420F5"/>
    <w:rsid w:val="00C422BA"/>
    <w:rsid w:val="00C42479"/>
    <w:rsid w:val="00C42924"/>
    <w:rsid w:val="00C42AF5"/>
    <w:rsid w:val="00C42FAF"/>
    <w:rsid w:val="00C4582D"/>
    <w:rsid w:val="00C466EB"/>
    <w:rsid w:val="00C46B9D"/>
    <w:rsid w:val="00C50B07"/>
    <w:rsid w:val="00C51032"/>
    <w:rsid w:val="00C52DEA"/>
    <w:rsid w:val="00C53AEE"/>
    <w:rsid w:val="00C53BC0"/>
    <w:rsid w:val="00C554A4"/>
    <w:rsid w:val="00C559DF"/>
    <w:rsid w:val="00C55F65"/>
    <w:rsid w:val="00C56174"/>
    <w:rsid w:val="00C562EA"/>
    <w:rsid w:val="00C56436"/>
    <w:rsid w:val="00C568B4"/>
    <w:rsid w:val="00C569A0"/>
    <w:rsid w:val="00C56A58"/>
    <w:rsid w:val="00C57385"/>
    <w:rsid w:val="00C5794C"/>
    <w:rsid w:val="00C601D1"/>
    <w:rsid w:val="00C60265"/>
    <w:rsid w:val="00C6196A"/>
    <w:rsid w:val="00C632BB"/>
    <w:rsid w:val="00C634D9"/>
    <w:rsid w:val="00C63AE0"/>
    <w:rsid w:val="00C64509"/>
    <w:rsid w:val="00C64894"/>
    <w:rsid w:val="00C648A5"/>
    <w:rsid w:val="00C660EE"/>
    <w:rsid w:val="00C67A41"/>
    <w:rsid w:val="00C67C08"/>
    <w:rsid w:val="00C7007E"/>
    <w:rsid w:val="00C703B9"/>
    <w:rsid w:val="00C70A6C"/>
    <w:rsid w:val="00C720C1"/>
    <w:rsid w:val="00C72B12"/>
    <w:rsid w:val="00C7344E"/>
    <w:rsid w:val="00C7577F"/>
    <w:rsid w:val="00C766E3"/>
    <w:rsid w:val="00C76CC8"/>
    <w:rsid w:val="00C778D7"/>
    <w:rsid w:val="00C81112"/>
    <w:rsid w:val="00C82606"/>
    <w:rsid w:val="00C827DF"/>
    <w:rsid w:val="00C82888"/>
    <w:rsid w:val="00C82D4A"/>
    <w:rsid w:val="00C83469"/>
    <w:rsid w:val="00C83E20"/>
    <w:rsid w:val="00C842D6"/>
    <w:rsid w:val="00C84853"/>
    <w:rsid w:val="00C84FD1"/>
    <w:rsid w:val="00C8562D"/>
    <w:rsid w:val="00C868D0"/>
    <w:rsid w:val="00C87229"/>
    <w:rsid w:val="00C87DC7"/>
    <w:rsid w:val="00C87F1F"/>
    <w:rsid w:val="00C905DD"/>
    <w:rsid w:val="00C915F0"/>
    <w:rsid w:val="00C91DA1"/>
    <w:rsid w:val="00C926F6"/>
    <w:rsid w:val="00C92797"/>
    <w:rsid w:val="00C92B08"/>
    <w:rsid w:val="00C92EAB"/>
    <w:rsid w:val="00C92FCF"/>
    <w:rsid w:val="00C94611"/>
    <w:rsid w:val="00C95816"/>
    <w:rsid w:val="00C97139"/>
    <w:rsid w:val="00C97189"/>
    <w:rsid w:val="00CA0904"/>
    <w:rsid w:val="00CA0BBD"/>
    <w:rsid w:val="00CA2A4C"/>
    <w:rsid w:val="00CA3BF4"/>
    <w:rsid w:val="00CA3DE3"/>
    <w:rsid w:val="00CA53D5"/>
    <w:rsid w:val="00CA5516"/>
    <w:rsid w:val="00CA5582"/>
    <w:rsid w:val="00CA5FCA"/>
    <w:rsid w:val="00CA64DB"/>
    <w:rsid w:val="00CA7695"/>
    <w:rsid w:val="00CA7C46"/>
    <w:rsid w:val="00CB06D0"/>
    <w:rsid w:val="00CB0809"/>
    <w:rsid w:val="00CB0AE3"/>
    <w:rsid w:val="00CB0C4B"/>
    <w:rsid w:val="00CB3664"/>
    <w:rsid w:val="00CB4071"/>
    <w:rsid w:val="00CB4256"/>
    <w:rsid w:val="00CB43FC"/>
    <w:rsid w:val="00CB4A2F"/>
    <w:rsid w:val="00CB517D"/>
    <w:rsid w:val="00CB5B54"/>
    <w:rsid w:val="00CB691B"/>
    <w:rsid w:val="00CB6C94"/>
    <w:rsid w:val="00CB78B6"/>
    <w:rsid w:val="00CB7913"/>
    <w:rsid w:val="00CC11B7"/>
    <w:rsid w:val="00CC1D74"/>
    <w:rsid w:val="00CC2336"/>
    <w:rsid w:val="00CC2F12"/>
    <w:rsid w:val="00CC3036"/>
    <w:rsid w:val="00CC318B"/>
    <w:rsid w:val="00CC39A0"/>
    <w:rsid w:val="00CC39F9"/>
    <w:rsid w:val="00CC4349"/>
    <w:rsid w:val="00CC4685"/>
    <w:rsid w:val="00CC472E"/>
    <w:rsid w:val="00CC5F4B"/>
    <w:rsid w:val="00CC62BF"/>
    <w:rsid w:val="00CC6549"/>
    <w:rsid w:val="00CC6AF0"/>
    <w:rsid w:val="00CC6D4E"/>
    <w:rsid w:val="00CC76DF"/>
    <w:rsid w:val="00CD17C8"/>
    <w:rsid w:val="00CD1AB5"/>
    <w:rsid w:val="00CD1AC0"/>
    <w:rsid w:val="00CD1FB1"/>
    <w:rsid w:val="00CD253C"/>
    <w:rsid w:val="00CD2693"/>
    <w:rsid w:val="00CD4622"/>
    <w:rsid w:val="00CD4B08"/>
    <w:rsid w:val="00CD549D"/>
    <w:rsid w:val="00CD636F"/>
    <w:rsid w:val="00CD6E7B"/>
    <w:rsid w:val="00CD742C"/>
    <w:rsid w:val="00CD7644"/>
    <w:rsid w:val="00CD7B62"/>
    <w:rsid w:val="00CD7CE3"/>
    <w:rsid w:val="00CE2D05"/>
    <w:rsid w:val="00CE3245"/>
    <w:rsid w:val="00CE32D4"/>
    <w:rsid w:val="00CE36CA"/>
    <w:rsid w:val="00CE3FC2"/>
    <w:rsid w:val="00CE43F2"/>
    <w:rsid w:val="00CE4EEF"/>
    <w:rsid w:val="00CE5562"/>
    <w:rsid w:val="00CE55EF"/>
    <w:rsid w:val="00CE5D55"/>
    <w:rsid w:val="00CE601E"/>
    <w:rsid w:val="00CE6106"/>
    <w:rsid w:val="00CE612A"/>
    <w:rsid w:val="00CE61AB"/>
    <w:rsid w:val="00CE6302"/>
    <w:rsid w:val="00CE72EC"/>
    <w:rsid w:val="00CE7A02"/>
    <w:rsid w:val="00CF0FE5"/>
    <w:rsid w:val="00CF13ED"/>
    <w:rsid w:val="00CF15B2"/>
    <w:rsid w:val="00CF1A02"/>
    <w:rsid w:val="00CF2C60"/>
    <w:rsid w:val="00CF2D9A"/>
    <w:rsid w:val="00CF31BB"/>
    <w:rsid w:val="00CF3E75"/>
    <w:rsid w:val="00CF3EEE"/>
    <w:rsid w:val="00CF6C42"/>
    <w:rsid w:val="00CF6CCE"/>
    <w:rsid w:val="00D01E59"/>
    <w:rsid w:val="00D02072"/>
    <w:rsid w:val="00D02540"/>
    <w:rsid w:val="00D03872"/>
    <w:rsid w:val="00D066C3"/>
    <w:rsid w:val="00D06F6E"/>
    <w:rsid w:val="00D101D7"/>
    <w:rsid w:val="00D102CE"/>
    <w:rsid w:val="00D10CC4"/>
    <w:rsid w:val="00D111F8"/>
    <w:rsid w:val="00D11926"/>
    <w:rsid w:val="00D119C7"/>
    <w:rsid w:val="00D11B65"/>
    <w:rsid w:val="00D11BCD"/>
    <w:rsid w:val="00D11E15"/>
    <w:rsid w:val="00D12150"/>
    <w:rsid w:val="00D12706"/>
    <w:rsid w:val="00D13950"/>
    <w:rsid w:val="00D148AE"/>
    <w:rsid w:val="00D1547A"/>
    <w:rsid w:val="00D15646"/>
    <w:rsid w:val="00D156DB"/>
    <w:rsid w:val="00D15ABD"/>
    <w:rsid w:val="00D15FD2"/>
    <w:rsid w:val="00D16FAA"/>
    <w:rsid w:val="00D1701C"/>
    <w:rsid w:val="00D17BD1"/>
    <w:rsid w:val="00D17D23"/>
    <w:rsid w:val="00D17DF1"/>
    <w:rsid w:val="00D17ED6"/>
    <w:rsid w:val="00D20698"/>
    <w:rsid w:val="00D219C8"/>
    <w:rsid w:val="00D22308"/>
    <w:rsid w:val="00D22588"/>
    <w:rsid w:val="00D23243"/>
    <w:rsid w:val="00D23C45"/>
    <w:rsid w:val="00D2401A"/>
    <w:rsid w:val="00D24BD9"/>
    <w:rsid w:val="00D25D84"/>
    <w:rsid w:val="00D26549"/>
    <w:rsid w:val="00D26A04"/>
    <w:rsid w:val="00D27437"/>
    <w:rsid w:val="00D304AA"/>
    <w:rsid w:val="00D30EC6"/>
    <w:rsid w:val="00D3285E"/>
    <w:rsid w:val="00D33354"/>
    <w:rsid w:val="00D33A2D"/>
    <w:rsid w:val="00D33FB7"/>
    <w:rsid w:val="00D340B2"/>
    <w:rsid w:val="00D341A1"/>
    <w:rsid w:val="00D342DA"/>
    <w:rsid w:val="00D3450D"/>
    <w:rsid w:val="00D345F1"/>
    <w:rsid w:val="00D34F6E"/>
    <w:rsid w:val="00D35600"/>
    <w:rsid w:val="00D35F97"/>
    <w:rsid w:val="00D36274"/>
    <w:rsid w:val="00D36D97"/>
    <w:rsid w:val="00D36F0F"/>
    <w:rsid w:val="00D36F1B"/>
    <w:rsid w:val="00D370F9"/>
    <w:rsid w:val="00D401A5"/>
    <w:rsid w:val="00D40CDA"/>
    <w:rsid w:val="00D41BA0"/>
    <w:rsid w:val="00D435E7"/>
    <w:rsid w:val="00D4382A"/>
    <w:rsid w:val="00D4413E"/>
    <w:rsid w:val="00D45167"/>
    <w:rsid w:val="00D4573D"/>
    <w:rsid w:val="00D45A05"/>
    <w:rsid w:val="00D45FFF"/>
    <w:rsid w:val="00D460B3"/>
    <w:rsid w:val="00D47731"/>
    <w:rsid w:val="00D51468"/>
    <w:rsid w:val="00D526AB"/>
    <w:rsid w:val="00D536ED"/>
    <w:rsid w:val="00D537BD"/>
    <w:rsid w:val="00D53EF2"/>
    <w:rsid w:val="00D53FB3"/>
    <w:rsid w:val="00D543A9"/>
    <w:rsid w:val="00D544BB"/>
    <w:rsid w:val="00D54BF6"/>
    <w:rsid w:val="00D5508F"/>
    <w:rsid w:val="00D5680C"/>
    <w:rsid w:val="00D56B7A"/>
    <w:rsid w:val="00D57AFC"/>
    <w:rsid w:val="00D57E68"/>
    <w:rsid w:val="00D60675"/>
    <w:rsid w:val="00D60A5F"/>
    <w:rsid w:val="00D60BD2"/>
    <w:rsid w:val="00D6211B"/>
    <w:rsid w:val="00D63563"/>
    <w:rsid w:val="00D63B45"/>
    <w:rsid w:val="00D64A85"/>
    <w:rsid w:val="00D655D2"/>
    <w:rsid w:val="00D6644E"/>
    <w:rsid w:val="00D664BD"/>
    <w:rsid w:val="00D66AA7"/>
    <w:rsid w:val="00D67122"/>
    <w:rsid w:val="00D67B55"/>
    <w:rsid w:val="00D7002F"/>
    <w:rsid w:val="00D7052C"/>
    <w:rsid w:val="00D70BC5"/>
    <w:rsid w:val="00D70FB9"/>
    <w:rsid w:val="00D715FB"/>
    <w:rsid w:val="00D72156"/>
    <w:rsid w:val="00D721D5"/>
    <w:rsid w:val="00D7283D"/>
    <w:rsid w:val="00D73236"/>
    <w:rsid w:val="00D738D9"/>
    <w:rsid w:val="00D7479E"/>
    <w:rsid w:val="00D74F0A"/>
    <w:rsid w:val="00D75958"/>
    <w:rsid w:val="00D7674D"/>
    <w:rsid w:val="00D77296"/>
    <w:rsid w:val="00D77D8A"/>
    <w:rsid w:val="00D80DC8"/>
    <w:rsid w:val="00D82ED9"/>
    <w:rsid w:val="00D83836"/>
    <w:rsid w:val="00D85A91"/>
    <w:rsid w:val="00D861C4"/>
    <w:rsid w:val="00D86347"/>
    <w:rsid w:val="00D879D0"/>
    <w:rsid w:val="00D90299"/>
    <w:rsid w:val="00D9050D"/>
    <w:rsid w:val="00D907A1"/>
    <w:rsid w:val="00D90C53"/>
    <w:rsid w:val="00D90C90"/>
    <w:rsid w:val="00D918F0"/>
    <w:rsid w:val="00D91BB1"/>
    <w:rsid w:val="00D94A1F"/>
    <w:rsid w:val="00D953CE"/>
    <w:rsid w:val="00D95512"/>
    <w:rsid w:val="00D957DE"/>
    <w:rsid w:val="00D95C04"/>
    <w:rsid w:val="00D95F0C"/>
    <w:rsid w:val="00D95F56"/>
    <w:rsid w:val="00DA00FD"/>
    <w:rsid w:val="00DA04D4"/>
    <w:rsid w:val="00DA18B1"/>
    <w:rsid w:val="00DA1C9E"/>
    <w:rsid w:val="00DA1D2F"/>
    <w:rsid w:val="00DA1D8B"/>
    <w:rsid w:val="00DA1DEC"/>
    <w:rsid w:val="00DA252D"/>
    <w:rsid w:val="00DA2607"/>
    <w:rsid w:val="00DA38C7"/>
    <w:rsid w:val="00DA3FB2"/>
    <w:rsid w:val="00DA454C"/>
    <w:rsid w:val="00DA4F4C"/>
    <w:rsid w:val="00DA547E"/>
    <w:rsid w:val="00DA5511"/>
    <w:rsid w:val="00DA5664"/>
    <w:rsid w:val="00DA5E4B"/>
    <w:rsid w:val="00DA5F27"/>
    <w:rsid w:val="00DA5F45"/>
    <w:rsid w:val="00DA6B58"/>
    <w:rsid w:val="00DA6F59"/>
    <w:rsid w:val="00DA77E0"/>
    <w:rsid w:val="00DA7E35"/>
    <w:rsid w:val="00DB015D"/>
    <w:rsid w:val="00DB07A2"/>
    <w:rsid w:val="00DB1392"/>
    <w:rsid w:val="00DB18D6"/>
    <w:rsid w:val="00DB19B2"/>
    <w:rsid w:val="00DB26D9"/>
    <w:rsid w:val="00DB2CF2"/>
    <w:rsid w:val="00DB41A0"/>
    <w:rsid w:val="00DB4A0A"/>
    <w:rsid w:val="00DB5008"/>
    <w:rsid w:val="00DB6036"/>
    <w:rsid w:val="00DB6EF7"/>
    <w:rsid w:val="00DB78A4"/>
    <w:rsid w:val="00DB7BD3"/>
    <w:rsid w:val="00DC035F"/>
    <w:rsid w:val="00DC19E0"/>
    <w:rsid w:val="00DC2500"/>
    <w:rsid w:val="00DC2CB0"/>
    <w:rsid w:val="00DC2D9E"/>
    <w:rsid w:val="00DC46D5"/>
    <w:rsid w:val="00DC66B4"/>
    <w:rsid w:val="00DC69E0"/>
    <w:rsid w:val="00DC76BF"/>
    <w:rsid w:val="00DC7895"/>
    <w:rsid w:val="00DC7BAD"/>
    <w:rsid w:val="00DD00CD"/>
    <w:rsid w:val="00DD01F6"/>
    <w:rsid w:val="00DD0294"/>
    <w:rsid w:val="00DD0732"/>
    <w:rsid w:val="00DD07FC"/>
    <w:rsid w:val="00DD0D90"/>
    <w:rsid w:val="00DD1A36"/>
    <w:rsid w:val="00DD1A86"/>
    <w:rsid w:val="00DD1CEB"/>
    <w:rsid w:val="00DD2133"/>
    <w:rsid w:val="00DD2D1B"/>
    <w:rsid w:val="00DD32C9"/>
    <w:rsid w:val="00DD3CEE"/>
    <w:rsid w:val="00DD3F93"/>
    <w:rsid w:val="00DD4063"/>
    <w:rsid w:val="00DD44DE"/>
    <w:rsid w:val="00DD47A4"/>
    <w:rsid w:val="00DD5EBE"/>
    <w:rsid w:val="00DD7D0D"/>
    <w:rsid w:val="00DE0EA9"/>
    <w:rsid w:val="00DE1D2F"/>
    <w:rsid w:val="00DE3109"/>
    <w:rsid w:val="00DE32A4"/>
    <w:rsid w:val="00DE335A"/>
    <w:rsid w:val="00DE34C6"/>
    <w:rsid w:val="00DE355F"/>
    <w:rsid w:val="00DE48F3"/>
    <w:rsid w:val="00DE54EA"/>
    <w:rsid w:val="00DE5DEA"/>
    <w:rsid w:val="00DE7163"/>
    <w:rsid w:val="00DF0E0A"/>
    <w:rsid w:val="00DF1170"/>
    <w:rsid w:val="00DF1530"/>
    <w:rsid w:val="00DF19A6"/>
    <w:rsid w:val="00DF2A8B"/>
    <w:rsid w:val="00DF334E"/>
    <w:rsid w:val="00DF34CB"/>
    <w:rsid w:val="00DF3AE3"/>
    <w:rsid w:val="00DF3C7C"/>
    <w:rsid w:val="00DF3DEE"/>
    <w:rsid w:val="00DF43B5"/>
    <w:rsid w:val="00DF44DA"/>
    <w:rsid w:val="00DF52F3"/>
    <w:rsid w:val="00DF5C5E"/>
    <w:rsid w:val="00DF7C75"/>
    <w:rsid w:val="00E001FD"/>
    <w:rsid w:val="00E00808"/>
    <w:rsid w:val="00E00BD2"/>
    <w:rsid w:val="00E01A2F"/>
    <w:rsid w:val="00E01B44"/>
    <w:rsid w:val="00E01D66"/>
    <w:rsid w:val="00E01DE1"/>
    <w:rsid w:val="00E02AD6"/>
    <w:rsid w:val="00E031A8"/>
    <w:rsid w:val="00E03AD9"/>
    <w:rsid w:val="00E0426B"/>
    <w:rsid w:val="00E0558E"/>
    <w:rsid w:val="00E0636F"/>
    <w:rsid w:val="00E0744A"/>
    <w:rsid w:val="00E074CA"/>
    <w:rsid w:val="00E07908"/>
    <w:rsid w:val="00E07D18"/>
    <w:rsid w:val="00E11EDD"/>
    <w:rsid w:val="00E11F4F"/>
    <w:rsid w:val="00E12695"/>
    <w:rsid w:val="00E12E68"/>
    <w:rsid w:val="00E13DD6"/>
    <w:rsid w:val="00E1415D"/>
    <w:rsid w:val="00E14189"/>
    <w:rsid w:val="00E14190"/>
    <w:rsid w:val="00E153D1"/>
    <w:rsid w:val="00E1587F"/>
    <w:rsid w:val="00E16305"/>
    <w:rsid w:val="00E16E67"/>
    <w:rsid w:val="00E174DC"/>
    <w:rsid w:val="00E17B0C"/>
    <w:rsid w:val="00E20747"/>
    <w:rsid w:val="00E21F28"/>
    <w:rsid w:val="00E2274B"/>
    <w:rsid w:val="00E227FD"/>
    <w:rsid w:val="00E22BF2"/>
    <w:rsid w:val="00E22D2B"/>
    <w:rsid w:val="00E24A18"/>
    <w:rsid w:val="00E25180"/>
    <w:rsid w:val="00E25209"/>
    <w:rsid w:val="00E266CE"/>
    <w:rsid w:val="00E315B7"/>
    <w:rsid w:val="00E31F22"/>
    <w:rsid w:val="00E32291"/>
    <w:rsid w:val="00E3267A"/>
    <w:rsid w:val="00E33509"/>
    <w:rsid w:val="00E354F8"/>
    <w:rsid w:val="00E35782"/>
    <w:rsid w:val="00E36EE7"/>
    <w:rsid w:val="00E37532"/>
    <w:rsid w:val="00E42418"/>
    <w:rsid w:val="00E42468"/>
    <w:rsid w:val="00E42487"/>
    <w:rsid w:val="00E43197"/>
    <w:rsid w:val="00E43F23"/>
    <w:rsid w:val="00E44281"/>
    <w:rsid w:val="00E44842"/>
    <w:rsid w:val="00E44876"/>
    <w:rsid w:val="00E454D8"/>
    <w:rsid w:val="00E46673"/>
    <w:rsid w:val="00E47130"/>
    <w:rsid w:val="00E47658"/>
    <w:rsid w:val="00E50333"/>
    <w:rsid w:val="00E5047B"/>
    <w:rsid w:val="00E51CE5"/>
    <w:rsid w:val="00E51D86"/>
    <w:rsid w:val="00E5222E"/>
    <w:rsid w:val="00E532C0"/>
    <w:rsid w:val="00E53435"/>
    <w:rsid w:val="00E54190"/>
    <w:rsid w:val="00E54553"/>
    <w:rsid w:val="00E54860"/>
    <w:rsid w:val="00E5565E"/>
    <w:rsid w:val="00E556B8"/>
    <w:rsid w:val="00E55AED"/>
    <w:rsid w:val="00E55B02"/>
    <w:rsid w:val="00E55DBC"/>
    <w:rsid w:val="00E569E6"/>
    <w:rsid w:val="00E57354"/>
    <w:rsid w:val="00E576BE"/>
    <w:rsid w:val="00E60B28"/>
    <w:rsid w:val="00E61DB8"/>
    <w:rsid w:val="00E62337"/>
    <w:rsid w:val="00E637F5"/>
    <w:rsid w:val="00E64237"/>
    <w:rsid w:val="00E64748"/>
    <w:rsid w:val="00E64C29"/>
    <w:rsid w:val="00E65D63"/>
    <w:rsid w:val="00E667E6"/>
    <w:rsid w:val="00E676A0"/>
    <w:rsid w:val="00E676F6"/>
    <w:rsid w:val="00E70953"/>
    <w:rsid w:val="00E70F5D"/>
    <w:rsid w:val="00E71BD2"/>
    <w:rsid w:val="00E72C59"/>
    <w:rsid w:val="00E7334D"/>
    <w:rsid w:val="00E73564"/>
    <w:rsid w:val="00E7361D"/>
    <w:rsid w:val="00E73B43"/>
    <w:rsid w:val="00E74316"/>
    <w:rsid w:val="00E7497D"/>
    <w:rsid w:val="00E75073"/>
    <w:rsid w:val="00E751C7"/>
    <w:rsid w:val="00E75471"/>
    <w:rsid w:val="00E7648B"/>
    <w:rsid w:val="00E76E67"/>
    <w:rsid w:val="00E77807"/>
    <w:rsid w:val="00E77829"/>
    <w:rsid w:val="00E8015C"/>
    <w:rsid w:val="00E80549"/>
    <w:rsid w:val="00E805CD"/>
    <w:rsid w:val="00E80CEB"/>
    <w:rsid w:val="00E811EB"/>
    <w:rsid w:val="00E81A4C"/>
    <w:rsid w:val="00E81C54"/>
    <w:rsid w:val="00E81C94"/>
    <w:rsid w:val="00E82390"/>
    <w:rsid w:val="00E841CD"/>
    <w:rsid w:val="00E86776"/>
    <w:rsid w:val="00E86BE5"/>
    <w:rsid w:val="00E9061A"/>
    <w:rsid w:val="00E90E44"/>
    <w:rsid w:val="00E91A0F"/>
    <w:rsid w:val="00E925D4"/>
    <w:rsid w:val="00E95701"/>
    <w:rsid w:val="00E95FD5"/>
    <w:rsid w:val="00E9696C"/>
    <w:rsid w:val="00E96A91"/>
    <w:rsid w:val="00E96FE2"/>
    <w:rsid w:val="00E971D6"/>
    <w:rsid w:val="00E979EA"/>
    <w:rsid w:val="00EA18E7"/>
    <w:rsid w:val="00EA2BFA"/>
    <w:rsid w:val="00EA2F85"/>
    <w:rsid w:val="00EA30A1"/>
    <w:rsid w:val="00EA3408"/>
    <w:rsid w:val="00EA34D8"/>
    <w:rsid w:val="00EA369F"/>
    <w:rsid w:val="00EA3A31"/>
    <w:rsid w:val="00EA5461"/>
    <w:rsid w:val="00EA7011"/>
    <w:rsid w:val="00EA7A31"/>
    <w:rsid w:val="00EB0E2D"/>
    <w:rsid w:val="00EB0F15"/>
    <w:rsid w:val="00EB1A7B"/>
    <w:rsid w:val="00EB1CC2"/>
    <w:rsid w:val="00EB3983"/>
    <w:rsid w:val="00EB491D"/>
    <w:rsid w:val="00EB4ACA"/>
    <w:rsid w:val="00EB7051"/>
    <w:rsid w:val="00EB750A"/>
    <w:rsid w:val="00EB7AAC"/>
    <w:rsid w:val="00EC06EB"/>
    <w:rsid w:val="00EC078E"/>
    <w:rsid w:val="00EC163B"/>
    <w:rsid w:val="00EC1FAC"/>
    <w:rsid w:val="00EC27BF"/>
    <w:rsid w:val="00EC407A"/>
    <w:rsid w:val="00EC47BE"/>
    <w:rsid w:val="00EC51C0"/>
    <w:rsid w:val="00EC71A9"/>
    <w:rsid w:val="00EC7541"/>
    <w:rsid w:val="00ED0061"/>
    <w:rsid w:val="00ED0150"/>
    <w:rsid w:val="00ED0585"/>
    <w:rsid w:val="00ED07DC"/>
    <w:rsid w:val="00ED17D7"/>
    <w:rsid w:val="00ED18A9"/>
    <w:rsid w:val="00ED1929"/>
    <w:rsid w:val="00ED2583"/>
    <w:rsid w:val="00ED2BD2"/>
    <w:rsid w:val="00ED38A5"/>
    <w:rsid w:val="00ED436C"/>
    <w:rsid w:val="00ED45BE"/>
    <w:rsid w:val="00ED5005"/>
    <w:rsid w:val="00ED5356"/>
    <w:rsid w:val="00ED6EBE"/>
    <w:rsid w:val="00ED70E2"/>
    <w:rsid w:val="00ED7212"/>
    <w:rsid w:val="00ED732D"/>
    <w:rsid w:val="00ED7519"/>
    <w:rsid w:val="00ED7E3D"/>
    <w:rsid w:val="00EE0194"/>
    <w:rsid w:val="00EE0247"/>
    <w:rsid w:val="00EE1AB4"/>
    <w:rsid w:val="00EE234C"/>
    <w:rsid w:val="00EE2440"/>
    <w:rsid w:val="00EE24BD"/>
    <w:rsid w:val="00EE40A0"/>
    <w:rsid w:val="00EE450D"/>
    <w:rsid w:val="00EE49D2"/>
    <w:rsid w:val="00EE4A77"/>
    <w:rsid w:val="00EE4CFC"/>
    <w:rsid w:val="00EE5871"/>
    <w:rsid w:val="00EE5D9B"/>
    <w:rsid w:val="00EE5F93"/>
    <w:rsid w:val="00EE6577"/>
    <w:rsid w:val="00EE6E83"/>
    <w:rsid w:val="00EE742D"/>
    <w:rsid w:val="00EE7577"/>
    <w:rsid w:val="00EE7955"/>
    <w:rsid w:val="00EF0FD5"/>
    <w:rsid w:val="00EF2966"/>
    <w:rsid w:val="00EF3DC3"/>
    <w:rsid w:val="00EF4212"/>
    <w:rsid w:val="00EF45D4"/>
    <w:rsid w:val="00EF4FF0"/>
    <w:rsid w:val="00EF5269"/>
    <w:rsid w:val="00EF568A"/>
    <w:rsid w:val="00EF5BC1"/>
    <w:rsid w:val="00EF6A97"/>
    <w:rsid w:val="00EF7526"/>
    <w:rsid w:val="00F00825"/>
    <w:rsid w:val="00F00856"/>
    <w:rsid w:val="00F00A38"/>
    <w:rsid w:val="00F00A5F"/>
    <w:rsid w:val="00F0103A"/>
    <w:rsid w:val="00F0194A"/>
    <w:rsid w:val="00F01D4D"/>
    <w:rsid w:val="00F02453"/>
    <w:rsid w:val="00F025E2"/>
    <w:rsid w:val="00F037AA"/>
    <w:rsid w:val="00F04303"/>
    <w:rsid w:val="00F043E1"/>
    <w:rsid w:val="00F045E4"/>
    <w:rsid w:val="00F052F9"/>
    <w:rsid w:val="00F05755"/>
    <w:rsid w:val="00F05D7E"/>
    <w:rsid w:val="00F06324"/>
    <w:rsid w:val="00F10BBE"/>
    <w:rsid w:val="00F10D36"/>
    <w:rsid w:val="00F11B77"/>
    <w:rsid w:val="00F11C95"/>
    <w:rsid w:val="00F1279C"/>
    <w:rsid w:val="00F129E3"/>
    <w:rsid w:val="00F1316E"/>
    <w:rsid w:val="00F13991"/>
    <w:rsid w:val="00F1407A"/>
    <w:rsid w:val="00F147E5"/>
    <w:rsid w:val="00F14ABD"/>
    <w:rsid w:val="00F152CE"/>
    <w:rsid w:val="00F154A1"/>
    <w:rsid w:val="00F16A17"/>
    <w:rsid w:val="00F16EDC"/>
    <w:rsid w:val="00F16FBD"/>
    <w:rsid w:val="00F17AA8"/>
    <w:rsid w:val="00F17D8A"/>
    <w:rsid w:val="00F2078E"/>
    <w:rsid w:val="00F2105E"/>
    <w:rsid w:val="00F21BCE"/>
    <w:rsid w:val="00F22EDF"/>
    <w:rsid w:val="00F2380B"/>
    <w:rsid w:val="00F23982"/>
    <w:rsid w:val="00F2435F"/>
    <w:rsid w:val="00F24586"/>
    <w:rsid w:val="00F25376"/>
    <w:rsid w:val="00F259E6"/>
    <w:rsid w:val="00F27D42"/>
    <w:rsid w:val="00F27E7D"/>
    <w:rsid w:val="00F27F72"/>
    <w:rsid w:val="00F30A23"/>
    <w:rsid w:val="00F30E8E"/>
    <w:rsid w:val="00F326AC"/>
    <w:rsid w:val="00F3273C"/>
    <w:rsid w:val="00F33635"/>
    <w:rsid w:val="00F34711"/>
    <w:rsid w:val="00F360C1"/>
    <w:rsid w:val="00F3649E"/>
    <w:rsid w:val="00F36C7A"/>
    <w:rsid w:val="00F36D2F"/>
    <w:rsid w:val="00F370E0"/>
    <w:rsid w:val="00F37CA7"/>
    <w:rsid w:val="00F40B7A"/>
    <w:rsid w:val="00F41986"/>
    <w:rsid w:val="00F42B2C"/>
    <w:rsid w:val="00F4321C"/>
    <w:rsid w:val="00F45718"/>
    <w:rsid w:val="00F459D2"/>
    <w:rsid w:val="00F45DE0"/>
    <w:rsid w:val="00F4651E"/>
    <w:rsid w:val="00F468CC"/>
    <w:rsid w:val="00F4698D"/>
    <w:rsid w:val="00F47E0B"/>
    <w:rsid w:val="00F47E4A"/>
    <w:rsid w:val="00F50E63"/>
    <w:rsid w:val="00F51916"/>
    <w:rsid w:val="00F52301"/>
    <w:rsid w:val="00F5369F"/>
    <w:rsid w:val="00F5406B"/>
    <w:rsid w:val="00F553D1"/>
    <w:rsid w:val="00F557BB"/>
    <w:rsid w:val="00F55800"/>
    <w:rsid w:val="00F5601D"/>
    <w:rsid w:val="00F560BC"/>
    <w:rsid w:val="00F5630C"/>
    <w:rsid w:val="00F563C4"/>
    <w:rsid w:val="00F566C9"/>
    <w:rsid w:val="00F57408"/>
    <w:rsid w:val="00F57990"/>
    <w:rsid w:val="00F60769"/>
    <w:rsid w:val="00F60AFF"/>
    <w:rsid w:val="00F615A2"/>
    <w:rsid w:val="00F61848"/>
    <w:rsid w:val="00F620AE"/>
    <w:rsid w:val="00F629D0"/>
    <w:rsid w:val="00F63391"/>
    <w:rsid w:val="00F63DA5"/>
    <w:rsid w:val="00F64296"/>
    <w:rsid w:val="00F644A7"/>
    <w:rsid w:val="00F657F2"/>
    <w:rsid w:val="00F6621A"/>
    <w:rsid w:val="00F66DEA"/>
    <w:rsid w:val="00F7020F"/>
    <w:rsid w:val="00F70C99"/>
    <w:rsid w:val="00F70DA9"/>
    <w:rsid w:val="00F717D6"/>
    <w:rsid w:val="00F71F85"/>
    <w:rsid w:val="00F72A9F"/>
    <w:rsid w:val="00F73358"/>
    <w:rsid w:val="00F73965"/>
    <w:rsid w:val="00F74795"/>
    <w:rsid w:val="00F74EC6"/>
    <w:rsid w:val="00F75FE1"/>
    <w:rsid w:val="00F76051"/>
    <w:rsid w:val="00F7726A"/>
    <w:rsid w:val="00F77293"/>
    <w:rsid w:val="00F77879"/>
    <w:rsid w:val="00F77A02"/>
    <w:rsid w:val="00F77A26"/>
    <w:rsid w:val="00F8102E"/>
    <w:rsid w:val="00F8106F"/>
    <w:rsid w:val="00F8125B"/>
    <w:rsid w:val="00F814D0"/>
    <w:rsid w:val="00F81F11"/>
    <w:rsid w:val="00F8268D"/>
    <w:rsid w:val="00F839C1"/>
    <w:rsid w:val="00F83E45"/>
    <w:rsid w:val="00F84447"/>
    <w:rsid w:val="00F84471"/>
    <w:rsid w:val="00F84D82"/>
    <w:rsid w:val="00F84F15"/>
    <w:rsid w:val="00F84F85"/>
    <w:rsid w:val="00F85757"/>
    <w:rsid w:val="00F85A7D"/>
    <w:rsid w:val="00F868B7"/>
    <w:rsid w:val="00F87371"/>
    <w:rsid w:val="00F8755F"/>
    <w:rsid w:val="00F87CF9"/>
    <w:rsid w:val="00F90983"/>
    <w:rsid w:val="00F90F33"/>
    <w:rsid w:val="00F917AE"/>
    <w:rsid w:val="00F91976"/>
    <w:rsid w:val="00F92056"/>
    <w:rsid w:val="00F92806"/>
    <w:rsid w:val="00F9419C"/>
    <w:rsid w:val="00F9502C"/>
    <w:rsid w:val="00F9561E"/>
    <w:rsid w:val="00F96258"/>
    <w:rsid w:val="00F963F9"/>
    <w:rsid w:val="00F96AFF"/>
    <w:rsid w:val="00F96F82"/>
    <w:rsid w:val="00F974D7"/>
    <w:rsid w:val="00F97691"/>
    <w:rsid w:val="00FA0B08"/>
    <w:rsid w:val="00FA0DB2"/>
    <w:rsid w:val="00FA1186"/>
    <w:rsid w:val="00FA1B4A"/>
    <w:rsid w:val="00FA2EBB"/>
    <w:rsid w:val="00FA30C3"/>
    <w:rsid w:val="00FA32FF"/>
    <w:rsid w:val="00FA4A8C"/>
    <w:rsid w:val="00FA5381"/>
    <w:rsid w:val="00FA6404"/>
    <w:rsid w:val="00FB0122"/>
    <w:rsid w:val="00FB0379"/>
    <w:rsid w:val="00FB1679"/>
    <w:rsid w:val="00FB2E85"/>
    <w:rsid w:val="00FB30A8"/>
    <w:rsid w:val="00FB461D"/>
    <w:rsid w:val="00FB50B3"/>
    <w:rsid w:val="00FB540B"/>
    <w:rsid w:val="00FB5C56"/>
    <w:rsid w:val="00FB6CDB"/>
    <w:rsid w:val="00FB7108"/>
    <w:rsid w:val="00FB7C4A"/>
    <w:rsid w:val="00FC0023"/>
    <w:rsid w:val="00FC133B"/>
    <w:rsid w:val="00FC21B8"/>
    <w:rsid w:val="00FC32BD"/>
    <w:rsid w:val="00FC36A3"/>
    <w:rsid w:val="00FC59D7"/>
    <w:rsid w:val="00FC5CBF"/>
    <w:rsid w:val="00FC742D"/>
    <w:rsid w:val="00FC789B"/>
    <w:rsid w:val="00FD02E6"/>
    <w:rsid w:val="00FD0631"/>
    <w:rsid w:val="00FD06C2"/>
    <w:rsid w:val="00FD070F"/>
    <w:rsid w:val="00FD1E80"/>
    <w:rsid w:val="00FD21D1"/>
    <w:rsid w:val="00FD447A"/>
    <w:rsid w:val="00FD4826"/>
    <w:rsid w:val="00FD4D79"/>
    <w:rsid w:val="00FD5FE4"/>
    <w:rsid w:val="00FD643E"/>
    <w:rsid w:val="00FD67CE"/>
    <w:rsid w:val="00FD68AE"/>
    <w:rsid w:val="00FD6BE6"/>
    <w:rsid w:val="00FE09E5"/>
    <w:rsid w:val="00FE0A4D"/>
    <w:rsid w:val="00FE17E4"/>
    <w:rsid w:val="00FE263E"/>
    <w:rsid w:val="00FE426B"/>
    <w:rsid w:val="00FE4A4D"/>
    <w:rsid w:val="00FE5147"/>
    <w:rsid w:val="00FE5599"/>
    <w:rsid w:val="00FE669B"/>
    <w:rsid w:val="00FE70EA"/>
    <w:rsid w:val="00FE7317"/>
    <w:rsid w:val="00FE77C7"/>
    <w:rsid w:val="00FE7B61"/>
    <w:rsid w:val="00FE7E2E"/>
    <w:rsid w:val="00FF02B8"/>
    <w:rsid w:val="00FF145E"/>
    <w:rsid w:val="00FF2796"/>
    <w:rsid w:val="00FF3A21"/>
    <w:rsid w:val="00FF3DE4"/>
    <w:rsid w:val="00FF490C"/>
    <w:rsid w:val="00FF4A63"/>
    <w:rsid w:val="00FF57F9"/>
    <w:rsid w:val="00FF5954"/>
    <w:rsid w:val="00FF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46716D-274E-4A6A-A80A-BC9DD94C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55AED"/>
    <w:pPr>
      <w:keepNext/>
      <w:keepLines/>
      <w:spacing w:before="200" w:line="276" w:lineRule="auto"/>
      <w:outlineLvl w:val="2"/>
    </w:pPr>
    <w:rPr>
      <w:rFonts w:asciiTheme="majorHAnsi" w:eastAsiaTheme="majorEastAsia" w:hAnsiTheme="majorHAnsi" w:cstheme="majorBidi"/>
      <w:b/>
      <w:bCs/>
      <w:color w:val="4472C4"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4F6"/>
    <w:pPr>
      <w:tabs>
        <w:tab w:val="center" w:pos="4513"/>
        <w:tab w:val="right" w:pos="9026"/>
      </w:tabs>
    </w:pPr>
  </w:style>
  <w:style w:type="character" w:customStyle="1" w:styleId="HeaderChar">
    <w:name w:val="Header Char"/>
    <w:basedOn w:val="DefaultParagraphFont"/>
    <w:link w:val="Header"/>
    <w:uiPriority w:val="99"/>
    <w:rsid w:val="005D44F6"/>
  </w:style>
  <w:style w:type="paragraph" w:styleId="Footer">
    <w:name w:val="footer"/>
    <w:basedOn w:val="Normal"/>
    <w:link w:val="FooterChar"/>
    <w:uiPriority w:val="99"/>
    <w:unhideWhenUsed/>
    <w:rsid w:val="005D44F6"/>
    <w:pPr>
      <w:tabs>
        <w:tab w:val="center" w:pos="4513"/>
        <w:tab w:val="right" w:pos="9026"/>
      </w:tabs>
    </w:pPr>
  </w:style>
  <w:style w:type="character" w:customStyle="1" w:styleId="FooterChar">
    <w:name w:val="Footer Char"/>
    <w:basedOn w:val="DefaultParagraphFont"/>
    <w:link w:val="Footer"/>
    <w:uiPriority w:val="99"/>
    <w:rsid w:val="005D44F6"/>
  </w:style>
  <w:style w:type="paragraph" w:customStyle="1" w:styleId="Rcover4">
    <w:name w:val="R_cover4"/>
    <w:basedOn w:val="Normal"/>
    <w:next w:val="Normal"/>
    <w:uiPriority w:val="99"/>
    <w:semiHidden/>
    <w:rsid w:val="005D44F6"/>
    <w:pPr>
      <w:ind w:left="714" w:hanging="357"/>
    </w:pPr>
    <w:rPr>
      <w:rFonts w:ascii="Calibri" w:eastAsia="Calibri" w:hAnsi="Calibri" w:cs="Calibri"/>
      <w:color w:val="548DD4"/>
      <w:sz w:val="32"/>
      <w:lang w:val="en-GB" w:eastAsia="el-GR"/>
    </w:rPr>
  </w:style>
  <w:style w:type="paragraph" w:customStyle="1" w:styleId="Rcover5">
    <w:name w:val="R_cover5"/>
    <w:basedOn w:val="Normal"/>
    <w:rsid w:val="001E55B2"/>
    <w:pPr>
      <w:spacing w:after="200" w:line="276" w:lineRule="auto"/>
    </w:pPr>
    <w:rPr>
      <w:sz w:val="22"/>
      <w:szCs w:val="22"/>
    </w:rPr>
  </w:style>
  <w:style w:type="table" w:styleId="TableGrid">
    <w:name w:val="Table Grid"/>
    <w:basedOn w:val="TableNormal"/>
    <w:uiPriority w:val="59"/>
    <w:rsid w:val="00061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ction">
    <w:name w:val="header section"/>
    <w:basedOn w:val="Header"/>
    <w:qFormat/>
    <w:rsid w:val="007240C6"/>
    <w:pPr>
      <w:pBdr>
        <w:bottom w:val="single" w:sz="8" w:space="1" w:color="9D9D9D"/>
        <w:bar w:val="single" w:sz="24" w:color="FFFFFF" w:themeColor="background1"/>
      </w:pBdr>
      <w:spacing w:line="160" w:lineRule="exact"/>
    </w:pPr>
    <w:rPr>
      <w:color w:val="9D9D9D"/>
      <w:sz w:val="16"/>
      <w:szCs w:val="18"/>
    </w:rPr>
  </w:style>
  <w:style w:type="character" w:styleId="PageNumber">
    <w:name w:val="page number"/>
    <w:basedOn w:val="DefaultParagraphFont"/>
    <w:uiPriority w:val="99"/>
    <w:semiHidden/>
    <w:unhideWhenUsed/>
    <w:rsid w:val="003E1ECF"/>
  </w:style>
  <w:style w:type="paragraph" w:styleId="ListParagraph">
    <w:name w:val="List Paragraph"/>
    <w:basedOn w:val="Normal"/>
    <w:link w:val="ListParagraphChar"/>
    <w:uiPriority w:val="34"/>
    <w:qFormat/>
    <w:rsid w:val="00311673"/>
    <w:pPr>
      <w:spacing w:after="120" w:line="360" w:lineRule="auto"/>
      <w:ind w:left="720"/>
      <w:jc w:val="both"/>
    </w:pPr>
    <w:rPr>
      <w:rFonts w:ascii="Times New Roman" w:eastAsia="Calibri" w:hAnsi="Times New Roman" w:cs="Times New Roman"/>
      <w:sz w:val="22"/>
      <w:szCs w:val="22"/>
      <w:lang w:eastAsia="el-GR"/>
    </w:rPr>
  </w:style>
  <w:style w:type="character" w:customStyle="1" w:styleId="ListParagraphChar">
    <w:name w:val="List Paragraph Char"/>
    <w:basedOn w:val="DefaultParagraphFont"/>
    <w:link w:val="ListParagraph"/>
    <w:uiPriority w:val="34"/>
    <w:locked/>
    <w:rsid w:val="00311673"/>
    <w:rPr>
      <w:rFonts w:ascii="Times New Roman" w:eastAsia="Calibri" w:hAnsi="Times New Roman" w:cs="Times New Roman"/>
      <w:sz w:val="22"/>
      <w:szCs w:val="22"/>
      <w:lang w:val="el-GR" w:eastAsia="el-GR"/>
    </w:rPr>
  </w:style>
  <w:style w:type="paragraph" w:styleId="NormalWeb">
    <w:name w:val="Normal (Web)"/>
    <w:basedOn w:val="Normal"/>
    <w:uiPriority w:val="99"/>
    <w:unhideWhenUsed/>
    <w:rsid w:val="007D3371"/>
    <w:pPr>
      <w:spacing w:before="100" w:beforeAutospacing="1" w:after="100" w:afterAutospacing="1"/>
    </w:pPr>
    <w:rPr>
      <w:rFonts w:ascii="Times New Roman" w:eastAsia="Times New Roman" w:hAnsi="Times New Roman" w:cs="Times New Roman"/>
      <w:lang w:eastAsia="en-GB"/>
    </w:rPr>
  </w:style>
  <w:style w:type="paragraph" w:customStyle="1" w:styleId="body">
    <w:name w:val="body"/>
    <w:basedOn w:val="Normal"/>
    <w:qFormat/>
    <w:rsid w:val="00F61848"/>
    <w:pPr>
      <w:spacing w:before="120" w:after="120"/>
      <w:jc w:val="both"/>
    </w:pPr>
    <w:rPr>
      <w:color w:val="0D0D0D" w:themeColor="text1" w:themeTint="F2"/>
      <w:sz w:val="18"/>
      <w:szCs w:val="18"/>
    </w:rPr>
  </w:style>
  <w:style w:type="paragraph" w:customStyle="1" w:styleId="Calibri9IFRS">
    <w:name w:val="Calibri 9 IFRS"/>
    <w:basedOn w:val="Normal"/>
    <w:qFormat/>
    <w:rsid w:val="00EC27BF"/>
    <w:pPr>
      <w:keepNext/>
      <w:spacing w:before="240" w:after="120"/>
    </w:pPr>
    <w:rPr>
      <w:rFonts w:ascii="Calibri" w:eastAsia="Calibri" w:hAnsi="Calibri" w:cs="Times New Roman"/>
      <w:b/>
      <w:color w:val="548DD4"/>
      <w:sz w:val="18"/>
      <w:szCs w:val="18"/>
      <w:lang w:val="en-US"/>
    </w:rPr>
  </w:style>
  <w:style w:type="paragraph" w:customStyle="1" w:styleId="Rbody1">
    <w:name w:val="R_body1"/>
    <w:basedOn w:val="Normal"/>
    <w:qFormat/>
    <w:rsid w:val="00EC27BF"/>
    <w:pPr>
      <w:spacing w:after="120"/>
      <w:jc w:val="both"/>
    </w:pPr>
    <w:rPr>
      <w:rFonts w:ascii="Calibri" w:eastAsia="Times New Roman" w:hAnsi="Calibri" w:cs="Times New Roman"/>
      <w:sz w:val="18"/>
      <w:szCs w:val="18"/>
      <w:lang w:val="en-GB" w:eastAsia="el-GR"/>
    </w:rPr>
  </w:style>
  <w:style w:type="paragraph" w:customStyle="1" w:styleId="TITLEINBODY">
    <w:name w:val="TITLE IN BODY"/>
    <w:basedOn w:val="body"/>
    <w:qFormat/>
    <w:rsid w:val="007A2CA1"/>
    <w:pPr>
      <w:pBdr>
        <w:bottom w:val="single" w:sz="4" w:space="1" w:color="00B2C6"/>
      </w:pBdr>
      <w:jc w:val="left"/>
    </w:pPr>
    <w:rPr>
      <w:b/>
      <w:bCs/>
      <w:color w:val="007382"/>
      <w:sz w:val="28"/>
      <w:szCs w:val="24"/>
      <w:bdr w:val="nil"/>
      <w:lang w:val="en-GB"/>
    </w:rPr>
  </w:style>
  <w:style w:type="paragraph" w:customStyle="1" w:styleId="HEADERACTIVE">
    <w:name w:val="HEADER ACTIVE"/>
    <w:basedOn w:val="headersection"/>
    <w:qFormat/>
    <w:rsid w:val="007240C6"/>
    <w:pPr>
      <w:pBdr>
        <w:bottom w:val="single" w:sz="8" w:space="1" w:color="00B2C6"/>
        <w:between w:val="single" w:sz="24" w:space="1" w:color="00B2C6"/>
        <w:bar w:val="none" w:sz="0" w:color="auto"/>
      </w:pBdr>
    </w:pPr>
    <w:rPr>
      <w:b/>
      <w:color w:val="007382"/>
    </w:rPr>
  </w:style>
  <w:style w:type="paragraph" w:customStyle="1" w:styleId="TITLE2">
    <w:name w:val="TITLE 2"/>
    <w:basedOn w:val="body"/>
    <w:qFormat/>
    <w:rsid w:val="000B01A9"/>
    <w:pPr>
      <w:pBdr>
        <w:bottom w:val="single" w:sz="4" w:space="1" w:color="9D9D9D"/>
      </w:pBdr>
      <w:spacing w:before="240"/>
      <w:jc w:val="left"/>
    </w:pPr>
    <w:rPr>
      <w:b/>
      <w:color w:val="00B2C6"/>
      <w:sz w:val="22"/>
      <w:szCs w:val="22"/>
      <w:lang w:val="en-GB"/>
    </w:rPr>
  </w:style>
  <w:style w:type="paragraph" w:customStyle="1" w:styleId="TITLE3">
    <w:name w:val="TITLE 3"/>
    <w:basedOn w:val="body"/>
    <w:qFormat/>
    <w:rsid w:val="00021DE8"/>
    <w:pPr>
      <w:pBdr>
        <w:left w:val="single" w:sz="48" w:space="4" w:color="00B2C6"/>
      </w:pBdr>
      <w:ind w:left="227"/>
      <w:jc w:val="left"/>
    </w:pPr>
    <w:rPr>
      <w:b/>
      <w:bCs/>
      <w:iCs/>
      <w:sz w:val="20"/>
      <w:szCs w:val="20"/>
      <w:lang w:val="en-GB"/>
    </w:rPr>
  </w:style>
  <w:style w:type="character" w:styleId="FootnoteReference">
    <w:name w:val="footnote reference"/>
    <w:basedOn w:val="DefaultParagraphFont"/>
    <w:uiPriority w:val="99"/>
    <w:unhideWhenUsed/>
    <w:rsid w:val="00F77293"/>
    <w:rPr>
      <w:vertAlign w:val="superscript"/>
    </w:rPr>
  </w:style>
  <w:style w:type="paragraph" w:styleId="FootnoteText">
    <w:name w:val="footnote text"/>
    <w:basedOn w:val="Normal"/>
    <w:link w:val="FootnoteTextChar"/>
    <w:uiPriority w:val="99"/>
    <w:unhideWhenUsed/>
    <w:rsid w:val="000E77FB"/>
    <w:rPr>
      <w:rFonts w:ascii="Calibri" w:eastAsia="Calibri" w:hAnsi="Calibri" w:cs="Calibri"/>
      <w:color w:val="D9D9D9" w:themeColor="background1" w:themeShade="D9"/>
      <w:sz w:val="16"/>
      <w:szCs w:val="16"/>
      <w:bdr w:val="nil"/>
      <w:lang w:val="en-GB"/>
    </w:rPr>
  </w:style>
  <w:style w:type="character" w:customStyle="1" w:styleId="FootnoteTextChar">
    <w:name w:val="Footnote Text Char"/>
    <w:basedOn w:val="DefaultParagraphFont"/>
    <w:link w:val="FootnoteText"/>
    <w:uiPriority w:val="99"/>
    <w:rsid w:val="000E77FB"/>
    <w:rPr>
      <w:rFonts w:ascii="Calibri" w:eastAsia="Calibri" w:hAnsi="Calibri" w:cs="Calibri"/>
      <w:color w:val="D9D9D9" w:themeColor="background1" w:themeShade="D9"/>
      <w:sz w:val="16"/>
      <w:szCs w:val="16"/>
      <w:bdr w:val="nil"/>
      <w:lang w:val="en-GB"/>
    </w:rPr>
  </w:style>
  <w:style w:type="paragraph" w:customStyle="1" w:styleId="SECTIONTITLE">
    <w:name w:val="SECTION TITLE"/>
    <w:basedOn w:val="Normal"/>
    <w:qFormat/>
    <w:rsid w:val="000E5AC7"/>
    <w:pPr>
      <w:pBdr>
        <w:bottom w:val="single" w:sz="48" w:space="10" w:color="00B2C6"/>
      </w:pBdr>
    </w:pPr>
    <w:rPr>
      <w:b/>
      <w:color w:val="000000"/>
      <w:sz w:val="52"/>
      <w:szCs w:val="52"/>
      <w:lang w:val="en-GB"/>
    </w:rPr>
  </w:style>
  <w:style w:type="paragraph" w:customStyle="1" w:styleId="Default">
    <w:name w:val="Default"/>
    <w:rsid w:val="00763795"/>
    <w:pPr>
      <w:autoSpaceDE w:val="0"/>
      <w:autoSpaceDN w:val="0"/>
      <w:adjustRightInd w:val="0"/>
    </w:pPr>
    <w:rPr>
      <w:rFonts w:ascii="Calibri" w:eastAsia="Calibri" w:hAnsi="Calibri" w:cs="Calibri"/>
      <w:color w:val="000000"/>
      <w:lang w:val="en-US"/>
    </w:rPr>
  </w:style>
  <w:style w:type="paragraph" w:customStyle="1" w:styleId="Style1">
    <w:name w:val="Style1"/>
    <w:basedOn w:val="Normal"/>
    <w:qFormat/>
    <w:rsid w:val="00F043E1"/>
    <w:pPr>
      <w:pBdr>
        <w:top w:val="nil"/>
        <w:left w:val="nil"/>
        <w:bottom w:val="single" w:sz="8" w:space="1" w:color="9D9D9D"/>
        <w:right w:val="nil"/>
        <w:between w:val="nil"/>
        <w:bar w:val="nil"/>
      </w:pBdr>
      <w:spacing w:before="60" w:after="60"/>
      <w:ind w:left="170" w:right="170"/>
    </w:pPr>
    <w:rPr>
      <w:rFonts w:eastAsia="Calibri" w:cs="Calibri"/>
      <w:b/>
      <w:color w:val="007382"/>
      <w:sz w:val="20"/>
      <w:szCs w:val="20"/>
      <w:bdr w:val="nil"/>
      <w:lang w:val="en-US"/>
    </w:rPr>
  </w:style>
  <w:style w:type="paragraph" w:customStyle="1" w:styleId="Style2">
    <w:name w:val="Style2"/>
    <w:basedOn w:val="Normal"/>
    <w:qFormat/>
    <w:rsid w:val="008C38AA"/>
    <w:pPr>
      <w:spacing w:before="360" w:after="120"/>
    </w:pPr>
    <w:rPr>
      <w:b/>
      <w:bCs/>
      <w:color w:val="646464"/>
      <w:lang w:val="en-GB"/>
    </w:rPr>
  </w:style>
  <w:style w:type="paragraph" w:styleId="EndnoteText">
    <w:name w:val="endnote text"/>
    <w:basedOn w:val="Normal"/>
    <w:link w:val="EndnoteTextChar"/>
    <w:uiPriority w:val="99"/>
    <w:semiHidden/>
    <w:unhideWhenUsed/>
    <w:rsid w:val="00414745"/>
    <w:rPr>
      <w:sz w:val="20"/>
      <w:szCs w:val="20"/>
    </w:rPr>
  </w:style>
  <w:style w:type="character" w:customStyle="1" w:styleId="EndnoteTextChar">
    <w:name w:val="Endnote Text Char"/>
    <w:basedOn w:val="DefaultParagraphFont"/>
    <w:link w:val="EndnoteText"/>
    <w:uiPriority w:val="99"/>
    <w:semiHidden/>
    <w:rsid w:val="00414745"/>
    <w:rPr>
      <w:sz w:val="20"/>
      <w:szCs w:val="20"/>
    </w:rPr>
  </w:style>
  <w:style w:type="character" w:styleId="EndnoteReference">
    <w:name w:val="endnote reference"/>
    <w:basedOn w:val="DefaultParagraphFont"/>
    <w:uiPriority w:val="99"/>
    <w:semiHidden/>
    <w:unhideWhenUsed/>
    <w:rsid w:val="00414745"/>
    <w:rPr>
      <w:vertAlign w:val="superscript"/>
    </w:rPr>
  </w:style>
  <w:style w:type="paragraph" w:customStyle="1" w:styleId="Calibri10IFRS">
    <w:name w:val="Calibri 10 IFRS"/>
    <w:qFormat/>
    <w:rsid w:val="00FA5381"/>
    <w:pPr>
      <w:keepNext/>
      <w:spacing w:before="360" w:after="120"/>
    </w:pPr>
    <w:rPr>
      <w:rFonts w:eastAsia="Calibri" w:cs="Calibri"/>
      <w:b/>
      <w:color w:val="548DD4"/>
      <w:sz w:val="20"/>
      <w:szCs w:val="20"/>
      <w:lang w:val="en-US"/>
    </w:rPr>
  </w:style>
  <w:style w:type="paragraph" w:customStyle="1" w:styleId="Rbulletcolumn0">
    <w:name w:val="R_bullet column_0"/>
    <w:basedOn w:val="Normal"/>
    <w:qFormat/>
    <w:rsid w:val="0062009A"/>
    <w:pPr>
      <w:widowControl w:val="0"/>
      <w:adjustRightInd w:val="0"/>
      <w:spacing w:after="120"/>
      <w:ind w:left="720" w:hanging="360"/>
      <w:jc w:val="both"/>
    </w:pPr>
    <w:rPr>
      <w:rFonts w:ascii="Calibri" w:eastAsia="Calibri" w:hAnsi="Calibri" w:cs="Calibri"/>
      <w:sz w:val="18"/>
      <w:szCs w:val="18"/>
      <w:lang w:val="en-US" w:eastAsia="el-GR"/>
    </w:rPr>
  </w:style>
  <w:style w:type="paragraph" w:customStyle="1" w:styleId="Bullet1">
    <w:name w:val="Bullet1"/>
    <w:qFormat/>
    <w:rsid w:val="001A3974"/>
    <w:pPr>
      <w:numPr>
        <w:numId w:val="4"/>
      </w:numPr>
      <w:spacing w:before="240" w:line="260" w:lineRule="atLeast"/>
      <w:jc w:val="both"/>
    </w:pPr>
    <w:rPr>
      <w:rFonts w:ascii="Times New Roman" w:eastAsia="Calibri" w:hAnsi="Times New Roman" w:cs="Times New Roman"/>
      <w:sz w:val="22"/>
      <w:szCs w:val="22"/>
      <w:lang w:val="en-GB"/>
    </w:rPr>
  </w:style>
  <w:style w:type="paragraph" w:customStyle="1" w:styleId="INLINETEXT1">
    <w:name w:val="IN LINE TEXT 1"/>
    <w:link w:val="INLINETEXT1Char"/>
    <w:qFormat/>
    <w:rsid w:val="00451A73"/>
    <w:rPr>
      <w:b/>
      <w:bCs/>
      <w:color w:val="007382"/>
      <w:sz w:val="18"/>
      <w:szCs w:val="18"/>
    </w:rPr>
  </w:style>
  <w:style w:type="character" w:customStyle="1" w:styleId="INLINETEXT1Char">
    <w:name w:val="IN LINE TEXT 1 Char"/>
    <w:basedOn w:val="DefaultParagraphFont"/>
    <w:link w:val="INLINETEXT1"/>
    <w:rsid w:val="00451A73"/>
    <w:rPr>
      <w:b/>
      <w:bCs/>
      <w:color w:val="007382"/>
      <w:sz w:val="18"/>
      <w:szCs w:val="18"/>
    </w:rPr>
  </w:style>
  <w:style w:type="paragraph" w:customStyle="1" w:styleId="BoD10IFRS">
    <w:name w:val="BoD 10 IFRS"/>
    <w:basedOn w:val="Calibri10IFRS"/>
    <w:qFormat/>
    <w:rsid w:val="00CC76DF"/>
    <w:pPr>
      <w:pBdr>
        <w:left w:val="single" w:sz="48" w:space="4" w:color="007180"/>
        <w:bottom w:val="single" w:sz="6" w:space="1" w:color="00AFC3"/>
      </w:pBdr>
      <w:spacing w:before="240" w:after="60"/>
      <w:outlineLvl w:val="2"/>
    </w:pPr>
    <w:rPr>
      <w:color w:val="007581"/>
      <w:sz w:val="24"/>
      <w:szCs w:val="24"/>
      <w:lang w:val="en-GB"/>
    </w:rPr>
  </w:style>
  <w:style w:type="paragraph" w:customStyle="1" w:styleId="msgLeft">
    <w:name w:val="msg Left"/>
    <w:basedOn w:val="Normal"/>
    <w:qFormat/>
    <w:rsid w:val="001D6231"/>
    <w:pPr>
      <w:ind w:left="170" w:right="567"/>
    </w:pPr>
    <w:rPr>
      <w:b/>
      <w:bCs/>
      <w:sz w:val="20"/>
      <w:szCs w:val="20"/>
      <w:bdr w:val="nil"/>
    </w:rPr>
  </w:style>
  <w:style w:type="paragraph" w:styleId="BalloonText">
    <w:name w:val="Balloon Text"/>
    <w:basedOn w:val="Normal"/>
    <w:link w:val="BalloonTextChar"/>
    <w:uiPriority w:val="99"/>
    <w:semiHidden/>
    <w:unhideWhenUsed/>
    <w:rsid w:val="001B4282"/>
    <w:rPr>
      <w:rFonts w:ascii="Tahoma" w:hAnsi="Tahoma" w:cs="Tahoma"/>
      <w:sz w:val="16"/>
      <w:szCs w:val="16"/>
    </w:rPr>
  </w:style>
  <w:style w:type="character" w:customStyle="1" w:styleId="BalloonTextChar">
    <w:name w:val="Balloon Text Char"/>
    <w:basedOn w:val="DefaultParagraphFont"/>
    <w:link w:val="BalloonText"/>
    <w:uiPriority w:val="99"/>
    <w:semiHidden/>
    <w:rsid w:val="001B4282"/>
    <w:rPr>
      <w:rFonts w:ascii="Tahoma" w:hAnsi="Tahoma" w:cs="Tahoma"/>
      <w:sz w:val="16"/>
      <w:szCs w:val="16"/>
    </w:rPr>
  </w:style>
  <w:style w:type="character" w:customStyle="1" w:styleId="Heading3Char">
    <w:name w:val="Heading 3 Char"/>
    <w:basedOn w:val="DefaultParagraphFont"/>
    <w:link w:val="Heading3"/>
    <w:uiPriority w:val="9"/>
    <w:rsid w:val="00E55AED"/>
    <w:rPr>
      <w:rFonts w:asciiTheme="majorHAnsi" w:eastAsiaTheme="majorEastAsia" w:hAnsiTheme="majorHAnsi" w:cstheme="majorBidi"/>
      <w:b/>
      <w:bCs/>
      <w:color w:val="4472C4" w:themeColor="accent1"/>
      <w:sz w:val="22"/>
      <w:szCs w:val="22"/>
      <w:lang w:val="en-GB"/>
    </w:rPr>
  </w:style>
  <w:style w:type="paragraph" w:customStyle="1" w:styleId="normaltext">
    <w:name w:val="normaltext"/>
    <w:basedOn w:val="Normal"/>
    <w:rsid w:val="00E55AED"/>
    <w:pPr>
      <w:spacing w:before="100" w:beforeAutospacing="1" w:after="100" w:afterAutospacing="1"/>
    </w:pPr>
    <w:rPr>
      <w:rFonts w:ascii="Verdana" w:eastAsia="Arial Unicode MS" w:hAnsi="Verdana" w:cs="Arial Unicode MS"/>
      <w:color w:val="000000"/>
      <w:sz w:val="17"/>
      <w:szCs w:val="17"/>
      <w:lang w:eastAsia="el-GR"/>
    </w:rPr>
  </w:style>
  <w:style w:type="paragraph" w:styleId="BlockText">
    <w:name w:val="Block Text"/>
    <w:basedOn w:val="Normal"/>
    <w:rsid w:val="00E55AED"/>
    <w:pPr>
      <w:spacing w:before="120" w:after="120" w:line="280" w:lineRule="atLeast"/>
      <w:ind w:left="540" w:right="612"/>
      <w:jc w:val="center"/>
    </w:pPr>
    <w:rPr>
      <w:rFonts w:ascii="Arial" w:eastAsia="Times New Roman" w:hAnsi="Arial" w:cs="Arial"/>
      <w:b/>
      <w:bCs/>
      <w:szCs w:val="22"/>
    </w:rPr>
  </w:style>
  <w:style w:type="paragraph" w:customStyle="1" w:styleId="CM10">
    <w:name w:val="CM10"/>
    <w:basedOn w:val="Default"/>
    <w:next w:val="Default"/>
    <w:uiPriority w:val="99"/>
    <w:rsid w:val="00E55AED"/>
    <w:pPr>
      <w:widowControl w:val="0"/>
    </w:pPr>
    <w:rPr>
      <w:rFonts w:eastAsia="Times New Roman" w:cs="Times New Roman"/>
      <w:color w:val="auto"/>
      <w:lang w:val="el-GR" w:eastAsia="el-GR"/>
    </w:rPr>
  </w:style>
  <w:style w:type="paragraph" w:customStyle="1" w:styleId="CM3">
    <w:name w:val="CM3"/>
    <w:basedOn w:val="Default"/>
    <w:next w:val="Default"/>
    <w:uiPriority w:val="99"/>
    <w:rsid w:val="00E55AED"/>
    <w:pPr>
      <w:widowControl w:val="0"/>
      <w:spacing w:line="280" w:lineRule="atLeast"/>
    </w:pPr>
    <w:rPr>
      <w:rFonts w:eastAsia="Times New Roman" w:cs="Times New Roman"/>
      <w:color w:val="auto"/>
      <w:lang w:val="el-GR" w:eastAsia="el-GR"/>
    </w:rPr>
  </w:style>
  <w:style w:type="paragraph" w:customStyle="1" w:styleId="CM1">
    <w:name w:val="CM1"/>
    <w:basedOn w:val="Default"/>
    <w:next w:val="Default"/>
    <w:uiPriority w:val="99"/>
    <w:rsid w:val="00E55AED"/>
    <w:pPr>
      <w:widowControl w:val="0"/>
    </w:pPr>
    <w:rPr>
      <w:rFonts w:eastAsia="Times New Roman" w:cs="Times New Roman"/>
      <w:color w:val="auto"/>
      <w:lang w:val="el-GR" w:eastAsia="el-GR"/>
    </w:rPr>
  </w:style>
  <w:style w:type="paragraph" w:customStyle="1" w:styleId="CM9">
    <w:name w:val="CM9"/>
    <w:basedOn w:val="Default"/>
    <w:next w:val="Default"/>
    <w:uiPriority w:val="99"/>
    <w:rsid w:val="00E55AED"/>
    <w:pPr>
      <w:widowControl w:val="0"/>
    </w:pPr>
    <w:rPr>
      <w:rFonts w:eastAsia="Times New Roman" w:cs="Times New Roman"/>
      <w:color w:val="auto"/>
      <w:lang w:val="el-GR" w:eastAsia="el-GR"/>
    </w:rPr>
  </w:style>
  <w:style w:type="paragraph" w:styleId="PlainText">
    <w:name w:val="Plain Text"/>
    <w:basedOn w:val="Normal"/>
    <w:link w:val="PlainTextChar"/>
    <w:uiPriority w:val="99"/>
    <w:unhideWhenUsed/>
    <w:rsid w:val="00E55AED"/>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E55AED"/>
    <w:rPr>
      <w:rFonts w:ascii="Consolas" w:eastAsia="Calibri" w:hAnsi="Consolas" w:cs="Times New Roman"/>
      <w:sz w:val="21"/>
      <w:szCs w:val="21"/>
      <w:lang w:val="en-GB"/>
    </w:rPr>
  </w:style>
  <w:style w:type="character" w:styleId="CommentReference">
    <w:name w:val="annotation reference"/>
    <w:basedOn w:val="DefaultParagraphFont"/>
    <w:uiPriority w:val="99"/>
    <w:semiHidden/>
    <w:unhideWhenUsed/>
    <w:rsid w:val="00E55AED"/>
    <w:rPr>
      <w:sz w:val="16"/>
      <w:szCs w:val="16"/>
    </w:rPr>
  </w:style>
  <w:style w:type="paragraph" w:styleId="CommentText">
    <w:name w:val="annotation text"/>
    <w:basedOn w:val="Normal"/>
    <w:link w:val="CommentTextChar"/>
    <w:uiPriority w:val="99"/>
    <w:semiHidden/>
    <w:unhideWhenUsed/>
    <w:rsid w:val="00E55AED"/>
    <w:pPr>
      <w:spacing w:after="200"/>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E55AED"/>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5AED"/>
    <w:rPr>
      <w:b/>
      <w:bCs/>
    </w:rPr>
  </w:style>
  <w:style w:type="character" w:customStyle="1" w:styleId="CommentSubjectChar">
    <w:name w:val="Comment Subject Char"/>
    <w:basedOn w:val="CommentTextChar"/>
    <w:link w:val="CommentSubject"/>
    <w:uiPriority w:val="99"/>
    <w:semiHidden/>
    <w:rsid w:val="00E55AED"/>
    <w:rPr>
      <w:rFonts w:ascii="Calibri" w:eastAsia="Calibri" w:hAnsi="Calibri" w:cs="Times New Roman"/>
      <w:b/>
      <w:bCs/>
      <w:sz w:val="20"/>
      <w:szCs w:val="20"/>
      <w:lang w:val="en-GB"/>
    </w:rPr>
  </w:style>
  <w:style w:type="paragraph" w:styleId="Revision">
    <w:name w:val="Revision"/>
    <w:hidden/>
    <w:uiPriority w:val="99"/>
    <w:semiHidden/>
    <w:rsid w:val="00E55AED"/>
    <w:rPr>
      <w:rFonts w:ascii="Calibri" w:eastAsia="Calibri" w:hAnsi="Calibri" w:cs="Times New Roman"/>
      <w:sz w:val="22"/>
      <w:szCs w:val="22"/>
      <w:lang w:val="en-GB"/>
    </w:rPr>
  </w:style>
  <w:style w:type="table" w:customStyle="1" w:styleId="1">
    <w:name w:val="Πλέγμα πίνακα1"/>
    <w:basedOn w:val="TableNormal"/>
    <w:next w:val="TableGrid"/>
    <w:uiPriority w:val="59"/>
    <w:rsid w:val="00E55AED"/>
    <w:rPr>
      <w:rFonts w:ascii="Calibri" w:eastAsia="Calibri" w:hAnsi="Calibri" w:cs="Times New Roman"/>
      <w:sz w:val="20"/>
      <w:szCs w:val="20"/>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1086">
      <w:bodyDiv w:val="1"/>
      <w:marLeft w:val="0"/>
      <w:marRight w:val="0"/>
      <w:marTop w:val="0"/>
      <w:marBottom w:val="0"/>
      <w:divBdr>
        <w:top w:val="none" w:sz="0" w:space="0" w:color="auto"/>
        <w:left w:val="none" w:sz="0" w:space="0" w:color="auto"/>
        <w:bottom w:val="none" w:sz="0" w:space="0" w:color="auto"/>
        <w:right w:val="none" w:sz="0" w:space="0" w:color="auto"/>
      </w:divBdr>
      <w:divsChild>
        <w:div w:id="1098139179">
          <w:marLeft w:val="547"/>
          <w:marRight w:val="0"/>
          <w:marTop w:val="0"/>
          <w:marBottom w:val="0"/>
          <w:divBdr>
            <w:top w:val="none" w:sz="0" w:space="0" w:color="auto"/>
            <w:left w:val="none" w:sz="0" w:space="0" w:color="auto"/>
            <w:bottom w:val="none" w:sz="0" w:space="0" w:color="auto"/>
            <w:right w:val="none" w:sz="0" w:space="0" w:color="auto"/>
          </w:divBdr>
        </w:div>
      </w:divsChild>
    </w:div>
    <w:div w:id="177355960">
      <w:bodyDiv w:val="1"/>
      <w:marLeft w:val="0"/>
      <w:marRight w:val="0"/>
      <w:marTop w:val="0"/>
      <w:marBottom w:val="0"/>
      <w:divBdr>
        <w:top w:val="none" w:sz="0" w:space="0" w:color="auto"/>
        <w:left w:val="none" w:sz="0" w:space="0" w:color="auto"/>
        <w:bottom w:val="none" w:sz="0" w:space="0" w:color="auto"/>
        <w:right w:val="none" w:sz="0" w:space="0" w:color="auto"/>
      </w:divBdr>
      <w:divsChild>
        <w:div w:id="1920745603">
          <w:marLeft w:val="547"/>
          <w:marRight w:val="0"/>
          <w:marTop w:val="0"/>
          <w:marBottom w:val="0"/>
          <w:divBdr>
            <w:top w:val="none" w:sz="0" w:space="0" w:color="auto"/>
            <w:left w:val="none" w:sz="0" w:space="0" w:color="auto"/>
            <w:bottom w:val="none" w:sz="0" w:space="0" w:color="auto"/>
            <w:right w:val="none" w:sz="0" w:space="0" w:color="auto"/>
          </w:divBdr>
        </w:div>
      </w:divsChild>
    </w:div>
    <w:div w:id="327172049">
      <w:bodyDiv w:val="1"/>
      <w:marLeft w:val="0"/>
      <w:marRight w:val="0"/>
      <w:marTop w:val="0"/>
      <w:marBottom w:val="0"/>
      <w:divBdr>
        <w:top w:val="none" w:sz="0" w:space="0" w:color="auto"/>
        <w:left w:val="none" w:sz="0" w:space="0" w:color="auto"/>
        <w:bottom w:val="none" w:sz="0" w:space="0" w:color="auto"/>
        <w:right w:val="none" w:sz="0" w:space="0" w:color="auto"/>
      </w:divBdr>
      <w:divsChild>
        <w:div w:id="1175344044">
          <w:marLeft w:val="547"/>
          <w:marRight w:val="0"/>
          <w:marTop w:val="0"/>
          <w:marBottom w:val="0"/>
          <w:divBdr>
            <w:top w:val="none" w:sz="0" w:space="0" w:color="auto"/>
            <w:left w:val="none" w:sz="0" w:space="0" w:color="auto"/>
            <w:bottom w:val="none" w:sz="0" w:space="0" w:color="auto"/>
            <w:right w:val="none" w:sz="0" w:space="0" w:color="auto"/>
          </w:divBdr>
        </w:div>
      </w:divsChild>
    </w:div>
    <w:div w:id="347635075">
      <w:bodyDiv w:val="1"/>
      <w:marLeft w:val="0"/>
      <w:marRight w:val="0"/>
      <w:marTop w:val="0"/>
      <w:marBottom w:val="0"/>
      <w:divBdr>
        <w:top w:val="none" w:sz="0" w:space="0" w:color="auto"/>
        <w:left w:val="none" w:sz="0" w:space="0" w:color="auto"/>
        <w:bottom w:val="none" w:sz="0" w:space="0" w:color="auto"/>
        <w:right w:val="none" w:sz="0" w:space="0" w:color="auto"/>
      </w:divBdr>
      <w:divsChild>
        <w:div w:id="1491748205">
          <w:marLeft w:val="547"/>
          <w:marRight w:val="0"/>
          <w:marTop w:val="0"/>
          <w:marBottom w:val="0"/>
          <w:divBdr>
            <w:top w:val="none" w:sz="0" w:space="0" w:color="auto"/>
            <w:left w:val="none" w:sz="0" w:space="0" w:color="auto"/>
            <w:bottom w:val="none" w:sz="0" w:space="0" w:color="auto"/>
            <w:right w:val="none" w:sz="0" w:space="0" w:color="auto"/>
          </w:divBdr>
        </w:div>
      </w:divsChild>
    </w:div>
    <w:div w:id="356472887">
      <w:bodyDiv w:val="1"/>
      <w:marLeft w:val="0"/>
      <w:marRight w:val="0"/>
      <w:marTop w:val="0"/>
      <w:marBottom w:val="0"/>
      <w:divBdr>
        <w:top w:val="none" w:sz="0" w:space="0" w:color="auto"/>
        <w:left w:val="none" w:sz="0" w:space="0" w:color="auto"/>
        <w:bottom w:val="none" w:sz="0" w:space="0" w:color="auto"/>
        <w:right w:val="none" w:sz="0" w:space="0" w:color="auto"/>
      </w:divBdr>
      <w:divsChild>
        <w:div w:id="2086947369">
          <w:marLeft w:val="547"/>
          <w:marRight w:val="0"/>
          <w:marTop w:val="0"/>
          <w:marBottom w:val="0"/>
          <w:divBdr>
            <w:top w:val="none" w:sz="0" w:space="0" w:color="auto"/>
            <w:left w:val="none" w:sz="0" w:space="0" w:color="auto"/>
            <w:bottom w:val="none" w:sz="0" w:space="0" w:color="auto"/>
            <w:right w:val="none" w:sz="0" w:space="0" w:color="auto"/>
          </w:divBdr>
        </w:div>
      </w:divsChild>
    </w:div>
    <w:div w:id="435560997">
      <w:bodyDiv w:val="1"/>
      <w:marLeft w:val="0"/>
      <w:marRight w:val="0"/>
      <w:marTop w:val="0"/>
      <w:marBottom w:val="0"/>
      <w:divBdr>
        <w:top w:val="none" w:sz="0" w:space="0" w:color="auto"/>
        <w:left w:val="none" w:sz="0" w:space="0" w:color="auto"/>
        <w:bottom w:val="none" w:sz="0" w:space="0" w:color="auto"/>
        <w:right w:val="none" w:sz="0" w:space="0" w:color="auto"/>
      </w:divBdr>
    </w:div>
    <w:div w:id="753433882">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8">
          <w:marLeft w:val="547"/>
          <w:marRight w:val="0"/>
          <w:marTop w:val="0"/>
          <w:marBottom w:val="0"/>
          <w:divBdr>
            <w:top w:val="none" w:sz="0" w:space="0" w:color="auto"/>
            <w:left w:val="none" w:sz="0" w:space="0" w:color="auto"/>
            <w:bottom w:val="none" w:sz="0" w:space="0" w:color="auto"/>
            <w:right w:val="none" w:sz="0" w:space="0" w:color="auto"/>
          </w:divBdr>
        </w:div>
      </w:divsChild>
    </w:div>
    <w:div w:id="860052781">
      <w:bodyDiv w:val="1"/>
      <w:marLeft w:val="0"/>
      <w:marRight w:val="0"/>
      <w:marTop w:val="0"/>
      <w:marBottom w:val="0"/>
      <w:divBdr>
        <w:top w:val="none" w:sz="0" w:space="0" w:color="auto"/>
        <w:left w:val="none" w:sz="0" w:space="0" w:color="auto"/>
        <w:bottom w:val="none" w:sz="0" w:space="0" w:color="auto"/>
        <w:right w:val="none" w:sz="0" w:space="0" w:color="auto"/>
      </w:divBdr>
      <w:divsChild>
        <w:div w:id="1083914881">
          <w:marLeft w:val="547"/>
          <w:marRight w:val="0"/>
          <w:marTop w:val="0"/>
          <w:marBottom w:val="0"/>
          <w:divBdr>
            <w:top w:val="none" w:sz="0" w:space="0" w:color="auto"/>
            <w:left w:val="none" w:sz="0" w:space="0" w:color="auto"/>
            <w:bottom w:val="none" w:sz="0" w:space="0" w:color="auto"/>
            <w:right w:val="none" w:sz="0" w:space="0" w:color="auto"/>
          </w:divBdr>
        </w:div>
        <w:div w:id="1287666106">
          <w:marLeft w:val="547"/>
          <w:marRight w:val="0"/>
          <w:marTop w:val="0"/>
          <w:marBottom w:val="0"/>
          <w:divBdr>
            <w:top w:val="none" w:sz="0" w:space="0" w:color="auto"/>
            <w:left w:val="none" w:sz="0" w:space="0" w:color="auto"/>
            <w:bottom w:val="none" w:sz="0" w:space="0" w:color="auto"/>
            <w:right w:val="none" w:sz="0" w:space="0" w:color="auto"/>
          </w:divBdr>
        </w:div>
        <w:div w:id="1854614159">
          <w:marLeft w:val="547"/>
          <w:marRight w:val="0"/>
          <w:marTop w:val="0"/>
          <w:marBottom w:val="0"/>
          <w:divBdr>
            <w:top w:val="none" w:sz="0" w:space="0" w:color="auto"/>
            <w:left w:val="none" w:sz="0" w:space="0" w:color="auto"/>
            <w:bottom w:val="none" w:sz="0" w:space="0" w:color="auto"/>
            <w:right w:val="none" w:sz="0" w:space="0" w:color="auto"/>
          </w:divBdr>
        </w:div>
      </w:divsChild>
    </w:div>
    <w:div w:id="877813654">
      <w:bodyDiv w:val="1"/>
      <w:marLeft w:val="0"/>
      <w:marRight w:val="0"/>
      <w:marTop w:val="0"/>
      <w:marBottom w:val="0"/>
      <w:divBdr>
        <w:top w:val="none" w:sz="0" w:space="0" w:color="auto"/>
        <w:left w:val="none" w:sz="0" w:space="0" w:color="auto"/>
        <w:bottom w:val="none" w:sz="0" w:space="0" w:color="auto"/>
        <w:right w:val="none" w:sz="0" w:space="0" w:color="auto"/>
      </w:divBdr>
      <w:divsChild>
        <w:div w:id="249898655">
          <w:marLeft w:val="547"/>
          <w:marRight w:val="0"/>
          <w:marTop w:val="0"/>
          <w:marBottom w:val="0"/>
          <w:divBdr>
            <w:top w:val="none" w:sz="0" w:space="0" w:color="auto"/>
            <w:left w:val="none" w:sz="0" w:space="0" w:color="auto"/>
            <w:bottom w:val="none" w:sz="0" w:space="0" w:color="auto"/>
            <w:right w:val="none" w:sz="0" w:space="0" w:color="auto"/>
          </w:divBdr>
        </w:div>
        <w:div w:id="317194739">
          <w:marLeft w:val="547"/>
          <w:marRight w:val="0"/>
          <w:marTop w:val="0"/>
          <w:marBottom w:val="0"/>
          <w:divBdr>
            <w:top w:val="none" w:sz="0" w:space="0" w:color="auto"/>
            <w:left w:val="none" w:sz="0" w:space="0" w:color="auto"/>
            <w:bottom w:val="none" w:sz="0" w:space="0" w:color="auto"/>
            <w:right w:val="none" w:sz="0" w:space="0" w:color="auto"/>
          </w:divBdr>
        </w:div>
        <w:div w:id="1415123624">
          <w:marLeft w:val="547"/>
          <w:marRight w:val="0"/>
          <w:marTop w:val="0"/>
          <w:marBottom w:val="0"/>
          <w:divBdr>
            <w:top w:val="none" w:sz="0" w:space="0" w:color="auto"/>
            <w:left w:val="none" w:sz="0" w:space="0" w:color="auto"/>
            <w:bottom w:val="none" w:sz="0" w:space="0" w:color="auto"/>
            <w:right w:val="none" w:sz="0" w:space="0" w:color="auto"/>
          </w:divBdr>
        </w:div>
      </w:divsChild>
    </w:div>
    <w:div w:id="927083140">
      <w:bodyDiv w:val="1"/>
      <w:marLeft w:val="0"/>
      <w:marRight w:val="0"/>
      <w:marTop w:val="0"/>
      <w:marBottom w:val="0"/>
      <w:divBdr>
        <w:top w:val="none" w:sz="0" w:space="0" w:color="auto"/>
        <w:left w:val="none" w:sz="0" w:space="0" w:color="auto"/>
        <w:bottom w:val="none" w:sz="0" w:space="0" w:color="auto"/>
        <w:right w:val="none" w:sz="0" w:space="0" w:color="auto"/>
      </w:divBdr>
      <w:divsChild>
        <w:div w:id="99955550">
          <w:marLeft w:val="547"/>
          <w:marRight w:val="0"/>
          <w:marTop w:val="0"/>
          <w:marBottom w:val="0"/>
          <w:divBdr>
            <w:top w:val="none" w:sz="0" w:space="0" w:color="auto"/>
            <w:left w:val="none" w:sz="0" w:space="0" w:color="auto"/>
            <w:bottom w:val="none" w:sz="0" w:space="0" w:color="auto"/>
            <w:right w:val="none" w:sz="0" w:space="0" w:color="auto"/>
          </w:divBdr>
        </w:div>
        <w:div w:id="502474872">
          <w:marLeft w:val="547"/>
          <w:marRight w:val="0"/>
          <w:marTop w:val="0"/>
          <w:marBottom w:val="0"/>
          <w:divBdr>
            <w:top w:val="none" w:sz="0" w:space="0" w:color="auto"/>
            <w:left w:val="none" w:sz="0" w:space="0" w:color="auto"/>
            <w:bottom w:val="none" w:sz="0" w:space="0" w:color="auto"/>
            <w:right w:val="none" w:sz="0" w:space="0" w:color="auto"/>
          </w:divBdr>
        </w:div>
        <w:div w:id="625311602">
          <w:marLeft w:val="547"/>
          <w:marRight w:val="0"/>
          <w:marTop w:val="0"/>
          <w:marBottom w:val="0"/>
          <w:divBdr>
            <w:top w:val="none" w:sz="0" w:space="0" w:color="auto"/>
            <w:left w:val="none" w:sz="0" w:space="0" w:color="auto"/>
            <w:bottom w:val="none" w:sz="0" w:space="0" w:color="auto"/>
            <w:right w:val="none" w:sz="0" w:space="0" w:color="auto"/>
          </w:divBdr>
        </w:div>
        <w:div w:id="1796094099">
          <w:marLeft w:val="547"/>
          <w:marRight w:val="0"/>
          <w:marTop w:val="0"/>
          <w:marBottom w:val="0"/>
          <w:divBdr>
            <w:top w:val="none" w:sz="0" w:space="0" w:color="auto"/>
            <w:left w:val="none" w:sz="0" w:space="0" w:color="auto"/>
            <w:bottom w:val="none" w:sz="0" w:space="0" w:color="auto"/>
            <w:right w:val="none" w:sz="0" w:space="0" w:color="auto"/>
          </w:divBdr>
        </w:div>
        <w:div w:id="1834031050">
          <w:marLeft w:val="547"/>
          <w:marRight w:val="0"/>
          <w:marTop w:val="0"/>
          <w:marBottom w:val="0"/>
          <w:divBdr>
            <w:top w:val="none" w:sz="0" w:space="0" w:color="auto"/>
            <w:left w:val="none" w:sz="0" w:space="0" w:color="auto"/>
            <w:bottom w:val="none" w:sz="0" w:space="0" w:color="auto"/>
            <w:right w:val="none" w:sz="0" w:space="0" w:color="auto"/>
          </w:divBdr>
        </w:div>
        <w:div w:id="2090106492">
          <w:marLeft w:val="547"/>
          <w:marRight w:val="0"/>
          <w:marTop w:val="0"/>
          <w:marBottom w:val="0"/>
          <w:divBdr>
            <w:top w:val="none" w:sz="0" w:space="0" w:color="auto"/>
            <w:left w:val="none" w:sz="0" w:space="0" w:color="auto"/>
            <w:bottom w:val="none" w:sz="0" w:space="0" w:color="auto"/>
            <w:right w:val="none" w:sz="0" w:space="0" w:color="auto"/>
          </w:divBdr>
        </w:div>
      </w:divsChild>
    </w:div>
    <w:div w:id="977809058">
      <w:bodyDiv w:val="1"/>
      <w:marLeft w:val="0"/>
      <w:marRight w:val="0"/>
      <w:marTop w:val="0"/>
      <w:marBottom w:val="0"/>
      <w:divBdr>
        <w:top w:val="none" w:sz="0" w:space="0" w:color="auto"/>
        <w:left w:val="none" w:sz="0" w:space="0" w:color="auto"/>
        <w:bottom w:val="none" w:sz="0" w:space="0" w:color="auto"/>
        <w:right w:val="none" w:sz="0" w:space="0" w:color="auto"/>
      </w:divBdr>
      <w:divsChild>
        <w:div w:id="1665471571">
          <w:marLeft w:val="547"/>
          <w:marRight w:val="0"/>
          <w:marTop w:val="0"/>
          <w:marBottom w:val="0"/>
          <w:divBdr>
            <w:top w:val="none" w:sz="0" w:space="0" w:color="auto"/>
            <w:left w:val="none" w:sz="0" w:space="0" w:color="auto"/>
            <w:bottom w:val="none" w:sz="0" w:space="0" w:color="auto"/>
            <w:right w:val="none" w:sz="0" w:space="0" w:color="auto"/>
          </w:divBdr>
        </w:div>
        <w:div w:id="2035880594">
          <w:marLeft w:val="547"/>
          <w:marRight w:val="0"/>
          <w:marTop w:val="0"/>
          <w:marBottom w:val="0"/>
          <w:divBdr>
            <w:top w:val="none" w:sz="0" w:space="0" w:color="auto"/>
            <w:left w:val="none" w:sz="0" w:space="0" w:color="auto"/>
            <w:bottom w:val="none" w:sz="0" w:space="0" w:color="auto"/>
            <w:right w:val="none" w:sz="0" w:space="0" w:color="auto"/>
          </w:divBdr>
        </w:div>
      </w:divsChild>
    </w:div>
    <w:div w:id="1103651373">
      <w:bodyDiv w:val="1"/>
      <w:marLeft w:val="0"/>
      <w:marRight w:val="0"/>
      <w:marTop w:val="0"/>
      <w:marBottom w:val="0"/>
      <w:divBdr>
        <w:top w:val="none" w:sz="0" w:space="0" w:color="auto"/>
        <w:left w:val="none" w:sz="0" w:space="0" w:color="auto"/>
        <w:bottom w:val="none" w:sz="0" w:space="0" w:color="auto"/>
        <w:right w:val="none" w:sz="0" w:space="0" w:color="auto"/>
      </w:divBdr>
      <w:divsChild>
        <w:div w:id="83646765">
          <w:marLeft w:val="547"/>
          <w:marRight w:val="0"/>
          <w:marTop w:val="0"/>
          <w:marBottom w:val="0"/>
          <w:divBdr>
            <w:top w:val="none" w:sz="0" w:space="0" w:color="auto"/>
            <w:left w:val="none" w:sz="0" w:space="0" w:color="auto"/>
            <w:bottom w:val="none" w:sz="0" w:space="0" w:color="auto"/>
            <w:right w:val="none" w:sz="0" w:space="0" w:color="auto"/>
          </w:divBdr>
        </w:div>
        <w:div w:id="750927156">
          <w:marLeft w:val="547"/>
          <w:marRight w:val="0"/>
          <w:marTop w:val="0"/>
          <w:marBottom w:val="0"/>
          <w:divBdr>
            <w:top w:val="none" w:sz="0" w:space="0" w:color="auto"/>
            <w:left w:val="none" w:sz="0" w:space="0" w:color="auto"/>
            <w:bottom w:val="none" w:sz="0" w:space="0" w:color="auto"/>
            <w:right w:val="none" w:sz="0" w:space="0" w:color="auto"/>
          </w:divBdr>
        </w:div>
        <w:div w:id="821311501">
          <w:marLeft w:val="547"/>
          <w:marRight w:val="0"/>
          <w:marTop w:val="0"/>
          <w:marBottom w:val="0"/>
          <w:divBdr>
            <w:top w:val="none" w:sz="0" w:space="0" w:color="auto"/>
            <w:left w:val="none" w:sz="0" w:space="0" w:color="auto"/>
            <w:bottom w:val="none" w:sz="0" w:space="0" w:color="auto"/>
            <w:right w:val="none" w:sz="0" w:space="0" w:color="auto"/>
          </w:divBdr>
        </w:div>
      </w:divsChild>
    </w:div>
    <w:div w:id="1258951768">
      <w:bodyDiv w:val="1"/>
      <w:marLeft w:val="0"/>
      <w:marRight w:val="0"/>
      <w:marTop w:val="0"/>
      <w:marBottom w:val="0"/>
      <w:divBdr>
        <w:top w:val="none" w:sz="0" w:space="0" w:color="auto"/>
        <w:left w:val="none" w:sz="0" w:space="0" w:color="auto"/>
        <w:bottom w:val="none" w:sz="0" w:space="0" w:color="auto"/>
        <w:right w:val="none" w:sz="0" w:space="0" w:color="auto"/>
      </w:divBdr>
      <w:divsChild>
        <w:div w:id="1170295705">
          <w:marLeft w:val="547"/>
          <w:marRight w:val="0"/>
          <w:marTop w:val="0"/>
          <w:marBottom w:val="0"/>
          <w:divBdr>
            <w:top w:val="none" w:sz="0" w:space="0" w:color="auto"/>
            <w:left w:val="none" w:sz="0" w:space="0" w:color="auto"/>
            <w:bottom w:val="none" w:sz="0" w:space="0" w:color="auto"/>
            <w:right w:val="none" w:sz="0" w:space="0" w:color="auto"/>
          </w:divBdr>
        </w:div>
      </w:divsChild>
    </w:div>
    <w:div w:id="1353605530">
      <w:bodyDiv w:val="1"/>
      <w:marLeft w:val="0"/>
      <w:marRight w:val="0"/>
      <w:marTop w:val="0"/>
      <w:marBottom w:val="0"/>
      <w:divBdr>
        <w:top w:val="none" w:sz="0" w:space="0" w:color="auto"/>
        <w:left w:val="none" w:sz="0" w:space="0" w:color="auto"/>
        <w:bottom w:val="none" w:sz="0" w:space="0" w:color="auto"/>
        <w:right w:val="none" w:sz="0" w:space="0" w:color="auto"/>
      </w:divBdr>
    </w:div>
    <w:div w:id="1824659021">
      <w:bodyDiv w:val="1"/>
      <w:marLeft w:val="0"/>
      <w:marRight w:val="0"/>
      <w:marTop w:val="0"/>
      <w:marBottom w:val="0"/>
      <w:divBdr>
        <w:top w:val="none" w:sz="0" w:space="0" w:color="auto"/>
        <w:left w:val="none" w:sz="0" w:space="0" w:color="auto"/>
        <w:bottom w:val="none" w:sz="0" w:space="0" w:color="auto"/>
        <w:right w:val="none" w:sz="0" w:space="0" w:color="auto"/>
      </w:divBdr>
      <w:divsChild>
        <w:div w:id="591355327">
          <w:marLeft w:val="547"/>
          <w:marRight w:val="0"/>
          <w:marTop w:val="0"/>
          <w:marBottom w:val="0"/>
          <w:divBdr>
            <w:top w:val="none" w:sz="0" w:space="0" w:color="auto"/>
            <w:left w:val="none" w:sz="0" w:space="0" w:color="auto"/>
            <w:bottom w:val="none" w:sz="0" w:space="0" w:color="auto"/>
            <w:right w:val="none" w:sz="0" w:space="0" w:color="auto"/>
          </w:divBdr>
        </w:div>
        <w:div w:id="1155561366">
          <w:marLeft w:val="547"/>
          <w:marRight w:val="0"/>
          <w:marTop w:val="0"/>
          <w:marBottom w:val="0"/>
          <w:divBdr>
            <w:top w:val="none" w:sz="0" w:space="0" w:color="auto"/>
            <w:left w:val="none" w:sz="0" w:space="0" w:color="auto"/>
            <w:bottom w:val="none" w:sz="0" w:space="0" w:color="auto"/>
            <w:right w:val="none" w:sz="0" w:space="0" w:color="auto"/>
          </w:divBdr>
        </w:div>
      </w:divsChild>
    </w:div>
    <w:div w:id="1889300571">
      <w:bodyDiv w:val="1"/>
      <w:marLeft w:val="0"/>
      <w:marRight w:val="0"/>
      <w:marTop w:val="0"/>
      <w:marBottom w:val="0"/>
      <w:divBdr>
        <w:top w:val="none" w:sz="0" w:space="0" w:color="auto"/>
        <w:left w:val="none" w:sz="0" w:space="0" w:color="auto"/>
        <w:bottom w:val="none" w:sz="0" w:space="0" w:color="auto"/>
        <w:right w:val="none" w:sz="0" w:space="0" w:color="auto"/>
      </w:divBdr>
      <w:divsChild>
        <w:div w:id="582299367">
          <w:marLeft w:val="547"/>
          <w:marRight w:val="0"/>
          <w:marTop w:val="0"/>
          <w:marBottom w:val="0"/>
          <w:divBdr>
            <w:top w:val="none" w:sz="0" w:space="0" w:color="auto"/>
            <w:left w:val="none" w:sz="0" w:space="0" w:color="auto"/>
            <w:bottom w:val="none" w:sz="0" w:space="0" w:color="auto"/>
            <w:right w:val="none" w:sz="0" w:space="0" w:color="auto"/>
          </w:divBdr>
        </w:div>
      </w:divsChild>
    </w:div>
    <w:div w:id="2009559431">
      <w:bodyDiv w:val="1"/>
      <w:marLeft w:val="0"/>
      <w:marRight w:val="0"/>
      <w:marTop w:val="0"/>
      <w:marBottom w:val="0"/>
      <w:divBdr>
        <w:top w:val="none" w:sz="0" w:space="0" w:color="auto"/>
        <w:left w:val="none" w:sz="0" w:space="0" w:color="auto"/>
        <w:bottom w:val="none" w:sz="0" w:space="0" w:color="auto"/>
        <w:right w:val="none" w:sz="0" w:space="0" w:color="auto"/>
      </w:divBdr>
    </w:div>
    <w:div w:id="2062248191">
      <w:bodyDiv w:val="1"/>
      <w:marLeft w:val="0"/>
      <w:marRight w:val="0"/>
      <w:marTop w:val="0"/>
      <w:marBottom w:val="0"/>
      <w:divBdr>
        <w:top w:val="none" w:sz="0" w:space="0" w:color="auto"/>
        <w:left w:val="none" w:sz="0" w:space="0" w:color="auto"/>
        <w:bottom w:val="none" w:sz="0" w:space="0" w:color="auto"/>
        <w:right w:val="none" w:sz="0" w:space="0" w:color="auto"/>
      </w:divBdr>
      <w:divsChild>
        <w:div w:id="368838826">
          <w:marLeft w:val="547"/>
          <w:marRight w:val="0"/>
          <w:marTop w:val="0"/>
          <w:marBottom w:val="0"/>
          <w:divBdr>
            <w:top w:val="none" w:sz="0" w:space="0" w:color="auto"/>
            <w:left w:val="none" w:sz="0" w:space="0" w:color="auto"/>
            <w:bottom w:val="none" w:sz="0" w:space="0" w:color="auto"/>
            <w:right w:val="none" w:sz="0" w:space="0" w:color="auto"/>
          </w:divBdr>
        </w:div>
      </w:divsChild>
    </w:div>
    <w:div w:id="2108453037">
      <w:bodyDiv w:val="1"/>
      <w:marLeft w:val="0"/>
      <w:marRight w:val="0"/>
      <w:marTop w:val="0"/>
      <w:marBottom w:val="0"/>
      <w:divBdr>
        <w:top w:val="none" w:sz="0" w:space="0" w:color="auto"/>
        <w:left w:val="none" w:sz="0" w:space="0" w:color="auto"/>
        <w:bottom w:val="none" w:sz="0" w:space="0" w:color="auto"/>
        <w:right w:val="none" w:sz="0" w:space="0" w:color="auto"/>
      </w:divBdr>
      <w:divsChild>
        <w:div w:id="19512037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0924944478094096E-2"/>
          <c:y val="3.0610728022583439E-2"/>
          <c:w val="0.95750978917269469"/>
          <c:h val="0.73920413873885604"/>
        </c:manualLayout>
      </c:layout>
      <c:barChart>
        <c:barDir val="col"/>
        <c:grouping val="stacked"/>
        <c:varyColors val="0"/>
        <c:ser>
          <c:idx val="1"/>
          <c:order val="0"/>
          <c:tx>
            <c:strRef>
              <c:f>Sheet1!$A$2</c:f>
              <c:strCache>
                <c:ptCount val="1"/>
                <c:pt idx="0">
                  <c:v>Uncovered</c:v>
                </c:pt>
              </c:strCache>
            </c:strRef>
          </c:tx>
          <c:spPr>
            <a:solidFill>
              <a:srgbClr val="008080"/>
            </a:solidFill>
            <a:ln>
              <a:solidFill>
                <a:srgbClr val="008080"/>
              </a:solidFill>
            </a:ln>
          </c:spPr>
          <c:invertIfNegative val="0"/>
          <c:dPt>
            <c:idx val="4"/>
            <c:invertIfNegative val="0"/>
            <c:bubble3D val="0"/>
            <c:spPr>
              <a:solidFill>
                <a:srgbClr val="FF7415"/>
              </a:solidFill>
              <a:ln>
                <a:solidFill>
                  <a:srgbClr val="FF7415"/>
                </a:solidFill>
              </a:ln>
            </c:spPr>
          </c:dPt>
          <c:dPt>
            <c:idx val="5"/>
            <c:invertIfNegative val="0"/>
            <c:bubble3D val="0"/>
            <c:spPr>
              <a:solidFill>
                <a:srgbClr val="FF7415"/>
              </a:solidFill>
              <a:ln>
                <a:solidFill>
                  <a:srgbClr val="FF7415"/>
                </a:solidFill>
              </a:ln>
            </c:spPr>
          </c:dPt>
          <c:dLbls>
            <c:dLbl>
              <c:idx val="0"/>
              <c:layout>
                <c:manualLayout>
                  <c:x val="-5.0000000000000018E-3"/>
                  <c:y val="-3.6457608496612462E-2"/>
                </c:manualLayout>
              </c:layout>
              <c:tx>
                <c:rich>
                  <a:bodyPr/>
                  <a:lstStyle/>
                  <a:p>
                    <a:r>
                      <a:rPr lang="en-US" sz="600" dirty="0" smtClean="0"/>
                      <a:t>58%</a:t>
                    </a:r>
                    <a:endParaRPr lang="en-US" dirty="0"/>
                  </a:p>
                </c:rich>
              </c:tx>
              <c:dLblPos val="ctr"/>
              <c:showLegendKey val="0"/>
              <c:showVal val="0"/>
              <c:showCatName val="0"/>
              <c:showSerName val="0"/>
              <c:showPercent val="0"/>
              <c:showBubbleSize val="0"/>
              <c:extLst>
                <c:ext xmlns:c15="http://schemas.microsoft.com/office/drawing/2012/chart" uri="{CE6537A1-D6FC-4f65-9D91-7224C49458BB}"/>
              </c:extLst>
            </c:dLbl>
            <c:dLbl>
              <c:idx val="1"/>
              <c:tx>
                <c:rich>
                  <a:bodyPr/>
                  <a:lstStyle/>
                  <a:p>
                    <a:r>
                      <a:rPr lang="en-US" sz="600" dirty="0" smtClean="0"/>
                      <a:t>115%</a:t>
                    </a:r>
                    <a:endParaRPr lang="en-US" dirty="0"/>
                  </a:p>
                </c:rich>
              </c:tx>
              <c:dLblPos val="inEnd"/>
              <c:showLegendKey val="0"/>
              <c:showVal val="0"/>
              <c:showCatName val="0"/>
              <c:showSerName val="0"/>
              <c:showPercent val="0"/>
              <c:showBubbleSize val="0"/>
              <c:extLst>
                <c:ext xmlns:c15="http://schemas.microsoft.com/office/drawing/2012/chart" uri="{CE6537A1-D6FC-4f65-9D91-7224C49458BB}"/>
              </c:extLst>
            </c:dLbl>
            <c:dLbl>
              <c:idx val="2"/>
              <c:tx>
                <c:rich>
                  <a:bodyPr/>
                  <a:lstStyle/>
                  <a:p>
                    <a:r>
                      <a:rPr lang="en-US" sz="600" dirty="0" smtClean="0"/>
                      <a:t>106%</a:t>
                    </a:r>
                    <a:endParaRPr lang="en-US" dirty="0"/>
                  </a:p>
                </c:rich>
              </c:tx>
              <c:dLblPos val="inEnd"/>
              <c:showLegendKey val="0"/>
              <c:showVal val="0"/>
              <c:showCatName val="0"/>
              <c:showSerName val="0"/>
              <c:showPercent val="0"/>
              <c:showBubbleSize val="0"/>
              <c:extLst>
                <c:ext xmlns:c15="http://schemas.microsoft.com/office/drawing/2012/chart" uri="{CE6537A1-D6FC-4f65-9D91-7224C49458BB}"/>
              </c:extLst>
            </c:dLbl>
            <c:dLbl>
              <c:idx val="3"/>
              <c:layout>
                <c:manualLayout>
                  <c:x val="-5.000000000000092E-3"/>
                  <c:y val="-1.3275956784471705E-2"/>
                </c:manualLayout>
              </c:layout>
              <c:tx>
                <c:rich>
                  <a:bodyPr/>
                  <a:lstStyle/>
                  <a:p>
                    <a:r>
                      <a:rPr lang="en-US" sz="600" dirty="0" smtClean="0"/>
                      <a:t>119%</a:t>
                    </a:r>
                    <a:endParaRPr lang="en-US" dirty="0"/>
                  </a:p>
                </c:rich>
              </c:tx>
              <c:dLblPos val="ctr"/>
              <c:showLegendKey val="0"/>
              <c:showVal val="0"/>
              <c:showCatName val="0"/>
              <c:showSerName val="0"/>
              <c:showPercent val="0"/>
              <c:showBubbleSize val="0"/>
              <c:extLst>
                <c:ext xmlns:c15="http://schemas.microsoft.com/office/drawing/2012/chart" uri="{CE6537A1-D6FC-4f65-9D91-7224C49458BB}"/>
              </c:extLst>
            </c:dLbl>
            <c:dLbl>
              <c:idx val="4"/>
              <c:layout>
                <c:manualLayout>
                  <c:x val="0"/>
                  <c:y val="-1.6020875297564564E-2"/>
                </c:manualLayout>
              </c:layout>
              <c:tx>
                <c:rich>
                  <a:bodyPr/>
                  <a:lstStyle/>
                  <a:p>
                    <a:pPr>
                      <a:defRPr lang="el-GR" sz="600" b="1"/>
                    </a:pPr>
                    <a:r>
                      <a:rPr lang="en-US" sz="600" b="1" dirty="0" smtClean="0"/>
                      <a:t>80,9%</a:t>
                    </a:r>
                    <a:endParaRPr lang="en-US" b="1" dirty="0"/>
                  </a:p>
                </c:rich>
              </c:tx>
              <c:numFmt formatCode="0.0%" sourceLinked="0"/>
              <c:spPr>
                <a:solidFill>
                  <a:schemeClr val="bg1"/>
                </a:solidFill>
                <a:ln>
                  <a:solidFill>
                    <a:srgbClr val="FF7415"/>
                  </a:solidFill>
                </a:ln>
              </c:spPr>
              <c:dLblPos val="ctr"/>
              <c:showLegendKey val="0"/>
              <c:showVal val="0"/>
              <c:showCatName val="0"/>
              <c:showSerName val="0"/>
              <c:showPercent val="0"/>
              <c:showBubbleSize val="0"/>
              <c:extLst>
                <c:ext xmlns:c15="http://schemas.microsoft.com/office/drawing/2012/chart" uri="{CE6537A1-D6FC-4f65-9D91-7224C49458BB}"/>
              </c:extLst>
            </c:dLbl>
            <c:dLbl>
              <c:idx val="5"/>
              <c:layout>
                <c:manualLayout>
                  <c:x val="0"/>
                  <c:y val="-2.9144845266434731E-2"/>
                </c:manualLayout>
              </c:layout>
              <c:tx>
                <c:rich>
                  <a:bodyPr wrap="square" lIns="38100" tIns="19050" rIns="38100" bIns="19050" anchor="ctr">
                    <a:spAutoFit/>
                  </a:bodyPr>
                  <a:lstStyle/>
                  <a:p>
                    <a:pPr>
                      <a:defRPr lang="el-GR" sz="600" b="1"/>
                    </a:pPr>
                    <a:r>
                      <a:rPr lang="en-US" sz="600" dirty="0" smtClean="0"/>
                      <a:t>81,0%</a:t>
                    </a:r>
                    <a:endParaRPr lang="en-US" dirty="0"/>
                  </a:p>
                </c:rich>
              </c:tx>
              <c:numFmt formatCode="0.0%" sourceLinked="0"/>
              <c:spPr>
                <a:solidFill>
                  <a:srgbClr val="FFFFFF"/>
                </a:solidFill>
                <a:ln>
                  <a:solidFill>
                    <a:srgbClr val="FF7415"/>
                  </a:solid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6"/>
              <c:tx>
                <c:rich>
                  <a:bodyPr/>
                  <a:lstStyle/>
                  <a:p>
                    <a:pPr>
                      <a:defRPr lang="el-GR" sz="600" b="1"/>
                    </a:pPr>
                    <a:r>
                      <a:rPr lang="en-US" sz="600" b="1" dirty="0" smtClean="0"/>
                      <a:t>53%</a:t>
                    </a:r>
                    <a:endParaRPr lang="en-US" b="1" dirty="0"/>
                  </a:p>
                </c:rich>
              </c:tx>
              <c:numFmt formatCode="0.0%" sourceLinked="0"/>
              <c:spPr>
                <a:solidFill>
                  <a:schemeClr val="bg1"/>
                </a:solidFill>
                <a:ln>
                  <a:solidFill>
                    <a:srgbClr val="008080"/>
                  </a:solidFill>
                </a:ln>
              </c:spPr>
              <c:dLblPos val="inEnd"/>
              <c:showLegendKey val="0"/>
              <c:showVal val="1"/>
              <c:showCatName val="0"/>
              <c:showSerName val="0"/>
              <c:showPercent val="0"/>
              <c:showBubbleSize val="0"/>
              <c:extLst>
                <c:ext xmlns:c15="http://schemas.microsoft.com/office/drawing/2012/chart" uri="{CE6537A1-D6FC-4f65-9D91-7224C49458BB}"/>
              </c:extLst>
            </c:dLbl>
            <c:numFmt formatCode="0.0%" sourceLinked="0"/>
            <c:spPr>
              <a:solidFill>
                <a:schemeClr val="bg1"/>
              </a:solidFill>
              <a:ln>
                <a:solidFill>
                  <a:srgbClr val="008080"/>
                </a:solidFill>
              </a:ln>
            </c:spPr>
            <c:txPr>
              <a:bodyPr/>
              <a:lstStyle/>
              <a:p>
                <a:pPr>
                  <a:defRPr lang="el-GR" sz="600"/>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Sheet1!$B$2:$G$2</c:f>
              <c:numCache>
                <c:formatCode>0.0%</c:formatCode>
                <c:ptCount val="6"/>
                <c:pt idx="0">
                  <c:v>0.1781103673325736</c:v>
                </c:pt>
                <c:pt idx="1">
                  <c:v>0.28238751117958844</c:v>
                </c:pt>
                <c:pt idx="2">
                  <c:v>0.44781821745890926</c:v>
                </c:pt>
                <c:pt idx="3">
                  <c:v>0.11552718482819986</c:v>
                </c:pt>
                <c:pt idx="4">
                  <c:v>0.16958443324015798</c:v>
                </c:pt>
                <c:pt idx="5">
                  <c:v>0.165649922997435</c:v>
                </c:pt>
              </c:numCache>
            </c:numRef>
          </c:val>
        </c:ser>
        <c:ser>
          <c:idx val="0"/>
          <c:order val="1"/>
          <c:tx>
            <c:strRef>
              <c:f>Sheet1!$A$3</c:f>
              <c:strCache>
                <c:ptCount val="1"/>
                <c:pt idx="0">
                  <c:v>Covered</c:v>
                </c:pt>
              </c:strCache>
            </c:strRef>
          </c:tx>
          <c:spPr>
            <a:noFill/>
            <a:ln>
              <a:solidFill>
                <a:srgbClr val="008080"/>
              </a:solidFill>
            </a:ln>
          </c:spPr>
          <c:invertIfNegative val="0"/>
          <c:dPt>
            <c:idx val="4"/>
            <c:invertIfNegative val="0"/>
            <c:bubble3D val="0"/>
            <c:spPr>
              <a:noFill/>
              <a:ln>
                <a:solidFill>
                  <a:srgbClr val="FF7415"/>
                </a:solidFill>
              </a:ln>
            </c:spPr>
          </c:dPt>
          <c:dPt>
            <c:idx val="5"/>
            <c:invertIfNegative val="0"/>
            <c:bubble3D val="0"/>
            <c:spPr>
              <a:noFill/>
              <a:ln>
                <a:solidFill>
                  <a:srgbClr val="FF7415"/>
                </a:solidFill>
              </a:ln>
            </c:spPr>
          </c:dPt>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Sheet1!$B$3:$G$3</c:f>
              <c:numCache>
                <c:formatCode>0.0%</c:formatCode>
                <c:ptCount val="6"/>
                <c:pt idx="0">
                  <c:v>0.12995263297295659</c:v>
                </c:pt>
                <c:pt idx="1">
                  <c:v>-3.7331747680351302E-2</c:v>
                </c:pt>
                <c:pt idx="2">
                  <c:v>-2.5200067522614444E-2</c:v>
                </c:pt>
                <c:pt idx="3">
                  <c:v>-1.8828063351023258E-2</c:v>
                </c:pt>
                <c:pt idx="4">
                  <c:v>4.0164656495634388E-2</c:v>
                </c:pt>
                <c:pt idx="5">
                  <c:v>3.8822188820850312E-2</c:v>
                </c:pt>
              </c:numCache>
            </c:numRef>
          </c:val>
        </c:ser>
        <c:ser>
          <c:idx val="2"/>
          <c:order val="2"/>
          <c:tx>
            <c:strRef>
              <c:f>Sheet1!$A$4</c:f>
              <c:strCache>
                <c:ptCount val="1"/>
                <c:pt idx="0">
                  <c:v>NPLs</c:v>
                </c:pt>
              </c:strCache>
            </c:strRef>
          </c:tx>
          <c:spPr>
            <a:noFill/>
          </c:spPr>
          <c:invertIfNegative val="0"/>
          <c:dLbls>
            <c:dLbl>
              <c:idx val="1"/>
              <c:numFmt formatCode="0%" sourceLinked="0"/>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dLbl>
              <c:idx val="4"/>
              <c:tx>
                <c:rich>
                  <a:bodyPr/>
                  <a:lstStyle/>
                  <a:p>
                    <a:pPr>
                      <a:defRPr lang="el-GR" sz="600" b="1">
                        <a:latin typeface="Segoe UI" pitchFamily="34" charset="0"/>
                        <a:ea typeface="Segoe UI" pitchFamily="34" charset="0"/>
                        <a:cs typeface="Segoe UI" pitchFamily="34" charset="0"/>
                      </a:defRPr>
                    </a:pPr>
                    <a:r>
                      <a:rPr lang="en-US"/>
                      <a:t>21,0%</a:t>
                    </a:r>
                  </a:p>
                </c:rich>
              </c:tx>
              <c:numFmt formatCode="0.0%" sourceLinked="0"/>
              <c:spPr/>
              <c:dLblPos val="inBase"/>
              <c:showLegendKey val="0"/>
              <c:showVal val="1"/>
              <c:showCatName val="0"/>
              <c:showSerName val="0"/>
              <c:showPercent val="0"/>
              <c:showBubbleSize val="0"/>
              <c:extLst>
                <c:ext xmlns:c15="http://schemas.microsoft.com/office/drawing/2012/chart" uri="{CE6537A1-D6FC-4f65-9D91-7224C49458BB}"/>
              </c:extLst>
            </c:dLbl>
            <c:dLbl>
              <c:idx val="5"/>
              <c:tx>
                <c:rich>
                  <a:bodyPr/>
                  <a:lstStyle/>
                  <a:p>
                    <a:pPr>
                      <a:defRPr lang="el-GR" sz="600" b="1">
                        <a:latin typeface="Segoe UI" pitchFamily="34" charset="0"/>
                        <a:ea typeface="Segoe UI" pitchFamily="34" charset="0"/>
                        <a:cs typeface="Segoe UI" pitchFamily="34" charset="0"/>
                      </a:defRPr>
                    </a:pPr>
                    <a:r>
                      <a:rPr lang="en-US"/>
                      <a:t>20,4%</a:t>
                    </a:r>
                  </a:p>
                </c:rich>
              </c:tx>
              <c:numFmt formatCode="0.0%" sourceLinked="0"/>
              <c:spPr>
                <a:noFill/>
                <a:ln>
                  <a:noFill/>
                </a:ln>
                <a:effectLst/>
              </c:spPr>
              <c:dLblPos val="inBase"/>
              <c:showLegendKey val="0"/>
              <c:showVal val="1"/>
              <c:showCatName val="0"/>
              <c:showSerName val="0"/>
              <c:showPercent val="0"/>
              <c:showBubbleSize val="0"/>
              <c:extLst>
                <c:ext xmlns:c15="http://schemas.microsoft.com/office/drawing/2012/chart" uri="{CE6537A1-D6FC-4f65-9D91-7224C49458BB}"/>
              </c:extLst>
            </c:dLbl>
            <c:dLbl>
              <c:idx val="6"/>
              <c:numFmt formatCode="0%" sourceLinked="0"/>
              <c:spPr>
                <a:noFill/>
                <a:ln>
                  <a:noFill/>
                </a:ln>
                <a:effectLst/>
              </c:spPr>
              <c:txPr>
                <a:bodyPr/>
                <a:lstStyle/>
                <a:p>
                  <a:pPr>
                    <a:defRPr lang="el-GR" sz="600" b="1">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numFmt formatCode="0%" sourceLinked="0"/>
            <c:spPr>
              <a:noFill/>
              <a:ln>
                <a:noFill/>
              </a:ln>
              <a:effectLst/>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Sheet1!$B$4:$G$4</c:f>
              <c:numCache>
                <c:formatCode>0.0%</c:formatCode>
                <c:ptCount val="6"/>
                <c:pt idx="0">
                  <c:v>0.30806300030553019</c:v>
                </c:pt>
                <c:pt idx="1">
                  <c:v>0.24505576349923713</c:v>
                </c:pt>
                <c:pt idx="2">
                  <c:v>0.42261814993629482</c:v>
                </c:pt>
                <c:pt idx="3">
                  <c:v>9.6699121477176603E-2</c:v>
                </c:pt>
                <c:pt idx="4">
                  <c:v>0.20974908973579237</c:v>
                </c:pt>
                <c:pt idx="5">
                  <c:v>0.20447211181828531</c:v>
                </c:pt>
              </c:numCache>
            </c:numRef>
          </c:val>
        </c:ser>
        <c:dLbls>
          <c:showLegendKey val="0"/>
          <c:showVal val="0"/>
          <c:showCatName val="0"/>
          <c:showSerName val="0"/>
          <c:showPercent val="0"/>
          <c:showBubbleSize val="0"/>
        </c:dLbls>
        <c:gapWidth val="500"/>
        <c:overlap val="100"/>
        <c:axId val="419228736"/>
        <c:axId val="419229296"/>
      </c:barChart>
      <c:catAx>
        <c:axId val="419228736"/>
        <c:scaling>
          <c:orientation val="minMax"/>
        </c:scaling>
        <c:delete val="0"/>
        <c:axPos val="b"/>
        <c:numFmt formatCode="General" sourceLinked="1"/>
        <c:majorTickMark val="none"/>
        <c:minorTickMark val="none"/>
        <c:tickLblPos val="nextTo"/>
        <c:spPr>
          <a:ln>
            <a:solidFill>
              <a:schemeClr val="bg1">
                <a:lumMod val="75000"/>
              </a:schemeClr>
            </a:solidFill>
          </a:ln>
        </c:spPr>
        <c:txPr>
          <a:bodyPr/>
          <a:lstStyle/>
          <a:p>
            <a:pPr>
              <a:defRPr lang="el-GR" sz="550"/>
            </a:pPr>
            <a:endParaRPr lang="el-GR"/>
          </a:p>
        </c:txPr>
        <c:crossAx val="419229296"/>
        <c:crosses val="autoZero"/>
        <c:auto val="1"/>
        <c:lblAlgn val="ctr"/>
        <c:lblOffset val="100"/>
        <c:noMultiLvlLbl val="0"/>
      </c:catAx>
      <c:valAx>
        <c:axId val="419229296"/>
        <c:scaling>
          <c:orientation val="minMax"/>
          <c:max val="0.8"/>
          <c:min val="0"/>
        </c:scaling>
        <c:delete val="1"/>
        <c:axPos val="l"/>
        <c:numFmt formatCode="0.0%" sourceLinked="1"/>
        <c:majorTickMark val="out"/>
        <c:minorTickMark val="none"/>
        <c:tickLblPos val="nextTo"/>
        <c:crossAx val="419228736"/>
        <c:crosses val="autoZero"/>
        <c:crossBetween val="between"/>
        <c:minorUnit val="4"/>
      </c:valAx>
      <c:spPr>
        <a:noFill/>
        <a:ln w="25400">
          <a:noFill/>
        </a:ln>
      </c:spPr>
    </c:plotArea>
    <c:plotVisOnly val="1"/>
    <c:dispBlanksAs val="gap"/>
    <c:showDLblsOverMax val="0"/>
  </c:chart>
  <c:spPr>
    <a:ln>
      <a:solidFill>
        <a:sysClr val="window" lastClr="FFFFFF">
          <a:lumMod val="75000"/>
        </a:sysClr>
      </a:solidFill>
    </a:ln>
  </c:spPr>
  <c:txPr>
    <a:bodyPr/>
    <a:lstStyle/>
    <a:p>
      <a:pPr>
        <a:defRPr sz="1797"/>
      </a:pPr>
      <a:endParaRPr lang="el-G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0924944478094096E-2"/>
          <c:y val="3.0610728022583439E-2"/>
          <c:w val="0.9640196799265135"/>
          <c:h val="0.73155931328256119"/>
        </c:manualLayout>
      </c:layout>
      <c:barChart>
        <c:barDir val="col"/>
        <c:grouping val="stacked"/>
        <c:varyColors val="0"/>
        <c:ser>
          <c:idx val="1"/>
          <c:order val="0"/>
          <c:tx>
            <c:strRef>
              <c:f>Sheet1!$A$2</c:f>
              <c:strCache>
                <c:ptCount val="1"/>
                <c:pt idx="0">
                  <c:v>Uncovered</c:v>
                </c:pt>
              </c:strCache>
            </c:strRef>
          </c:tx>
          <c:spPr>
            <a:solidFill>
              <a:srgbClr val="008080"/>
            </a:solidFill>
            <a:ln>
              <a:solidFill>
                <a:srgbClr val="008080"/>
              </a:solidFill>
            </a:ln>
          </c:spPr>
          <c:invertIfNegative val="0"/>
          <c:dPt>
            <c:idx val="4"/>
            <c:invertIfNegative val="0"/>
            <c:bubble3D val="0"/>
            <c:spPr>
              <a:solidFill>
                <a:srgbClr val="FF7415"/>
              </a:solidFill>
              <a:ln>
                <a:solidFill>
                  <a:srgbClr val="FF7415"/>
                </a:solidFill>
              </a:ln>
            </c:spPr>
          </c:dPt>
          <c:dPt>
            <c:idx val="5"/>
            <c:invertIfNegative val="0"/>
            <c:bubble3D val="0"/>
            <c:spPr>
              <a:solidFill>
                <a:srgbClr val="FF7415"/>
              </a:solidFill>
              <a:ln>
                <a:solidFill>
                  <a:srgbClr val="FF7415"/>
                </a:solidFill>
              </a:ln>
            </c:spPr>
          </c:dPt>
          <c:dLbls>
            <c:dLbl>
              <c:idx val="0"/>
              <c:layout>
                <c:manualLayout>
                  <c:x val="-5.0000000000000018E-3"/>
                  <c:y val="-3.6457608496612462E-2"/>
                </c:manualLayout>
              </c:layout>
              <c:tx>
                <c:rich>
                  <a:bodyPr/>
                  <a:lstStyle/>
                  <a:p>
                    <a:r>
                      <a:rPr lang="en-US" sz="600" dirty="0" smtClean="0"/>
                      <a:t>41%</a:t>
                    </a:r>
                    <a:endParaRPr lang="en-US" dirty="0"/>
                  </a:p>
                </c:rich>
              </c:tx>
              <c:dLblPos val="ctr"/>
              <c:showLegendKey val="0"/>
              <c:showVal val="0"/>
              <c:showCatName val="0"/>
              <c:showSerName val="0"/>
              <c:showPercent val="0"/>
              <c:showBubbleSize val="0"/>
              <c:extLst>
                <c:ext xmlns:c15="http://schemas.microsoft.com/office/drawing/2012/chart" uri="{CE6537A1-D6FC-4f65-9D91-7224C49458BB}"/>
              </c:extLst>
            </c:dLbl>
            <c:dLbl>
              <c:idx val="1"/>
              <c:tx>
                <c:rich>
                  <a:bodyPr/>
                  <a:lstStyle/>
                  <a:p>
                    <a:r>
                      <a:rPr lang="en-US" sz="600" dirty="0" smtClean="0"/>
                      <a:t>91%</a:t>
                    </a:r>
                    <a:endParaRPr lang="en-US" dirty="0"/>
                  </a:p>
                </c:rich>
              </c:tx>
              <c:dLblPos val="inEnd"/>
              <c:showLegendKey val="0"/>
              <c:showVal val="0"/>
              <c:showCatName val="0"/>
              <c:showSerName val="0"/>
              <c:showPercent val="0"/>
              <c:showBubbleSize val="0"/>
              <c:extLst>
                <c:ext xmlns:c15="http://schemas.microsoft.com/office/drawing/2012/chart" uri="{CE6537A1-D6FC-4f65-9D91-7224C49458BB}"/>
              </c:extLst>
            </c:dLbl>
            <c:dLbl>
              <c:idx val="2"/>
              <c:tx>
                <c:rich>
                  <a:bodyPr/>
                  <a:lstStyle/>
                  <a:p>
                    <a:r>
                      <a:rPr lang="en-US" sz="600" dirty="0" smtClean="0"/>
                      <a:t>88%</a:t>
                    </a:r>
                    <a:endParaRPr lang="en-US" dirty="0"/>
                  </a:p>
                </c:rich>
              </c:tx>
              <c:dLblPos val="inEnd"/>
              <c:showLegendKey val="0"/>
              <c:showVal val="0"/>
              <c:showCatName val="0"/>
              <c:showSerName val="0"/>
              <c:showPercent val="0"/>
              <c:showBubbleSize val="0"/>
              <c:extLst>
                <c:ext xmlns:c15="http://schemas.microsoft.com/office/drawing/2012/chart" uri="{CE6537A1-D6FC-4f65-9D91-7224C49458BB}"/>
              </c:extLst>
            </c:dLbl>
            <c:dLbl>
              <c:idx val="3"/>
              <c:layout>
                <c:manualLayout>
                  <c:x val="-5.000000000000092E-3"/>
                  <c:y val="-1.3275956784471705E-2"/>
                </c:manualLayout>
              </c:layout>
              <c:tx>
                <c:rich>
                  <a:bodyPr/>
                  <a:lstStyle/>
                  <a:p>
                    <a:r>
                      <a:rPr lang="en-US" sz="600" dirty="0" smtClean="0"/>
                      <a:t>70%</a:t>
                    </a:r>
                    <a:endParaRPr lang="en-US" dirty="0"/>
                  </a:p>
                </c:rich>
              </c:tx>
              <c:dLblPos val="ctr"/>
              <c:showLegendKey val="0"/>
              <c:showVal val="0"/>
              <c:showCatName val="0"/>
              <c:showSerName val="0"/>
              <c:showPercent val="0"/>
              <c:showBubbleSize val="0"/>
              <c:extLst>
                <c:ext xmlns:c15="http://schemas.microsoft.com/office/drawing/2012/chart" uri="{CE6537A1-D6FC-4f65-9D91-7224C49458BB}"/>
              </c:extLst>
            </c:dLbl>
            <c:dLbl>
              <c:idx val="4"/>
              <c:layout>
                <c:manualLayout>
                  <c:x val="0"/>
                  <c:y val="-1.6020875297564564E-2"/>
                </c:manualLayout>
              </c:layout>
              <c:tx>
                <c:rich>
                  <a:bodyPr/>
                  <a:lstStyle/>
                  <a:p>
                    <a:pPr>
                      <a:defRPr lang="el-GR" sz="600" b="1"/>
                    </a:pPr>
                    <a:r>
                      <a:rPr lang="en-US" sz="600" b="1" dirty="0" smtClean="0"/>
                      <a:t>56,4%</a:t>
                    </a:r>
                    <a:endParaRPr lang="en-US" b="1" dirty="0"/>
                  </a:p>
                </c:rich>
              </c:tx>
              <c:numFmt formatCode="0.0%" sourceLinked="0"/>
              <c:spPr>
                <a:solidFill>
                  <a:schemeClr val="bg1"/>
                </a:solidFill>
                <a:ln>
                  <a:solidFill>
                    <a:srgbClr val="FF7415"/>
                  </a:solidFill>
                </a:ln>
              </c:spPr>
              <c:dLblPos val="ctr"/>
              <c:showLegendKey val="0"/>
              <c:showVal val="0"/>
              <c:showCatName val="0"/>
              <c:showSerName val="0"/>
              <c:showPercent val="0"/>
              <c:showBubbleSize val="0"/>
              <c:extLst>
                <c:ext xmlns:c15="http://schemas.microsoft.com/office/drawing/2012/chart" uri="{CE6537A1-D6FC-4f65-9D91-7224C49458BB}"/>
              </c:extLst>
            </c:dLbl>
            <c:dLbl>
              <c:idx val="5"/>
              <c:layout>
                <c:manualLayout>
                  <c:x val="0"/>
                  <c:y val="-2.9144845266434731E-2"/>
                </c:manualLayout>
              </c:layout>
              <c:tx>
                <c:rich>
                  <a:bodyPr wrap="square" lIns="38100" tIns="19050" rIns="38100" bIns="19050" anchor="ctr">
                    <a:spAutoFit/>
                  </a:bodyPr>
                  <a:lstStyle/>
                  <a:p>
                    <a:pPr>
                      <a:defRPr lang="el-GR" sz="600" b="1"/>
                    </a:pPr>
                    <a:r>
                      <a:rPr lang="en-US" sz="600" dirty="0" smtClean="0"/>
                      <a:t>56,7%</a:t>
                    </a:r>
                    <a:endParaRPr lang="en-US" dirty="0"/>
                  </a:p>
                </c:rich>
              </c:tx>
              <c:numFmt formatCode="0.0%" sourceLinked="0"/>
              <c:spPr>
                <a:solidFill>
                  <a:srgbClr val="FFFFFF"/>
                </a:solidFill>
                <a:ln>
                  <a:solidFill>
                    <a:srgbClr val="FF7415"/>
                  </a:solid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6"/>
              <c:tx>
                <c:rich>
                  <a:bodyPr/>
                  <a:lstStyle/>
                  <a:p>
                    <a:pPr>
                      <a:defRPr lang="el-GR" sz="600" b="1"/>
                    </a:pPr>
                    <a:r>
                      <a:rPr lang="en-US" sz="600" b="1" dirty="0" smtClean="0"/>
                      <a:t>53%</a:t>
                    </a:r>
                    <a:endParaRPr lang="en-US" b="1" dirty="0"/>
                  </a:p>
                </c:rich>
              </c:tx>
              <c:numFmt formatCode="0.0%" sourceLinked="0"/>
              <c:spPr>
                <a:solidFill>
                  <a:schemeClr val="bg1"/>
                </a:solidFill>
                <a:ln>
                  <a:solidFill>
                    <a:srgbClr val="008080"/>
                  </a:solidFill>
                </a:ln>
              </c:spPr>
              <c:dLblPos val="inEnd"/>
              <c:showLegendKey val="0"/>
              <c:showVal val="1"/>
              <c:showCatName val="0"/>
              <c:showSerName val="0"/>
              <c:showPercent val="0"/>
              <c:showBubbleSize val="0"/>
              <c:extLst>
                <c:ext xmlns:c15="http://schemas.microsoft.com/office/drawing/2012/chart" uri="{CE6537A1-D6FC-4f65-9D91-7224C49458BB}"/>
              </c:extLst>
            </c:dLbl>
            <c:numFmt formatCode="0.0%" sourceLinked="0"/>
            <c:spPr>
              <a:solidFill>
                <a:schemeClr val="bg1"/>
              </a:solidFill>
              <a:ln>
                <a:solidFill>
                  <a:srgbClr val="008080"/>
                </a:solidFill>
              </a:ln>
            </c:spPr>
            <c:txPr>
              <a:bodyPr/>
              <a:lstStyle/>
              <a:p>
                <a:pPr>
                  <a:defRPr lang="el-GR" sz="600"/>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Sheet1!$B$2:$G$2</c:f>
              <c:numCache>
                <c:formatCode>0.0%</c:formatCode>
                <c:ptCount val="6"/>
                <c:pt idx="0">
                  <c:v>0.17811036733257357</c:v>
                </c:pt>
                <c:pt idx="1">
                  <c:v>0.28238751117958838</c:v>
                </c:pt>
                <c:pt idx="2">
                  <c:v>0.44781821745890921</c:v>
                </c:pt>
                <c:pt idx="3">
                  <c:v>0.11647633318573516</c:v>
                </c:pt>
                <c:pt idx="4">
                  <c:v>0.17006089921602149</c:v>
                </c:pt>
                <c:pt idx="5">
                  <c:v>0.16611119766606247</c:v>
                </c:pt>
              </c:numCache>
            </c:numRef>
          </c:val>
        </c:ser>
        <c:ser>
          <c:idx val="0"/>
          <c:order val="1"/>
          <c:tx>
            <c:strRef>
              <c:f>Sheet1!$A$3</c:f>
              <c:strCache>
                <c:ptCount val="1"/>
                <c:pt idx="0">
                  <c:v>Covered</c:v>
                </c:pt>
              </c:strCache>
            </c:strRef>
          </c:tx>
          <c:spPr>
            <a:noFill/>
            <a:ln>
              <a:solidFill>
                <a:srgbClr val="008080"/>
              </a:solidFill>
            </a:ln>
          </c:spPr>
          <c:invertIfNegative val="0"/>
          <c:dPt>
            <c:idx val="4"/>
            <c:invertIfNegative val="0"/>
            <c:bubble3D val="0"/>
            <c:spPr>
              <a:noFill/>
              <a:ln>
                <a:solidFill>
                  <a:srgbClr val="FF7415"/>
                </a:solidFill>
              </a:ln>
            </c:spPr>
          </c:dPt>
          <c:dPt>
            <c:idx val="5"/>
            <c:invertIfNegative val="0"/>
            <c:bubble3D val="0"/>
            <c:spPr>
              <a:noFill/>
              <a:ln>
                <a:solidFill>
                  <a:srgbClr val="FF7415"/>
                </a:solidFill>
              </a:ln>
            </c:spPr>
          </c:dPt>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Sheet1!$B$3:$G$3</c:f>
              <c:numCache>
                <c:formatCode>0.0%</c:formatCode>
                <c:ptCount val="6"/>
                <c:pt idx="0">
                  <c:v>0.25253582184141793</c:v>
                </c:pt>
                <c:pt idx="1">
                  <c:v>2.7051832728202885E-2</c:v>
                </c:pt>
                <c:pt idx="2">
                  <c:v>5.8841154678389296E-2</c:v>
                </c:pt>
                <c:pt idx="3">
                  <c:v>4.9955059591603262E-2</c:v>
                </c:pt>
                <c:pt idx="4">
                  <c:v>0.13128644575818668</c:v>
                </c:pt>
                <c:pt idx="5">
                  <c:v>0.12663054894035453</c:v>
                </c:pt>
              </c:numCache>
            </c:numRef>
          </c:val>
        </c:ser>
        <c:ser>
          <c:idx val="2"/>
          <c:order val="2"/>
          <c:tx>
            <c:strRef>
              <c:f>Sheet1!$A$4</c:f>
              <c:strCache>
                <c:ptCount val="1"/>
                <c:pt idx="0">
                  <c:v>NPEs</c:v>
                </c:pt>
              </c:strCache>
            </c:strRef>
          </c:tx>
          <c:spPr>
            <a:noFill/>
          </c:spPr>
          <c:invertIfNegative val="0"/>
          <c:dLbls>
            <c:dLbl>
              <c:idx val="1"/>
              <c:numFmt formatCode="0%" sourceLinked="0"/>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dLbl>
              <c:idx val="4"/>
              <c:tx>
                <c:rich>
                  <a:bodyPr/>
                  <a:lstStyle/>
                  <a:p>
                    <a:pPr>
                      <a:defRPr lang="el-GR" sz="600" b="1">
                        <a:latin typeface="Segoe UI" pitchFamily="34" charset="0"/>
                        <a:ea typeface="Segoe UI" pitchFamily="34" charset="0"/>
                        <a:cs typeface="Segoe UI" pitchFamily="34" charset="0"/>
                      </a:defRPr>
                    </a:pPr>
                    <a:r>
                      <a:rPr lang="en-US"/>
                      <a:t>30,1%</a:t>
                    </a:r>
                  </a:p>
                </c:rich>
              </c:tx>
              <c:numFmt formatCode="0.0%" sourceLinked="0"/>
              <c:spPr/>
              <c:dLblPos val="inBase"/>
              <c:showLegendKey val="0"/>
              <c:showVal val="1"/>
              <c:showCatName val="0"/>
              <c:showSerName val="0"/>
              <c:showPercent val="0"/>
              <c:showBubbleSize val="0"/>
              <c:extLst>
                <c:ext xmlns:c15="http://schemas.microsoft.com/office/drawing/2012/chart" uri="{CE6537A1-D6FC-4f65-9D91-7224C49458BB}"/>
              </c:extLst>
            </c:dLbl>
            <c:dLbl>
              <c:idx val="5"/>
              <c:tx>
                <c:rich>
                  <a:bodyPr/>
                  <a:lstStyle/>
                  <a:p>
                    <a:pPr>
                      <a:defRPr lang="el-GR" sz="600" b="1">
                        <a:latin typeface="Segoe UI" pitchFamily="34" charset="0"/>
                        <a:ea typeface="Segoe UI" pitchFamily="34" charset="0"/>
                        <a:cs typeface="Segoe UI" pitchFamily="34" charset="0"/>
                      </a:defRPr>
                    </a:pPr>
                    <a:r>
                      <a:rPr lang="en-US"/>
                      <a:t>29,9%</a:t>
                    </a:r>
                  </a:p>
                </c:rich>
              </c:tx>
              <c:numFmt formatCode="0.0%" sourceLinked="0"/>
              <c:spPr>
                <a:noFill/>
                <a:ln>
                  <a:noFill/>
                </a:ln>
                <a:effectLst/>
              </c:spPr>
              <c:dLblPos val="inBase"/>
              <c:showLegendKey val="0"/>
              <c:showVal val="1"/>
              <c:showCatName val="0"/>
              <c:showSerName val="0"/>
              <c:showPercent val="0"/>
              <c:showBubbleSize val="0"/>
              <c:extLst>
                <c:ext xmlns:c15="http://schemas.microsoft.com/office/drawing/2012/chart" uri="{CE6537A1-D6FC-4f65-9D91-7224C49458BB}"/>
              </c:extLst>
            </c:dLbl>
            <c:dLbl>
              <c:idx val="6"/>
              <c:numFmt formatCode="0%" sourceLinked="0"/>
              <c:spPr>
                <a:noFill/>
                <a:ln>
                  <a:noFill/>
                </a:ln>
                <a:effectLst/>
              </c:spPr>
              <c:txPr>
                <a:bodyPr/>
                <a:lstStyle/>
                <a:p>
                  <a:pPr>
                    <a:defRPr lang="el-GR" sz="600" b="1">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numFmt formatCode="0%" sourceLinked="0"/>
            <c:spPr>
              <a:noFill/>
              <a:ln>
                <a:noFill/>
              </a:ln>
              <a:effectLst/>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Sheet1!$B$4:$G$4</c:f>
              <c:numCache>
                <c:formatCode>0.0%</c:formatCode>
                <c:ptCount val="6"/>
                <c:pt idx="0">
                  <c:v>0.4306461891739915</c:v>
                </c:pt>
                <c:pt idx="1">
                  <c:v>0.30943934390779126</c:v>
                </c:pt>
                <c:pt idx="2">
                  <c:v>0.5066593721372985</c:v>
                </c:pt>
                <c:pt idx="3">
                  <c:v>0.16643139277733843</c:v>
                </c:pt>
                <c:pt idx="4">
                  <c:v>0.30134734497420818</c:v>
                </c:pt>
                <c:pt idx="5">
                  <c:v>0.292741746606417</c:v>
                </c:pt>
              </c:numCache>
            </c:numRef>
          </c:val>
        </c:ser>
        <c:dLbls>
          <c:showLegendKey val="0"/>
          <c:showVal val="0"/>
          <c:showCatName val="0"/>
          <c:showSerName val="0"/>
          <c:showPercent val="0"/>
          <c:showBubbleSize val="0"/>
        </c:dLbls>
        <c:gapWidth val="500"/>
        <c:overlap val="100"/>
        <c:axId val="253951344"/>
        <c:axId val="253951904"/>
      </c:barChart>
      <c:catAx>
        <c:axId val="253951344"/>
        <c:scaling>
          <c:orientation val="minMax"/>
        </c:scaling>
        <c:delete val="0"/>
        <c:axPos val="b"/>
        <c:numFmt formatCode="General" sourceLinked="1"/>
        <c:majorTickMark val="none"/>
        <c:minorTickMark val="none"/>
        <c:tickLblPos val="nextTo"/>
        <c:spPr>
          <a:ln>
            <a:solidFill>
              <a:schemeClr val="bg1">
                <a:lumMod val="75000"/>
              </a:schemeClr>
            </a:solidFill>
          </a:ln>
        </c:spPr>
        <c:txPr>
          <a:bodyPr/>
          <a:lstStyle/>
          <a:p>
            <a:pPr>
              <a:defRPr lang="el-GR" sz="550"/>
            </a:pPr>
            <a:endParaRPr lang="el-GR"/>
          </a:p>
        </c:txPr>
        <c:crossAx val="253951904"/>
        <c:crosses val="autoZero"/>
        <c:auto val="1"/>
        <c:lblAlgn val="ctr"/>
        <c:lblOffset val="100"/>
        <c:noMultiLvlLbl val="0"/>
      </c:catAx>
      <c:valAx>
        <c:axId val="253951904"/>
        <c:scaling>
          <c:orientation val="minMax"/>
          <c:max val="0.8"/>
          <c:min val="0"/>
        </c:scaling>
        <c:delete val="1"/>
        <c:axPos val="l"/>
        <c:numFmt formatCode="0.0%" sourceLinked="1"/>
        <c:majorTickMark val="out"/>
        <c:minorTickMark val="none"/>
        <c:tickLblPos val="nextTo"/>
        <c:crossAx val="253951344"/>
        <c:crosses val="autoZero"/>
        <c:crossBetween val="between"/>
        <c:minorUnit val="4"/>
      </c:valAx>
      <c:spPr>
        <a:noFill/>
        <a:ln w="25400">
          <a:noFill/>
        </a:ln>
      </c:spPr>
    </c:plotArea>
    <c:plotVisOnly val="1"/>
    <c:dispBlanksAs val="gap"/>
    <c:showDLblsOverMax val="0"/>
  </c:chart>
  <c:spPr>
    <a:ln>
      <a:solidFill>
        <a:sysClr val="window" lastClr="FFFFFF">
          <a:lumMod val="75000"/>
        </a:sysClr>
      </a:solidFill>
    </a:ln>
  </c:spPr>
  <c:txPr>
    <a:bodyPr/>
    <a:lstStyle/>
    <a:p>
      <a:pPr>
        <a:defRPr sz="1797"/>
      </a:pPr>
      <a:endParaRPr lang="el-G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199230954097569E-2"/>
          <c:y val="3.9845955404248165E-2"/>
          <c:w val="0.97111309175754579"/>
          <c:h val="0.53172073859512092"/>
        </c:manualLayout>
      </c:layout>
      <c:barChart>
        <c:barDir val="col"/>
        <c:grouping val="stacked"/>
        <c:varyColors val="0"/>
        <c:ser>
          <c:idx val="0"/>
          <c:order val="0"/>
          <c:tx>
            <c:strRef>
              <c:f>Sheet1!$B$1</c:f>
              <c:strCache>
                <c:ptCount val="1"/>
                <c:pt idx="0">
                  <c:v>Series 1</c:v>
                </c:pt>
              </c:strCache>
            </c:strRef>
          </c:tx>
          <c:spPr>
            <a:noFill/>
            <a:ln>
              <a:noFill/>
            </a:ln>
            <a:effectLst/>
          </c:spPr>
          <c:invertIfNegative val="0"/>
          <c:cat>
            <c:strRef>
              <c:f>Sheet1!$A$2:$A$28</c:f>
              <c:strCache>
                <c:ptCount val="26"/>
                <c:pt idx="0">
                  <c:v>ΜΕΑ 2015</c:v>
                </c:pt>
                <c:pt idx="1">
                  <c:v>Οργανική μείωση ΜΕΑ</c:v>
                </c:pt>
                <c:pt idx="2">
                  <c:v>Λογιστικές διαγραφές</c:v>
                </c:pt>
                <c:pt idx="3">
                  <c:v>ΜΕΑ 2016</c:v>
                </c:pt>
                <c:pt idx="4">
                  <c:v>Οργανική μείωση ΜΕΑ</c:v>
                </c:pt>
                <c:pt idx="5">
                  <c:v>Λογιστικές διαγραφές</c:v>
                </c:pt>
                <c:pt idx="6">
                  <c:v>ΜΕΑ 2017</c:v>
                </c:pt>
                <c:pt idx="7">
                  <c:v>Οργανική μείωση ΜΕΑ</c:v>
                </c:pt>
                <c:pt idx="8">
                  <c:v>Πωλήσεις</c:v>
                </c:pt>
                <c:pt idx="9">
                  <c:v>Λογιστικές διαγραφές</c:v>
                </c:pt>
                <c:pt idx="10">
                  <c:v>ΜΕΑ 2018</c:v>
                </c:pt>
                <c:pt idx="11">
                  <c:v>Οργανική μείωση ΜΕΑ</c:v>
                </c:pt>
                <c:pt idx="12">
                  <c:v>Πωλήσεις</c:v>
                </c:pt>
                <c:pt idx="13">
                  <c:v>Λογιστικές διαγραφές</c:v>
                </c:pt>
                <c:pt idx="14">
                  <c:v>ΜΕΑ 2019 </c:v>
                </c:pt>
                <c:pt idx="15">
                  <c:v>Οργανική μείωση ΜΕΑ</c:v>
                </c:pt>
                <c:pt idx="16">
                  <c:v>Πωλήσεις</c:v>
                </c:pt>
                <c:pt idx="17">
                  <c:v>Λογιστικές διαγραφές</c:v>
                </c:pt>
                <c:pt idx="18">
                  <c:v>ΜΕΑ A' τρίμηνο 2020</c:v>
                </c:pt>
                <c:pt idx="19">
                  <c:v>Οργανική μείωση ΜΕΑ</c:v>
                </c:pt>
                <c:pt idx="20">
                  <c:v>Πωλήσεις</c:v>
                </c:pt>
                <c:pt idx="21">
                  <c:v>Λογιστικές διαγραφές</c:v>
                </c:pt>
                <c:pt idx="22">
                  <c:v>ΜΕΑ B' τρίμηνο 2020</c:v>
                </c:pt>
                <c:pt idx="23">
                  <c:v>Οργανική μείωση ΜΕΑ</c:v>
                </c:pt>
                <c:pt idx="24">
                  <c:v>Λογιστικές διαγραφές</c:v>
                </c:pt>
                <c:pt idx="25">
                  <c:v>ΜΕΑ Γ' τρίμηνο 2020</c:v>
                </c:pt>
              </c:strCache>
            </c:strRef>
          </c:cat>
          <c:val>
            <c:numRef>
              <c:f>Sheet1!$B$2:$B$28</c:f>
              <c:numCache>
                <c:formatCode>0.000</c:formatCode>
                <c:ptCount val="26"/>
                <c:pt idx="1">
                  <c:v>20.348000000000003</c:v>
                </c:pt>
                <c:pt idx="2">
                  <c:v>19.147000000000002</c:v>
                </c:pt>
                <c:pt idx="4">
                  <c:v>18.952999999999999</c:v>
                </c:pt>
                <c:pt idx="5">
                  <c:v>17.696999999999996</c:v>
                </c:pt>
                <c:pt idx="7">
                  <c:v>17.073999999999995</c:v>
                </c:pt>
                <c:pt idx="8">
                  <c:v>16.266999999999996</c:v>
                </c:pt>
                <c:pt idx="9" formatCode="0.00">
                  <c:v>15.554999999999994</c:v>
                </c:pt>
                <c:pt idx="11">
                  <c:v>14.151999999999994</c:v>
                </c:pt>
                <c:pt idx="12">
                  <c:v>11.075999999999993</c:v>
                </c:pt>
                <c:pt idx="13">
                  <c:v>10.809999999999993</c:v>
                </c:pt>
                <c:pt idx="15">
                  <c:v>10.693999999999994</c:v>
                </c:pt>
                <c:pt idx="16">
                  <c:v>10.647999999999994</c:v>
                </c:pt>
                <c:pt idx="17">
                  <c:v>10.636999999999995</c:v>
                </c:pt>
                <c:pt idx="19">
                  <c:v>10.350999999999996</c:v>
                </c:pt>
                <c:pt idx="20">
                  <c:v>10.339999999999996</c:v>
                </c:pt>
                <c:pt idx="21">
                  <c:v>10.289999999999996</c:v>
                </c:pt>
                <c:pt idx="23">
                  <c:v>10.132999999999996</c:v>
                </c:pt>
                <c:pt idx="24">
                  <c:v>10.116999999999996</c:v>
                </c:pt>
              </c:numCache>
            </c:numRef>
          </c:val>
        </c:ser>
        <c:ser>
          <c:idx val="1"/>
          <c:order val="1"/>
          <c:tx>
            <c:strRef>
              <c:f>Sheet1!$C$1</c:f>
              <c:strCache>
                <c:ptCount val="1"/>
                <c:pt idx="0">
                  <c:v>Series 2</c:v>
                </c:pt>
              </c:strCache>
            </c:strRef>
          </c:tx>
          <c:spPr>
            <a:noFill/>
            <a:ln>
              <a:solidFill>
                <a:srgbClr val="008080"/>
              </a:solidFill>
            </a:ln>
            <a:effectLst/>
          </c:spPr>
          <c:invertIfNegative val="0"/>
          <c:dPt>
            <c:idx val="0"/>
            <c:invertIfNegative val="0"/>
            <c:bubble3D val="0"/>
            <c:spPr>
              <a:solidFill>
                <a:srgbClr val="008080"/>
              </a:solidFill>
              <a:ln>
                <a:solidFill>
                  <a:srgbClr val="008080"/>
                </a:solidFill>
              </a:ln>
              <a:effectLst/>
            </c:spPr>
          </c:dPt>
          <c:dPt>
            <c:idx val="3"/>
            <c:invertIfNegative val="0"/>
            <c:bubble3D val="0"/>
            <c:spPr>
              <a:solidFill>
                <a:srgbClr val="008080"/>
              </a:solidFill>
              <a:ln>
                <a:solidFill>
                  <a:srgbClr val="008080"/>
                </a:solidFill>
              </a:ln>
              <a:effectLst/>
            </c:spPr>
          </c:dPt>
          <c:dPt>
            <c:idx val="6"/>
            <c:invertIfNegative val="0"/>
            <c:bubble3D val="0"/>
            <c:spPr>
              <a:solidFill>
                <a:srgbClr val="008080"/>
              </a:solidFill>
              <a:ln>
                <a:solidFill>
                  <a:srgbClr val="008080"/>
                </a:solidFill>
              </a:ln>
              <a:effectLst/>
            </c:spPr>
          </c:dPt>
          <c:dPt>
            <c:idx val="10"/>
            <c:invertIfNegative val="0"/>
            <c:bubble3D val="0"/>
            <c:spPr>
              <a:solidFill>
                <a:srgbClr val="008080"/>
              </a:solidFill>
              <a:ln>
                <a:solidFill>
                  <a:srgbClr val="008080"/>
                </a:solidFill>
              </a:ln>
              <a:effectLst/>
            </c:spPr>
          </c:dPt>
          <c:dPt>
            <c:idx val="14"/>
            <c:invertIfNegative val="0"/>
            <c:bubble3D val="0"/>
            <c:spPr>
              <a:solidFill>
                <a:srgbClr val="008080"/>
              </a:solidFill>
              <a:ln>
                <a:solidFill>
                  <a:srgbClr val="008080"/>
                </a:solidFill>
              </a:ln>
              <a:effectLst/>
            </c:spPr>
          </c:dPt>
          <c:dPt>
            <c:idx val="18"/>
            <c:invertIfNegative val="0"/>
            <c:bubble3D val="0"/>
            <c:spPr>
              <a:solidFill>
                <a:srgbClr val="008080"/>
              </a:solidFill>
              <a:ln>
                <a:solidFill>
                  <a:srgbClr val="008080"/>
                </a:solidFill>
              </a:ln>
              <a:effectLst/>
            </c:spPr>
          </c:dPt>
          <c:dPt>
            <c:idx val="19"/>
            <c:invertIfNegative val="0"/>
            <c:bubble3D val="0"/>
            <c:spPr>
              <a:solidFill>
                <a:srgbClr val="008080"/>
              </a:solidFill>
              <a:ln>
                <a:solidFill>
                  <a:srgbClr val="008080"/>
                </a:solidFill>
              </a:ln>
              <a:effectLst/>
            </c:spPr>
          </c:dPt>
          <c:dPt>
            <c:idx val="22"/>
            <c:invertIfNegative val="0"/>
            <c:bubble3D val="0"/>
            <c:spPr>
              <a:solidFill>
                <a:srgbClr val="008080"/>
              </a:solidFill>
              <a:ln>
                <a:noFill/>
              </a:ln>
              <a:effectLst/>
            </c:spPr>
          </c:dPt>
          <c:dPt>
            <c:idx val="25"/>
            <c:invertIfNegative val="0"/>
            <c:bubble3D val="0"/>
            <c:spPr>
              <a:solidFill>
                <a:srgbClr val="008080"/>
              </a:solidFill>
              <a:ln>
                <a:solidFill>
                  <a:srgbClr val="008080"/>
                </a:solidFill>
              </a:ln>
              <a:effectLst/>
            </c:spPr>
          </c:dPt>
          <c:dPt>
            <c:idx val="26"/>
            <c:invertIfNegative val="0"/>
            <c:bubble3D val="0"/>
            <c:spPr>
              <a:solidFill>
                <a:srgbClr val="FF7E10"/>
              </a:solidFill>
              <a:ln>
                <a:noFill/>
              </a:ln>
              <a:effectLst/>
            </c:spPr>
          </c:dPt>
          <c:dLbls>
            <c:dLbl>
              <c:idx val="0"/>
              <c:layout>
                <c:manualLayout>
                  <c:x val="2.4032684450853172E-3"/>
                  <c:y val="-0.27067669172932346"/>
                </c:manualLayout>
              </c:layout>
              <c:tx>
                <c:rich>
                  <a:bodyPr/>
                  <a:lstStyle/>
                  <a:p>
                    <a:r>
                      <a:rPr lang="en-US"/>
                      <a:t>22,0</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
              <c:layout>
                <c:manualLayout>
                  <c:x val="-1.1009802903834937E-17"/>
                  <c:y val="6.7845383753790706E-2"/>
                </c:manualLayout>
              </c:layout>
              <c:tx>
                <c:rich>
                  <a:bodyPr/>
                  <a:lstStyle/>
                  <a:p>
                    <a:r>
                      <a:rPr lang="en-US"/>
                      <a:t>-1,6</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
              <c:layout>
                <c:manualLayout>
                  <c:x val="-2.4021665650947417E-3"/>
                  <c:y val="6.0307007781147316E-2"/>
                </c:manualLayout>
              </c:layout>
              <c:tx>
                <c:rich>
                  <a:bodyPr/>
                  <a:lstStyle/>
                  <a:p>
                    <a:r>
                      <a:rPr lang="en-US"/>
                      <a:t>-1,2</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3"/>
              <c:layout>
                <c:manualLayout>
                  <c:x val="-2.4021665650947642E-3"/>
                  <c:y val="-0.24122803112458921"/>
                </c:manualLayout>
              </c:layout>
              <c:tx>
                <c:rich>
                  <a:bodyPr/>
                  <a:lstStyle/>
                  <a:p>
                    <a:r>
                      <a:rPr lang="en-US"/>
                      <a:t>19,2</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4"/>
              <c:layout>
                <c:manualLayout>
                  <c:x val="0"/>
                  <c:y val="4.5230255835860482E-2"/>
                </c:manualLayout>
              </c:layout>
              <c:tx>
                <c:rich>
                  <a:bodyPr/>
                  <a:lstStyle/>
                  <a:p>
                    <a:r>
                      <a:rPr lang="en-US"/>
                      <a:t>-0,2</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5"/>
              <c:layout>
                <c:manualLayout>
                  <c:x val="0"/>
                  <c:y val="4.5230255835860482E-2"/>
                </c:manualLayout>
              </c:layout>
              <c:tx>
                <c:rich>
                  <a:bodyPr/>
                  <a:lstStyle/>
                  <a:p>
                    <a:r>
                      <a:rPr lang="en-US"/>
                      <a:t>-1,3</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6"/>
              <c:layout>
                <c:manualLayout>
                  <c:x val="-2.4021665650947417E-3"/>
                  <c:y val="-0.22615127917930233"/>
                </c:manualLayout>
              </c:layout>
              <c:tx>
                <c:rich>
                  <a:bodyPr/>
                  <a:lstStyle/>
                  <a:p>
                    <a:r>
                      <a:rPr lang="en-US"/>
                      <a:t>17,7</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7"/>
              <c:layout>
                <c:manualLayout>
                  <c:x val="-4.4039211615339774E-17"/>
                  <c:y val="4.5230255835860482E-2"/>
                </c:manualLayout>
              </c:layout>
              <c:tx>
                <c:rich>
                  <a:bodyPr/>
                  <a:lstStyle/>
                  <a:p>
                    <a:r>
                      <a:rPr lang="en-US"/>
                      <a:t>-0,6</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8"/>
              <c:layout>
                <c:manualLayout>
                  <c:x val="4.4039211615339774E-17"/>
                  <c:y val="6.0307007781147316E-2"/>
                </c:manualLayout>
              </c:layout>
              <c:tx>
                <c:rich>
                  <a:bodyPr/>
                  <a:lstStyle/>
                  <a:p>
                    <a:r>
                      <a:rPr lang="en-US"/>
                      <a:t>-0,8</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9"/>
              <c:layout>
                <c:manualLayout>
                  <c:x val="0"/>
                  <c:y val="5.2768631808503934E-2"/>
                </c:manualLayout>
              </c:layout>
              <c:tx>
                <c:rich>
                  <a:bodyPr/>
                  <a:lstStyle/>
                  <a:p>
                    <a:r>
                      <a:rPr lang="en-US"/>
                      <a:t>-0,7</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0"/>
              <c:layout>
                <c:manualLayout>
                  <c:x val="0"/>
                  <c:y val="-0.2110745272340154"/>
                </c:manualLayout>
              </c:layout>
              <c:tx>
                <c:rich>
                  <a:bodyPr/>
                  <a:lstStyle/>
                  <a:p>
                    <a:r>
                      <a:rPr lang="en-US"/>
                      <a:t>15,6</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1"/>
              <c:layout>
                <c:manualLayout>
                  <c:x val="0"/>
                  <c:y val="5.2768631808503934E-2"/>
                </c:manualLayout>
              </c:layout>
              <c:tx>
                <c:rich>
                  <a:bodyPr/>
                  <a:lstStyle/>
                  <a:p>
                    <a:r>
                      <a:rPr lang="en-US"/>
                      <a:t>-1,4</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2"/>
              <c:layout>
                <c:manualLayout>
                  <c:x val="0"/>
                  <c:y val="6.7791968590283122E-2"/>
                </c:manualLayout>
              </c:layout>
              <c:tx>
                <c:rich>
                  <a:bodyPr/>
                  <a:lstStyle/>
                  <a:p>
                    <a:r>
                      <a:rPr lang="en-US"/>
                      <a:t>-3,1</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3"/>
              <c:layout>
                <c:manualLayout>
                  <c:x val="0"/>
                  <c:y val="4.5230255835860496E-2"/>
                </c:manualLayout>
              </c:layout>
              <c:tx>
                <c:rich>
                  <a:bodyPr/>
                  <a:lstStyle/>
                  <a:p>
                    <a:r>
                      <a:rPr lang="en-US"/>
                      <a:t>-0,3</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4"/>
              <c:layout>
                <c:manualLayout>
                  <c:x val="-1.9723865877712033E-3"/>
                  <c:y val="-0.17277000414624352"/>
                </c:manualLayout>
              </c:layout>
              <c:tx>
                <c:rich>
                  <a:bodyPr/>
                  <a:lstStyle/>
                  <a:p>
                    <a:r>
                      <a:rPr lang="en-US"/>
                      <a:t>10,8</a:t>
                    </a:r>
                  </a:p>
                </c:rich>
              </c:tx>
              <c:showLegendKey val="0"/>
              <c:showVal val="1"/>
              <c:showCatName val="0"/>
              <c:showSerName val="0"/>
              <c:showPercent val="0"/>
              <c:showBubbleSize val="0"/>
              <c:extLst>
                <c:ext xmlns:c15="http://schemas.microsoft.com/office/drawing/2012/chart" uri="{CE6537A1-D6FC-4f65-9D91-7224C49458BB}"/>
              </c:extLst>
            </c:dLbl>
            <c:dLbl>
              <c:idx val="15"/>
              <c:layout>
                <c:manualLayout>
                  <c:x val="0"/>
                  <c:y val="4.5230255835860482E-2"/>
                </c:manualLayout>
              </c:layout>
              <c:tx>
                <c:rich>
                  <a:bodyPr/>
                  <a:lstStyle/>
                  <a:p>
                    <a:r>
                      <a:rPr lang="en-US"/>
                      <a:t>-0,1</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6"/>
              <c:layout>
                <c:manualLayout>
                  <c:x val="8.8078423230679573E-17"/>
                  <c:y val="5.2768631808503934E-2"/>
                </c:manualLayout>
              </c:layout>
              <c:tx>
                <c:rich>
                  <a:bodyPr/>
                  <a:lstStyle/>
                  <a:p>
                    <a:r>
                      <a:rPr lang="en-US"/>
                      <a:t>-0,05</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7"/>
              <c:layout>
                <c:manualLayout>
                  <c:x val="0"/>
                  <c:y val="4.5230255835860482E-2"/>
                </c:manualLayout>
              </c:layout>
              <c:tx>
                <c:rich>
                  <a:bodyPr/>
                  <a:lstStyle/>
                  <a:p>
                    <a:r>
                      <a:rPr lang="en-US"/>
                      <a:t>-0,01</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18"/>
              <c:layout>
                <c:manualLayout>
                  <c:x val="0"/>
                  <c:y val="-0.18092102334344193"/>
                </c:manualLayout>
              </c:layout>
              <c:tx>
                <c:rich>
                  <a:bodyPr/>
                  <a:lstStyle/>
                  <a:p>
                    <a:pPr>
                      <a:defRPr lang="el-GR" sz="600" b="0"/>
                    </a:pPr>
                    <a:r>
                      <a:rPr lang="en-US" b="0"/>
                      <a:t>10,6</a:t>
                    </a:r>
                  </a:p>
                </c:rich>
              </c:tx>
              <c:numFmt formatCode="#,##0.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extLst>
            </c:dLbl>
            <c:dLbl>
              <c:idx val="19"/>
              <c:layout>
                <c:manualLayout>
                  <c:x val="0"/>
                  <c:y val="4.5230255835860496E-2"/>
                </c:manualLayout>
              </c:layout>
              <c:tx>
                <c:rich>
                  <a:bodyPr/>
                  <a:lstStyle/>
                  <a:p>
                    <a:r>
                      <a:rPr lang="en-US"/>
                      <a:t>-0,3</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0"/>
              <c:layout>
                <c:manualLayout>
                  <c:x val="0"/>
                  <c:y val="4.5230255835860482E-2"/>
                </c:manualLayout>
              </c:layout>
              <c:tx>
                <c:rich>
                  <a:bodyPr/>
                  <a:lstStyle/>
                  <a:p>
                    <a:r>
                      <a:rPr lang="en-US"/>
                      <a:t>-0,01</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1"/>
              <c:layout>
                <c:manualLayout>
                  <c:x val="0"/>
                  <c:y val="4.5230255835860482E-2"/>
                </c:manualLayout>
              </c:layout>
              <c:tx>
                <c:rich>
                  <a:bodyPr/>
                  <a:lstStyle/>
                  <a:p>
                    <a:r>
                      <a:rPr lang="en-US"/>
                      <a:t>-0,05</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2"/>
              <c:layout>
                <c:manualLayout>
                  <c:x val="-8.5800905546765224E-4"/>
                  <c:y val="-0.16586683710759384"/>
                </c:manualLayout>
              </c:layout>
              <c:tx>
                <c:rich>
                  <a:bodyPr wrap="square" lIns="38100" tIns="19050" rIns="38100" bIns="19050" anchor="ctr">
                    <a:noAutofit/>
                  </a:bodyPr>
                  <a:lstStyle/>
                  <a:p>
                    <a:pPr>
                      <a:defRPr lang="el-GR" sz="600"/>
                    </a:pPr>
                    <a:r>
                      <a:rPr lang="en-US" b="0"/>
                      <a:t>10,3</a:t>
                    </a:r>
                  </a:p>
                </c:rich>
              </c:tx>
              <c:numFmt formatCode="#,##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15:layout>
                    <c:manualLayout>
                      <c:w val="4.5388259583858614E-2"/>
                      <c:h val="9.6655392709507709E-2"/>
                    </c:manualLayout>
                  </c15:layout>
                </c:ext>
              </c:extLst>
            </c:dLbl>
            <c:dLbl>
              <c:idx val="23"/>
              <c:layout>
                <c:manualLayout>
                  <c:x val="0"/>
                  <c:y val="4.5230255835860482E-2"/>
                </c:manualLayout>
              </c:layout>
              <c:tx>
                <c:rich>
                  <a:bodyPr/>
                  <a:lstStyle/>
                  <a:p>
                    <a:r>
                      <a:rPr lang="en-US"/>
                      <a:t>-0,2</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4"/>
              <c:layout>
                <c:manualLayout>
                  <c:x val="0"/>
                  <c:y val="5.2768631808503934E-2"/>
                </c:manualLayout>
              </c:layout>
              <c:tx>
                <c:rich>
                  <a:bodyPr/>
                  <a:lstStyle/>
                  <a:p>
                    <a:r>
                      <a:rPr lang="en-US"/>
                      <a:t>-0,02</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5"/>
              <c:layout>
                <c:manualLayout>
                  <c:x val="4.2923755572281787E-4"/>
                  <c:y val="-0.15770105963361122"/>
                </c:manualLayout>
              </c:layout>
              <c:tx>
                <c:rich>
                  <a:bodyPr/>
                  <a:lstStyle/>
                  <a:p>
                    <a:pPr>
                      <a:defRPr lang="el-GR" sz="600" b="1"/>
                    </a:pPr>
                    <a:r>
                      <a:rPr lang="en-US" b="1"/>
                      <a:t>10,1</a:t>
                    </a:r>
                  </a:p>
                </c:rich>
              </c:tx>
              <c:numFmt formatCode="#,##0.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extLst>
            </c:dLbl>
            <c:dLbl>
              <c:idx val="26"/>
              <c:layout>
                <c:manualLayout>
                  <c:x val="0"/>
                  <c:y val="-0.15830589542551171"/>
                </c:manualLayout>
              </c:layout>
              <c:tx>
                <c:rich>
                  <a:bodyPr/>
                  <a:lstStyle/>
                  <a:p>
                    <a:pPr>
                      <a:defRPr lang="el-GR" sz="600" b="1"/>
                    </a:pPr>
                    <a:r>
                      <a:rPr lang="en-US"/>
                      <a:t>10,1</a:t>
                    </a:r>
                  </a:p>
                </c:rich>
              </c:tx>
              <c:numFmt formatCode="#,##0.00" sourceLinked="0"/>
              <c:spPr/>
              <c:showLegendKey val="0"/>
              <c:showVal val="1"/>
              <c:showCatName val="0"/>
              <c:showSerName val="0"/>
              <c:showPercent val="0"/>
              <c:showBubbleSize val="0"/>
              <c:separator>. </c:separator>
              <c:extLst>
                <c:ext xmlns:c15="http://schemas.microsoft.com/office/drawing/2012/chart" uri="{CE6537A1-D6FC-4f65-9D91-7224C49458BB}"/>
              </c:extLst>
            </c:dLbl>
            <c:numFmt formatCode="#,##0.00" sourceLinked="0"/>
            <c:spPr>
              <a:noFill/>
              <a:ln>
                <a:noFill/>
              </a:ln>
              <a:effectLst/>
            </c:spPr>
            <c:txPr>
              <a:bodyPr/>
              <a:lstStyle/>
              <a:p>
                <a:pPr>
                  <a:defRPr lang="el-GR" sz="600"/>
                </a:pPr>
                <a:endParaRPr lang="el-GR"/>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ext>
            </c:extLst>
          </c:dLbls>
          <c:cat>
            <c:strRef>
              <c:f>Sheet1!$A$2:$A$28</c:f>
              <c:strCache>
                <c:ptCount val="26"/>
                <c:pt idx="0">
                  <c:v>ΜΕΑ 2015</c:v>
                </c:pt>
                <c:pt idx="1">
                  <c:v>Οργανική μείωση ΜΕΑ</c:v>
                </c:pt>
                <c:pt idx="2">
                  <c:v>Λογιστικές διαγραφές</c:v>
                </c:pt>
                <c:pt idx="3">
                  <c:v>ΜΕΑ 2016</c:v>
                </c:pt>
                <c:pt idx="4">
                  <c:v>Οργανική μείωση ΜΕΑ</c:v>
                </c:pt>
                <c:pt idx="5">
                  <c:v>Λογιστικές διαγραφές</c:v>
                </c:pt>
                <c:pt idx="6">
                  <c:v>ΜΕΑ 2017</c:v>
                </c:pt>
                <c:pt idx="7">
                  <c:v>Οργανική μείωση ΜΕΑ</c:v>
                </c:pt>
                <c:pt idx="8">
                  <c:v>Πωλήσεις</c:v>
                </c:pt>
                <c:pt idx="9">
                  <c:v>Λογιστικές διαγραφές</c:v>
                </c:pt>
                <c:pt idx="10">
                  <c:v>ΜΕΑ 2018</c:v>
                </c:pt>
                <c:pt idx="11">
                  <c:v>Οργανική μείωση ΜΕΑ</c:v>
                </c:pt>
                <c:pt idx="12">
                  <c:v>Πωλήσεις</c:v>
                </c:pt>
                <c:pt idx="13">
                  <c:v>Λογιστικές διαγραφές</c:v>
                </c:pt>
                <c:pt idx="14">
                  <c:v>ΜΕΑ 2019 </c:v>
                </c:pt>
                <c:pt idx="15">
                  <c:v>Οργανική μείωση ΜΕΑ</c:v>
                </c:pt>
                <c:pt idx="16">
                  <c:v>Πωλήσεις</c:v>
                </c:pt>
                <c:pt idx="17">
                  <c:v>Λογιστικές διαγραφές</c:v>
                </c:pt>
                <c:pt idx="18">
                  <c:v>ΜΕΑ A' τρίμηνο 2020</c:v>
                </c:pt>
                <c:pt idx="19">
                  <c:v>Οργανική μείωση ΜΕΑ</c:v>
                </c:pt>
                <c:pt idx="20">
                  <c:v>Πωλήσεις</c:v>
                </c:pt>
                <c:pt idx="21">
                  <c:v>Λογιστικές διαγραφές</c:v>
                </c:pt>
                <c:pt idx="22">
                  <c:v>ΜΕΑ B' τρίμηνο 2020</c:v>
                </c:pt>
                <c:pt idx="23">
                  <c:v>Οργανική μείωση ΜΕΑ</c:v>
                </c:pt>
                <c:pt idx="24">
                  <c:v>Λογιστικές διαγραφές</c:v>
                </c:pt>
                <c:pt idx="25">
                  <c:v>ΜΕΑ Γ' τρίμηνο 2020</c:v>
                </c:pt>
              </c:strCache>
            </c:strRef>
          </c:cat>
          <c:val>
            <c:numRef>
              <c:f>Sheet1!$C$2:$C$28</c:f>
              <c:numCache>
                <c:formatCode>0.000</c:formatCode>
                <c:ptCount val="26"/>
                <c:pt idx="0">
                  <c:v>21.981000000000002</c:v>
                </c:pt>
                <c:pt idx="1">
                  <c:v>1.633</c:v>
                </c:pt>
                <c:pt idx="2">
                  <c:v>1.2010000000000001</c:v>
                </c:pt>
                <c:pt idx="3">
                  <c:v>19.189</c:v>
                </c:pt>
                <c:pt idx="4">
                  <c:v>0.23600000000000002</c:v>
                </c:pt>
                <c:pt idx="5" formatCode="0.00">
                  <c:v>1.2560000000000029</c:v>
                </c:pt>
                <c:pt idx="6">
                  <c:v>17.696999999999996</c:v>
                </c:pt>
                <c:pt idx="7">
                  <c:v>0.623</c:v>
                </c:pt>
                <c:pt idx="8">
                  <c:v>0.80699999999999994</c:v>
                </c:pt>
                <c:pt idx="9">
                  <c:v>0.70699999999999996</c:v>
                </c:pt>
                <c:pt idx="10">
                  <c:v>15.554999999999994</c:v>
                </c:pt>
                <c:pt idx="11">
                  <c:v>1.403</c:v>
                </c:pt>
                <c:pt idx="12">
                  <c:v>3.0759999999999996</c:v>
                </c:pt>
                <c:pt idx="13">
                  <c:v>0.26700000000000002</c:v>
                </c:pt>
                <c:pt idx="14">
                  <c:v>10.809999999999993</c:v>
                </c:pt>
                <c:pt idx="15">
                  <c:v>0.11600000000000001</c:v>
                </c:pt>
                <c:pt idx="16">
                  <c:v>4.5999999999999999E-2</c:v>
                </c:pt>
                <c:pt idx="17">
                  <c:v>1.0999999999999999E-2</c:v>
                </c:pt>
                <c:pt idx="18">
                  <c:v>10.636999999999995</c:v>
                </c:pt>
                <c:pt idx="19">
                  <c:v>0.28599999999999998</c:v>
                </c:pt>
                <c:pt idx="20">
                  <c:v>1.0999999999999999E-2</c:v>
                </c:pt>
                <c:pt idx="21">
                  <c:v>0.05</c:v>
                </c:pt>
                <c:pt idx="22">
                  <c:v>10.289999999999996</c:v>
                </c:pt>
                <c:pt idx="23">
                  <c:v>0.157</c:v>
                </c:pt>
                <c:pt idx="24">
                  <c:v>1.6E-2</c:v>
                </c:pt>
                <c:pt idx="25">
                  <c:v>10.116999999999996</c:v>
                </c:pt>
              </c:numCache>
            </c:numRef>
          </c:val>
        </c:ser>
        <c:dLbls>
          <c:showLegendKey val="0"/>
          <c:showVal val="0"/>
          <c:showCatName val="0"/>
          <c:showSerName val="0"/>
          <c:showPercent val="0"/>
          <c:showBubbleSize val="0"/>
        </c:dLbls>
        <c:gapWidth val="150"/>
        <c:overlap val="100"/>
        <c:axId val="424132336"/>
        <c:axId val="424132896"/>
      </c:barChart>
      <c:catAx>
        <c:axId val="42413233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l-GR" sz="55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l-GR"/>
          </a:p>
        </c:txPr>
        <c:crossAx val="424132896"/>
        <c:crosses val="autoZero"/>
        <c:auto val="1"/>
        <c:lblAlgn val="ctr"/>
        <c:lblOffset val="100"/>
        <c:noMultiLvlLbl val="0"/>
      </c:catAx>
      <c:valAx>
        <c:axId val="424132896"/>
        <c:scaling>
          <c:orientation val="minMax"/>
          <c:min val="0"/>
        </c:scaling>
        <c:delete val="1"/>
        <c:axPos val="l"/>
        <c:numFmt formatCode="0.000" sourceLinked="1"/>
        <c:majorTickMark val="out"/>
        <c:minorTickMark val="none"/>
        <c:tickLblPos val="nextTo"/>
        <c:crossAx val="424132336"/>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 lastClr="FFFFFF">
          <a:lumMod val="75000"/>
        </a:sysClr>
      </a:solidFill>
      <a:round/>
    </a:ln>
    <a:effectLst/>
  </c:spPr>
  <c:txPr>
    <a:bodyPr/>
    <a:lstStyle/>
    <a:p>
      <a:pPr>
        <a:defRPr>
          <a:latin typeface="Segoe UI" panose="020B0502040204020203" pitchFamily="34" charset="0"/>
          <a:cs typeface="Segoe UI" panose="020B0502040204020203" pitchFamily="34" charset="0"/>
        </a:defRPr>
      </a:pPr>
      <a:endParaRPr lang="el-G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907583716983828E-2"/>
          <c:y val="0.19517682819291854"/>
          <c:w val="0.97558413319713799"/>
          <c:h val="0.59432780388617434"/>
        </c:manualLayout>
      </c:layout>
      <c:barChart>
        <c:barDir val="col"/>
        <c:grouping val="stacked"/>
        <c:varyColors val="0"/>
        <c:ser>
          <c:idx val="0"/>
          <c:order val="0"/>
          <c:tx>
            <c:strRef>
              <c:f>Sheet1!$B$1</c:f>
              <c:strCache>
                <c:ptCount val="1"/>
                <c:pt idx="0">
                  <c:v>Series 1</c:v>
                </c:pt>
              </c:strCache>
            </c:strRef>
          </c:tx>
          <c:spPr>
            <a:noFill/>
            <a:ln>
              <a:noFill/>
            </a:ln>
            <a:effectLst/>
          </c:spPr>
          <c:invertIfNegative val="0"/>
          <c:cat>
            <c:strRef>
              <c:f>Sheet1!$A$2:$A$8</c:f>
              <c:strCache>
                <c:ptCount val="7"/>
                <c:pt idx="0">
                  <c:v>Δείκτης CET1 Β' τριμήνου 2020</c:v>
                </c:pt>
                <c:pt idx="1">
                  <c:v>Αποτέλεσμα μετά φόρων Γ' τριμήνου 2020 </c:v>
                </c:pt>
                <c:pt idx="2">
                  <c:v>Αναβαλλόμενες φορολογικές απαιτήσεις                                   (DTA/DTC)</c:v>
                </c:pt>
                <c:pt idx="3">
                  <c:v>Λοιπά</c:v>
                </c:pt>
                <c:pt idx="4">
                  <c:v>Δείκτης CET1 Γ' τριμήνου 2020 </c:v>
                </c:pt>
                <c:pt idx="5">
                  <c:v>Συμφωνηθείσες πωλήσεις διεθνών θυγατρικών &amp; λοιπά</c:v>
                </c:pt>
                <c:pt idx="6">
                  <c:v>Δείκτης CET1  Γ' τριμήνου 2020 ενσωμ/ντας τις πωλήσεις διεθνών θυγατρικών &amp; λοιπά</c:v>
                </c:pt>
              </c:strCache>
            </c:strRef>
          </c:cat>
          <c:val>
            <c:numRef>
              <c:f>Sheet1!$B$2:$B$8</c:f>
              <c:numCache>
                <c:formatCode>0.00%</c:formatCode>
                <c:ptCount val="7"/>
                <c:pt idx="1">
                  <c:v>0.15909999999999999</c:v>
                </c:pt>
                <c:pt idx="2">
                  <c:v>0.16069999999999998</c:v>
                </c:pt>
                <c:pt idx="3">
                  <c:v>0.15899999999999997</c:v>
                </c:pt>
                <c:pt idx="5" formatCode="0.0%">
                  <c:v>0.15899999999999997</c:v>
                </c:pt>
              </c:numCache>
            </c:numRef>
          </c:val>
        </c:ser>
        <c:ser>
          <c:idx val="1"/>
          <c:order val="1"/>
          <c:tx>
            <c:strRef>
              <c:f>Sheet1!$C$1</c:f>
              <c:strCache>
                <c:ptCount val="1"/>
                <c:pt idx="0">
                  <c:v>Series 2</c:v>
                </c:pt>
              </c:strCache>
            </c:strRef>
          </c:tx>
          <c:spPr>
            <a:solidFill>
              <a:srgbClr val="008080"/>
            </a:solidFill>
            <a:ln>
              <a:solidFill>
                <a:srgbClr val="008080"/>
              </a:solidFill>
            </a:ln>
            <a:effectLst/>
          </c:spPr>
          <c:invertIfNegative val="0"/>
          <c:dPt>
            <c:idx val="1"/>
            <c:invertIfNegative val="0"/>
            <c:bubble3D val="0"/>
            <c:spPr>
              <a:noFill/>
              <a:ln>
                <a:solidFill>
                  <a:srgbClr val="008080"/>
                </a:solidFill>
              </a:ln>
              <a:effectLst/>
            </c:spPr>
          </c:dPt>
          <c:dPt>
            <c:idx val="2"/>
            <c:invertIfNegative val="0"/>
            <c:bubble3D val="0"/>
            <c:spPr>
              <a:noFill/>
              <a:ln>
                <a:solidFill>
                  <a:srgbClr val="FF0000"/>
                </a:solidFill>
              </a:ln>
              <a:effectLst/>
            </c:spPr>
          </c:dPt>
          <c:dPt>
            <c:idx val="3"/>
            <c:invertIfNegative val="0"/>
            <c:bubble3D val="0"/>
            <c:spPr>
              <a:noFill/>
              <a:ln>
                <a:solidFill>
                  <a:srgbClr val="FF0000"/>
                </a:solidFill>
              </a:ln>
              <a:effectLst/>
            </c:spPr>
          </c:dPt>
          <c:dPt>
            <c:idx val="4"/>
            <c:invertIfNegative val="0"/>
            <c:bubble3D val="0"/>
          </c:dPt>
          <c:dPt>
            <c:idx val="5"/>
            <c:invertIfNegative val="0"/>
            <c:bubble3D val="0"/>
          </c:dPt>
          <c:dPt>
            <c:idx val="6"/>
            <c:invertIfNegative val="0"/>
            <c:bubble3D val="0"/>
          </c:dPt>
          <c:dPt>
            <c:idx val="7"/>
            <c:invertIfNegative val="0"/>
            <c:bubble3D val="0"/>
            <c:spPr>
              <a:pattFill prst="dkDnDiag">
                <a:fgClr>
                  <a:srgbClr val="008080"/>
                </a:fgClr>
                <a:bgClr>
                  <a:sysClr val="window" lastClr="FFFFFF"/>
                </a:bgClr>
              </a:pattFill>
              <a:ln>
                <a:solidFill>
                  <a:srgbClr val="008080"/>
                </a:solidFill>
              </a:ln>
              <a:effectLst/>
            </c:spPr>
          </c:dPt>
          <c:dPt>
            <c:idx val="8"/>
            <c:invertIfNegative val="0"/>
            <c:bubble3D val="0"/>
            <c:spPr>
              <a:solidFill>
                <a:srgbClr val="FF7415"/>
              </a:solidFill>
              <a:ln>
                <a:solidFill>
                  <a:srgbClr val="FF7415"/>
                </a:solidFill>
              </a:ln>
              <a:effectLst/>
            </c:spPr>
          </c:dPt>
          <c:dPt>
            <c:idx val="9"/>
            <c:invertIfNegative val="0"/>
            <c:bubble3D val="0"/>
            <c:spPr>
              <a:solidFill>
                <a:srgbClr val="FF7415"/>
              </a:solidFill>
              <a:ln>
                <a:solidFill>
                  <a:srgbClr val="FF7415"/>
                </a:solidFill>
              </a:ln>
              <a:effectLst/>
            </c:spPr>
          </c:dPt>
          <c:dPt>
            <c:idx val="10"/>
            <c:invertIfNegative val="0"/>
            <c:bubble3D val="0"/>
            <c:spPr>
              <a:solidFill>
                <a:srgbClr val="FF7910"/>
              </a:solidFill>
              <a:ln>
                <a:solidFill>
                  <a:srgbClr val="FF7910"/>
                </a:solidFill>
              </a:ln>
              <a:effectLst/>
            </c:spPr>
          </c:dPt>
          <c:dLbls>
            <c:dLbl>
              <c:idx val="0"/>
              <c:layout>
                <c:manualLayout>
                  <c:x val="1.5461984777675986E-6"/>
                  <c:y val="-0.30564294087744959"/>
                </c:manualLayout>
              </c:layout>
              <c:tx>
                <c:rich>
                  <a:bodyPr/>
                  <a:lstStyle/>
                  <a:p>
                    <a:pPr>
                      <a:defRPr sz="600"/>
                    </a:pPr>
                    <a:r>
                      <a:rPr lang="en-US"/>
                      <a:t>15,9%</a:t>
                    </a:r>
                  </a:p>
                </c:rich>
              </c:tx>
              <c:numFmt formatCode="0.0%" sourceLinked="0"/>
              <c:spPr/>
              <c:showLegendKey val="0"/>
              <c:showVal val="1"/>
              <c:showCatName val="0"/>
              <c:showSerName val="0"/>
              <c:showPercent val="0"/>
              <c:showBubbleSize val="0"/>
              <c:extLst>
                <c:ext xmlns:c15="http://schemas.microsoft.com/office/drawing/2012/chart" uri="{CE6537A1-D6FC-4f65-9D91-7224C49458BB}"/>
              </c:extLst>
            </c:dLbl>
            <c:dLbl>
              <c:idx val="1"/>
              <c:layout>
                <c:manualLayout>
                  <c:x val="-1.9636720667648502E-3"/>
                  <c:y val="-3.2863849765258218E-2"/>
                </c:manualLayout>
              </c:layout>
              <c:tx>
                <c:rich>
                  <a:bodyPr/>
                  <a:lstStyle/>
                  <a:p>
                    <a:pPr>
                      <a:defRPr sz="600"/>
                    </a:pPr>
                    <a:r>
                      <a:rPr lang="en-US"/>
                      <a:t>+0,28%</a:t>
                    </a:r>
                  </a:p>
                </c:rich>
              </c:tx>
              <c:spPr/>
              <c:showLegendKey val="0"/>
              <c:showVal val="1"/>
              <c:showCatName val="0"/>
              <c:showSerName val="0"/>
              <c:showPercent val="0"/>
              <c:showBubbleSize val="0"/>
              <c:extLst>
                <c:ext xmlns:c15="http://schemas.microsoft.com/office/drawing/2012/chart" uri="{CE6537A1-D6FC-4f65-9D91-7224C49458BB}"/>
              </c:extLst>
            </c:dLbl>
            <c:dLbl>
              <c:idx val="2"/>
              <c:layout>
                <c:manualLayout>
                  <c:x val="-1.9636720667648502E-3"/>
                  <c:y val="3.2863849765258218E-2"/>
                </c:manualLayout>
              </c:layout>
              <c:tx>
                <c:rich>
                  <a:bodyPr/>
                  <a:lstStyle/>
                  <a:p>
                    <a:pPr>
                      <a:defRPr sz="600"/>
                    </a:pPr>
                    <a:r>
                      <a:rPr lang="en-US"/>
                      <a:t>-0,12%</a:t>
                    </a:r>
                  </a:p>
                </c:rich>
              </c:tx>
              <c:spPr/>
              <c:showLegendKey val="0"/>
              <c:showVal val="1"/>
              <c:showCatName val="0"/>
              <c:showSerName val="0"/>
              <c:showPercent val="0"/>
              <c:showBubbleSize val="0"/>
              <c:extLst>
                <c:ext xmlns:c15="http://schemas.microsoft.com/office/drawing/2012/chart" uri="{CE6537A1-D6FC-4f65-9D91-7224C49458BB}"/>
              </c:extLst>
            </c:dLbl>
            <c:dLbl>
              <c:idx val="3"/>
              <c:layout>
                <c:manualLayout>
                  <c:x val="-7.2000477359052681E-17"/>
                  <c:y val="4.8098928345419227E-2"/>
                </c:manualLayout>
              </c:layout>
              <c:tx>
                <c:rich>
                  <a:bodyPr/>
                  <a:lstStyle/>
                  <a:p>
                    <a:pPr>
                      <a:defRPr sz="600"/>
                    </a:pPr>
                    <a:r>
                      <a:rPr lang="en-US"/>
                      <a:t>-0,17%</a:t>
                    </a:r>
                  </a:p>
                </c:rich>
              </c:tx>
              <c:spPr/>
              <c:showLegendKey val="0"/>
              <c:showVal val="1"/>
              <c:showCatName val="0"/>
              <c:showSerName val="0"/>
              <c:showPercent val="0"/>
              <c:showBubbleSize val="0"/>
              <c:extLst>
                <c:ext xmlns:c15="http://schemas.microsoft.com/office/drawing/2012/chart" uri="{CE6537A1-D6FC-4f65-9D91-7224C49458BB}"/>
              </c:extLst>
            </c:dLbl>
            <c:dLbl>
              <c:idx val="4"/>
              <c:layout>
                <c:manualLayout>
                  <c:x val="-1.4400095471810536E-16"/>
                  <c:y val="-0.29931883020551286"/>
                </c:manualLayout>
              </c:layout>
              <c:numFmt formatCode="0.0%" sourceLinked="0"/>
              <c:spPr>
                <a:noFill/>
                <a:ln>
                  <a:noFill/>
                </a:ln>
                <a:effectLst/>
              </c:spPr>
              <c:txPr>
                <a:bodyPr wrap="square" lIns="38100" tIns="19050" rIns="38100" bIns="19050" anchor="ctr">
                  <a:spAutoFit/>
                </a:bodyPr>
                <a:lstStyle/>
                <a:p>
                  <a:pPr>
                    <a:defRPr sz="600" b="1"/>
                  </a:pPr>
                  <a:endParaRPr lang="el-GR"/>
                </a:p>
              </c:txPr>
              <c:showLegendKey val="0"/>
              <c:showVal val="1"/>
              <c:showCatName val="0"/>
              <c:showSerName val="0"/>
              <c:showPercent val="0"/>
              <c:showBubbleSize val="0"/>
              <c:extLst>
                <c:ext xmlns:c15="http://schemas.microsoft.com/office/drawing/2012/chart" uri="{CE6537A1-D6FC-4f65-9D91-7224C49458BB}"/>
              </c:extLst>
            </c:dLbl>
            <c:dLbl>
              <c:idx val="5"/>
              <c:layout>
                <c:manualLayout>
                  <c:x val="-7.2671328455149143E-5"/>
                  <c:y val="-4.2308051414521798E-2"/>
                </c:manualLayout>
              </c:layout>
              <c:tx>
                <c:rich>
                  <a:bodyPr/>
                  <a:lstStyle/>
                  <a:p>
                    <a:pPr>
                      <a:defRPr sz="600" b="0"/>
                    </a:pPr>
                    <a:r>
                      <a:rPr lang="en-US" b="0"/>
                      <a:t>+0,16%</a:t>
                    </a:r>
                  </a:p>
                </c:rich>
              </c:tx>
              <c:spPr/>
              <c:showLegendKey val="0"/>
              <c:showVal val="1"/>
              <c:showCatName val="0"/>
              <c:showSerName val="0"/>
              <c:showPercent val="0"/>
              <c:showBubbleSize val="0"/>
              <c:extLst>
                <c:ext xmlns:c15="http://schemas.microsoft.com/office/drawing/2012/chart" uri="{CE6537A1-D6FC-4f65-9D91-7224C49458BB}"/>
              </c:extLst>
            </c:dLbl>
            <c:dLbl>
              <c:idx val="6"/>
              <c:layout>
                <c:manualLayout>
                  <c:x val="2.0377349738499181E-3"/>
                  <c:y val="-0.30487566524540166"/>
                </c:manualLayout>
              </c:layout>
              <c:tx>
                <c:rich>
                  <a:bodyPr/>
                  <a:lstStyle/>
                  <a:p>
                    <a:pPr>
                      <a:defRPr sz="600" b="1"/>
                    </a:pPr>
                    <a:r>
                      <a:rPr lang="en-US" b="1"/>
                      <a:t>16,1%</a:t>
                    </a:r>
                  </a:p>
                </c:rich>
              </c:tx>
              <c:numFmt formatCode="0.0%" sourceLinked="0"/>
              <c:spPr/>
              <c:showLegendKey val="0"/>
              <c:showVal val="1"/>
              <c:showCatName val="0"/>
              <c:showSerName val="0"/>
              <c:showPercent val="0"/>
              <c:showBubbleSize val="0"/>
              <c:extLst>
                <c:ext xmlns:c15="http://schemas.microsoft.com/office/drawing/2012/chart" uri="{CE6537A1-D6FC-4f65-9D91-7224C49458BB}"/>
              </c:extLst>
            </c:dLbl>
            <c:dLbl>
              <c:idx val="7"/>
              <c:layout>
                <c:manualLayout>
                  <c:x val="0"/>
                  <c:y val="-0.26422758997113205"/>
                </c:manualLayout>
              </c:layout>
              <c:tx>
                <c:rich>
                  <a:bodyPr/>
                  <a:lstStyle/>
                  <a:p>
                    <a:pPr>
                      <a:defRPr sz="600" b="1"/>
                    </a:pPr>
                    <a:r>
                      <a:rPr lang="en-US"/>
                      <a:t>16,1%</a:t>
                    </a:r>
                  </a:p>
                </c:rich>
              </c:tx>
              <c:numFmt formatCode="0.0%" sourceLinked="0"/>
              <c:spPr/>
              <c:showLegendKey val="0"/>
              <c:showVal val="1"/>
              <c:showCatName val="0"/>
              <c:showSerName val="0"/>
              <c:showPercent val="0"/>
              <c:showBubbleSize val="0"/>
              <c:extLst>
                <c:ext xmlns:c15="http://schemas.microsoft.com/office/drawing/2012/chart" uri="{CE6537A1-D6FC-4f65-9D91-7224C49458BB}"/>
              </c:extLst>
            </c:dLbl>
            <c:dLbl>
              <c:idx val="8"/>
              <c:layout>
                <c:manualLayout>
                  <c:x val="-1.4400095471810536E-16"/>
                  <c:y val="-0.21193572147355094"/>
                </c:manualLayout>
              </c:layout>
              <c:tx>
                <c:rich>
                  <a:bodyPr/>
                  <a:lstStyle/>
                  <a:p>
                    <a:pPr>
                      <a:defRPr sz="600" b="1"/>
                    </a:pPr>
                    <a:r>
                      <a:rPr lang="en-US" b="1"/>
                      <a:t>11,5%</a:t>
                    </a:r>
                  </a:p>
                </c:rich>
              </c:tx>
              <c:numFmt formatCode="0.0%" sourceLinked="0"/>
              <c:spPr/>
              <c:showLegendKey val="0"/>
              <c:showVal val="1"/>
              <c:showCatName val="0"/>
              <c:showSerName val="0"/>
              <c:showPercent val="0"/>
              <c:showBubbleSize val="0"/>
              <c:extLst>
                <c:ext xmlns:c15="http://schemas.microsoft.com/office/drawing/2012/chart" uri="{CE6537A1-D6FC-4f65-9D91-7224C49458BB}"/>
              </c:extLst>
            </c:dLbl>
            <c:dLbl>
              <c:idx val="9"/>
              <c:layout>
                <c:manualLayout>
                  <c:x val="-1.4400095471810536E-16"/>
                  <c:y val="-0.18972332015810275"/>
                </c:manualLayout>
              </c:layout>
              <c:tx>
                <c:rich>
                  <a:bodyPr wrap="square" lIns="38100" tIns="19050" rIns="38100" bIns="19050" anchor="ctr">
                    <a:spAutoFit/>
                  </a:bodyPr>
                  <a:lstStyle/>
                  <a:p>
                    <a:pPr>
                      <a:defRPr sz="600" b="1"/>
                    </a:pPr>
                    <a:r>
                      <a:rPr lang="en-US" sz="600" b="1"/>
                      <a:t>11,5%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10"/>
              <c:layout>
                <c:manualLayout>
                  <c:x val="-1.9636720667648502E-3"/>
                  <c:y val="-0.23407384353635638"/>
                </c:manualLayout>
              </c:layout>
              <c:tx>
                <c:rich>
                  <a:bodyPr/>
                  <a:lstStyle/>
                  <a:p>
                    <a:pPr>
                      <a:defRPr sz="600"/>
                    </a:pPr>
                    <a:r>
                      <a:rPr lang="en-US"/>
                      <a:t>11,50%</a:t>
                    </a:r>
                  </a:p>
                </c:rich>
              </c:tx>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Sheet1!$A$2:$A$8</c:f>
              <c:strCache>
                <c:ptCount val="7"/>
                <c:pt idx="0">
                  <c:v>Δείκτης CET1 Β' τριμήνου 2020</c:v>
                </c:pt>
                <c:pt idx="1">
                  <c:v>Αποτέλεσμα μετά φόρων Γ' τριμήνου 2020 </c:v>
                </c:pt>
                <c:pt idx="2">
                  <c:v>Αναβαλλόμενες φορολογικές απαιτήσεις                                   (DTA/DTC)</c:v>
                </c:pt>
                <c:pt idx="3">
                  <c:v>Λοιπά</c:v>
                </c:pt>
                <c:pt idx="4">
                  <c:v>Δείκτης CET1 Γ' τριμήνου 2020 </c:v>
                </c:pt>
                <c:pt idx="5">
                  <c:v>Συμφωνηθείσες πωλήσεις διεθνών θυγατρικών &amp; λοιπά</c:v>
                </c:pt>
                <c:pt idx="6">
                  <c:v>Δείκτης CET1  Γ' τριμήνου 2020 ενσωμ/ντας τις πωλήσεις διεθνών θυγατρικών &amp; λοιπά</c:v>
                </c:pt>
              </c:strCache>
            </c:strRef>
          </c:cat>
          <c:val>
            <c:numRef>
              <c:f>Sheet1!$C$2:$C$8</c:f>
              <c:numCache>
                <c:formatCode>0.00%</c:formatCode>
                <c:ptCount val="7"/>
                <c:pt idx="0">
                  <c:v>0.15909999999999999</c:v>
                </c:pt>
                <c:pt idx="1">
                  <c:v>2.8E-3</c:v>
                </c:pt>
                <c:pt idx="2">
                  <c:v>1.1999999999999999E-3</c:v>
                </c:pt>
                <c:pt idx="3">
                  <c:v>1.6999999999999999E-3</c:v>
                </c:pt>
                <c:pt idx="4">
                  <c:v>0.15899999999999997</c:v>
                </c:pt>
                <c:pt idx="5">
                  <c:v>1.6000000000000001E-3</c:v>
                </c:pt>
                <c:pt idx="6" formatCode="0.0%">
                  <c:v>0.16059999999999997</c:v>
                </c:pt>
              </c:numCache>
            </c:numRef>
          </c:val>
        </c:ser>
        <c:dLbls>
          <c:showLegendKey val="0"/>
          <c:showVal val="0"/>
          <c:showCatName val="0"/>
          <c:showSerName val="0"/>
          <c:showPercent val="0"/>
          <c:showBubbleSize val="0"/>
        </c:dLbls>
        <c:gapWidth val="317"/>
        <c:overlap val="100"/>
        <c:axId val="424262864"/>
        <c:axId val="424263424"/>
      </c:barChart>
      <c:catAx>
        <c:axId val="42426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l-GR" sz="5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l-GR"/>
          </a:p>
        </c:txPr>
        <c:crossAx val="424263424"/>
        <c:crosses val="autoZero"/>
        <c:auto val="1"/>
        <c:lblAlgn val="ctr"/>
        <c:lblOffset val="100"/>
        <c:noMultiLvlLbl val="0"/>
      </c:catAx>
      <c:valAx>
        <c:axId val="424263424"/>
        <c:scaling>
          <c:orientation val="minMax"/>
        </c:scaling>
        <c:delete val="1"/>
        <c:axPos val="l"/>
        <c:numFmt formatCode="0.00%" sourceLinked="1"/>
        <c:majorTickMark val="out"/>
        <c:minorTickMark val="none"/>
        <c:tickLblPos val="nextTo"/>
        <c:crossAx val="424262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Segoe UI" panose="020B0502040204020203" pitchFamily="34" charset="0"/>
          <a:cs typeface="Segoe UI" panose="020B0502040204020203" pitchFamily="34" charset="0"/>
        </a:defRPr>
      </a:pPr>
      <a:endParaRPr lang="el-GR"/>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3829273440210294E-2"/>
          <c:y val="1.8661049468644303E-2"/>
          <c:w val="0.90161406359420004"/>
          <c:h val="0.86227112151521601"/>
        </c:manualLayout>
      </c:layout>
      <c:barChart>
        <c:barDir val="col"/>
        <c:grouping val="stacked"/>
        <c:varyColors val="0"/>
        <c:ser>
          <c:idx val="4"/>
          <c:order val="0"/>
          <c:tx>
            <c:strRef>
              <c:f>Sheet1!$A$2</c:f>
              <c:strCache>
                <c:ptCount val="1"/>
                <c:pt idx="0">
                  <c:v>ECB</c:v>
                </c:pt>
              </c:strCache>
            </c:strRef>
          </c:tx>
          <c:spPr>
            <a:solidFill>
              <a:srgbClr val="008080"/>
            </a:solidFill>
            <a:ln w="3175">
              <a:solidFill>
                <a:srgbClr val="008080"/>
              </a:solidFill>
              <a:prstDash val="solid"/>
            </a:ln>
          </c:spPr>
          <c:invertIfNegative val="1"/>
          <c:dPt>
            <c:idx val="0"/>
            <c:invertIfNegative val="1"/>
            <c:bubble3D val="0"/>
          </c:dPt>
          <c:dPt>
            <c:idx val="1"/>
            <c:invertIfNegative val="1"/>
            <c:bubble3D val="0"/>
          </c:dPt>
          <c:dPt>
            <c:idx val="2"/>
            <c:invertIfNegative val="1"/>
            <c:bubble3D val="0"/>
          </c:dPt>
          <c:dPt>
            <c:idx val="3"/>
            <c:invertIfNegative val="1"/>
            <c:bubble3D val="0"/>
          </c:dPt>
          <c:dPt>
            <c:idx val="4"/>
            <c:invertIfNegative val="1"/>
            <c:bubble3D val="0"/>
          </c:dPt>
          <c:dPt>
            <c:idx val="5"/>
            <c:invertIfNegative val="1"/>
            <c:bubble3D val="0"/>
          </c:dPt>
          <c:dPt>
            <c:idx val="6"/>
            <c:invertIfNegative val="1"/>
            <c:bubble3D val="0"/>
          </c:dPt>
          <c:dPt>
            <c:idx val="7"/>
            <c:invertIfNegative val="1"/>
            <c:bubble3D val="0"/>
          </c:dPt>
          <c:dPt>
            <c:idx val="8"/>
            <c:invertIfNegative val="1"/>
            <c:bubble3D val="0"/>
            <c:spPr>
              <a:solidFill>
                <a:srgbClr val="FF7415"/>
              </a:solidFill>
              <a:ln w="3175">
                <a:solidFill>
                  <a:srgbClr val="FF7415"/>
                </a:solidFill>
                <a:prstDash val="solid"/>
              </a:ln>
            </c:spPr>
          </c:dPt>
          <c:dLbls>
            <c:dLbl>
              <c:idx val="0"/>
              <c:tx>
                <c:rich>
                  <a:bodyPr/>
                  <a:lstStyle/>
                  <a:p>
                    <a:pPr>
                      <a:defRPr sz="600"/>
                    </a:pPr>
                    <a:r>
                      <a:rPr lang="en-US" sz="600"/>
                      <a:t>10,0</a:t>
                    </a:r>
                    <a:endParaRPr lang="en-US" sz="700"/>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extLst>
            </c:dLbl>
            <c:dLbl>
              <c:idx val="1"/>
              <c:tx>
                <c:rich>
                  <a:bodyPr/>
                  <a:lstStyle/>
                  <a:p>
                    <a:pPr>
                      <a:defRPr sz="600"/>
                    </a:pPr>
                    <a:r>
                      <a:rPr lang="en-US" sz="600"/>
                      <a:t>12,5</a:t>
                    </a:r>
                    <a:endParaRPr lang="en-US" sz="700"/>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extLst>
            </c:dLbl>
            <c:dLbl>
              <c:idx val="2"/>
              <c:tx>
                <c:rich>
                  <a:bodyPr/>
                  <a:lstStyle/>
                  <a:p>
                    <a:pPr>
                      <a:defRPr sz="600"/>
                    </a:pPr>
                    <a:r>
                      <a:rPr lang="en-US" sz="600"/>
                      <a:t>6,7</a:t>
                    </a:r>
                    <a:endParaRPr lang="en-US" sz="700"/>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600"/>
                </a:pPr>
                <a:endParaRPr lang="el-G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Sheet1!$B$1:$AS$1</c:f>
              <c:strCache>
                <c:ptCount val="9"/>
                <c:pt idx="0">
                  <c:v>B' τρίμηνο 2015</c:v>
                </c:pt>
                <c:pt idx="1">
                  <c:v>Δ' τρίμηνο 2015</c:v>
                </c:pt>
                <c:pt idx="2">
                  <c:v>Δ' τρίμηνο 2016</c:v>
                </c:pt>
                <c:pt idx="3">
                  <c:v>Δ' τρίμηνο 2017</c:v>
                </c:pt>
                <c:pt idx="4">
                  <c:v>Δ' τρίμηνο 2018</c:v>
                </c:pt>
                <c:pt idx="5">
                  <c:v>Δ' τρίμηνο 2019</c:v>
                </c:pt>
                <c:pt idx="6">
                  <c:v>Α' τρίμηνο 2020</c:v>
                </c:pt>
                <c:pt idx="7">
                  <c:v>Β' τρίμηνο 2020</c:v>
                </c:pt>
                <c:pt idx="8">
                  <c:v>Γ' τρίμηνο 2020</c:v>
                </c:pt>
              </c:strCache>
            </c:strRef>
          </c:cat>
          <c:val>
            <c:numRef>
              <c:f>Sheet1!$B$2:$AS$2</c:f>
              <c:numCache>
                <c:formatCode>0.0</c:formatCode>
                <c:ptCount val="9"/>
                <c:pt idx="0">
                  <c:v>10</c:v>
                </c:pt>
                <c:pt idx="1">
                  <c:v>12.529</c:v>
                </c:pt>
                <c:pt idx="2" formatCode="General">
                  <c:v>6.7</c:v>
                </c:pt>
                <c:pt idx="3" formatCode="General">
                  <c:v>2.75</c:v>
                </c:pt>
                <c:pt idx="4">
                  <c:v>2.2490000000000001</c:v>
                </c:pt>
                <c:pt idx="5">
                  <c:v>2.2490000000000001</c:v>
                </c:pt>
                <c:pt idx="6" formatCode="General">
                  <c:v>3.4</c:v>
                </c:pt>
                <c:pt idx="7" formatCode="General">
                  <c:v>10.5</c:v>
                </c:pt>
                <c:pt idx="8">
                  <c:v>10.5</c:v>
                </c:pt>
              </c:numCache>
            </c:numRef>
          </c:val>
          <c:extLst>
            <c:ext xmlns:c14="http://schemas.microsoft.com/office/drawing/2007/8/2/chart" uri="{6F2FDCE9-48DA-4B69-8628-5D25D57E5C99}">
              <c14:invertSolidFillFmt>
                <c14:spPr xmlns:c14="http://schemas.microsoft.com/office/drawing/2007/8/2/chart">
                  <a:solidFill>
                    <a:srgbClr val="FFFFFF"/>
                  </a:solidFill>
                  <a:ln w="3175">
                    <a:solidFill>
                      <a:srgbClr val="008080"/>
                    </a:solidFill>
                    <a:prstDash val="solid"/>
                  </a:ln>
                </c14:spPr>
              </c14:invertSolidFillFmt>
            </c:ext>
          </c:extLst>
        </c:ser>
        <c:ser>
          <c:idx val="0"/>
          <c:order val="1"/>
          <c:tx>
            <c:strRef>
              <c:f>Sheet1!$A$3</c:f>
              <c:strCache>
                <c:ptCount val="1"/>
                <c:pt idx="0">
                  <c:v>ELA</c:v>
                </c:pt>
              </c:strCache>
            </c:strRef>
          </c:tx>
          <c:spPr>
            <a:noFill/>
            <a:ln>
              <a:solidFill>
                <a:srgbClr val="008080"/>
              </a:solidFill>
            </a:ln>
          </c:spPr>
          <c:invertIfNegative val="0"/>
          <c:dLbls>
            <c:dLbl>
              <c:idx val="0"/>
              <c:tx>
                <c:rich>
                  <a:bodyPr/>
                  <a:lstStyle/>
                  <a:p>
                    <a:pPr>
                      <a:defRPr sz="600"/>
                    </a:pPr>
                    <a:r>
                      <a:rPr lang="en-US"/>
                      <a:t>17,6</a:t>
                    </a:r>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extLst>
            </c:dLbl>
            <c:dLbl>
              <c:idx val="1"/>
              <c:tx>
                <c:rich>
                  <a:bodyPr/>
                  <a:lstStyle/>
                  <a:p>
                    <a:pPr>
                      <a:defRPr sz="600"/>
                    </a:pPr>
                    <a:r>
                      <a:rPr lang="en-US"/>
                      <a:t>11,5</a:t>
                    </a:r>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extLst>
            </c:dLbl>
            <c:dLbl>
              <c:idx val="2"/>
              <c:tx>
                <c:rich>
                  <a:bodyPr/>
                  <a:lstStyle/>
                  <a:p>
                    <a:pPr>
                      <a:defRPr sz="600"/>
                    </a:pPr>
                    <a:r>
                      <a:rPr lang="en-US"/>
                      <a:t>5,6</a:t>
                    </a:r>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extLst>
            </c:dLbl>
            <c:spPr>
              <a:solidFill>
                <a:sysClr val="window" lastClr="FFFFFF"/>
              </a:solidFill>
            </c:spPr>
            <c:txPr>
              <a:bodyPr/>
              <a:lstStyle/>
              <a:p>
                <a:pPr>
                  <a:defRPr sz="600"/>
                </a:pPr>
                <a:endParaRPr lang="el-G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Sheet1!$B$1:$AS$1</c:f>
              <c:strCache>
                <c:ptCount val="9"/>
                <c:pt idx="0">
                  <c:v>B' τρίμηνο 2015</c:v>
                </c:pt>
                <c:pt idx="1">
                  <c:v>Δ' τρίμηνο 2015</c:v>
                </c:pt>
                <c:pt idx="2">
                  <c:v>Δ' τρίμηνο 2016</c:v>
                </c:pt>
                <c:pt idx="3">
                  <c:v>Δ' τρίμηνο 2017</c:v>
                </c:pt>
                <c:pt idx="4">
                  <c:v>Δ' τρίμηνο 2018</c:v>
                </c:pt>
                <c:pt idx="5">
                  <c:v>Δ' τρίμηνο 2019</c:v>
                </c:pt>
                <c:pt idx="6">
                  <c:v>Α' τρίμηνο 2020</c:v>
                </c:pt>
                <c:pt idx="7">
                  <c:v>Β' τρίμηνο 2020</c:v>
                </c:pt>
                <c:pt idx="8">
                  <c:v>Γ' τρίμηνο 2020</c:v>
                </c:pt>
              </c:strCache>
            </c:strRef>
          </c:cat>
          <c:val>
            <c:numRef>
              <c:f>Sheet1!$B$3:$AS$3</c:f>
              <c:numCache>
                <c:formatCode>0.0</c:formatCode>
                <c:ptCount val="9"/>
                <c:pt idx="0">
                  <c:v>17.600000000000001</c:v>
                </c:pt>
                <c:pt idx="1">
                  <c:v>11.5</c:v>
                </c:pt>
                <c:pt idx="2" formatCode="General">
                  <c:v>5.6</c:v>
                </c:pt>
                <c:pt idx="3" formatCode="General">
                  <c:v>0</c:v>
                </c:pt>
                <c:pt idx="4">
                  <c:v>0</c:v>
                </c:pt>
                <c:pt idx="5">
                  <c:v>0</c:v>
                </c:pt>
                <c:pt idx="6" formatCode="General">
                  <c:v>0</c:v>
                </c:pt>
                <c:pt idx="7" formatCode="General">
                  <c:v>0</c:v>
                </c:pt>
                <c:pt idx="8" formatCode="General">
                  <c:v>0</c:v>
                </c:pt>
              </c:numCache>
            </c:numRef>
          </c:val>
        </c:ser>
        <c:ser>
          <c:idx val="1"/>
          <c:order val="2"/>
          <c:tx>
            <c:strRef>
              <c:f>Sheet1!$A$4</c:f>
              <c:strCache>
                <c:ptCount val="1"/>
              </c:strCache>
            </c:strRef>
          </c:tx>
          <c:spPr>
            <a:noFill/>
            <a:ln>
              <a:noFill/>
            </a:ln>
          </c:spPr>
          <c:invertIfNegative val="0"/>
          <c:dLbls>
            <c:dLbl>
              <c:idx val="0"/>
              <c:tx>
                <c:rich>
                  <a:bodyPr/>
                  <a:lstStyle/>
                  <a:p>
                    <a:r>
                      <a:rPr lang="en-US"/>
                      <a:t>27,6</a:t>
                    </a:r>
                  </a:p>
                </c:rich>
              </c:tx>
              <c:dLblPos val="inBase"/>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24,0</a:t>
                    </a:r>
                  </a:p>
                </c:rich>
              </c:tx>
              <c:dLblPos val="inBase"/>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12,3</a:t>
                    </a:r>
                  </a:p>
                </c:rich>
              </c:tx>
              <c:dLblPos val="inBase"/>
              <c:showLegendKey val="0"/>
              <c:showVal val="1"/>
              <c:showCatName val="0"/>
              <c:showSerName val="0"/>
              <c:showPercent val="0"/>
              <c:showBubbleSize val="0"/>
              <c:extLst>
                <c:ext xmlns:c15="http://schemas.microsoft.com/office/drawing/2012/chart" uri="{CE6537A1-D6FC-4f65-9D91-7224C49458BB}"/>
              </c:extLst>
            </c:dLbl>
            <c:dLbl>
              <c:idx val="3"/>
              <c:layout>
                <c:manualLayout>
                  <c:x val="-1.5576687928845689E-7"/>
                  <c:y val="-6.8821263496077209E-3"/>
                </c:manualLayout>
              </c:layout>
              <c:tx>
                <c:rich>
                  <a:bodyPr/>
                  <a:lstStyle/>
                  <a:p>
                    <a:r>
                      <a:rPr lang="en-US"/>
                      <a:t>2,8</a:t>
                    </a:r>
                  </a:p>
                </c:rich>
              </c:tx>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7.2534605529372064E-17"/>
                  <c:y val="-1.4065558387042945E-2"/>
                </c:manualLayout>
              </c:layout>
              <c:tx>
                <c:rich>
                  <a:bodyPr/>
                  <a:lstStyle/>
                  <a:p>
                    <a:r>
                      <a:rPr lang="en-US"/>
                      <a:t>2,2</a:t>
                    </a:r>
                  </a:p>
                </c:rich>
              </c:tx>
              <c:dLblPos val="ctr"/>
              <c:showLegendKey val="0"/>
              <c:showVal val="1"/>
              <c:showCatName val="0"/>
              <c:showSerName val="0"/>
              <c:showPercent val="0"/>
              <c:showBubbleSize val="0"/>
              <c:extLst>
                <c:ext xmlns:c15="http://schemas.microsoft.com/office/drawing/2012/chart" uri="{CE6537A1-D6FC-4f65-9D91-7224C49458BB}"/>
              </c:extLst>
            </c:dLbl>
            <c:dLbl>
              <c:idx val="5"/>
              <c:layout>
                <c:manualLayout>
                  <c:x val="0"/>
                  <c:y val="-1.4065558387043049E-2"/>
                </c:manualLayout>
              </c:layout>
              <c:tx>
                <c:rich>
                  <a:bodyPr/>
                  <a:lstStyle/>
                  <a:p>
                    <a:r>
                      <a:rPr lang="en-US"/>
                      <a:t>2,2</a:t>
                    </a:r>
                  </a:p>
                </c:rich>
              </c:tx>
              <c:dLblPos val="ctr"/>
              <c:showLegendKey val="0"/>
              <c:showVal val="1"/>
              <c:showCatName val="0"/>
              <c:showSerName val="0"/>
              <c:showPercent val="0"/>
              <c:showBubbleSize val="0"/>
              <c:extLst>
                <c:ext xmlns:c15="http://schemas.microsoft.com/office/drawing/2012/chart" uri="{CE6537A1-D6FC-4f65-9D91-7224C49458BB}"/>
              </c:extLst>
            </c:dLbl>
            <c:dLbl>
              <c:idx val="6"/>
              <c:layout>
                <c:manualLayout>
                  <c:x val="0"/>
                  <c:y val="2.493718694204723E-3"/>
                </c:manualLayout>
              </c:layout>
              <c:dLblPos val="ctr"/>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a:t>10,5</a:t>
                    </a:r>
                  </a:p>
                </c:rich>
              </c:tx>
              <c:dLblPos val="inBase"/>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a:t>10,5</a:t>
                    </a:r>
                  </a:p>
                </c:rich>
              </c:tx>
              <c:dLblPos val="inBase"/>
              <c:showLegendKey val="0"/>
              <c:showVal val="1"/>
              <c:showCatName val="0"/>
              <c:showSerName val="0"/>
              <c:showPercent val="0"/>
              <c:showBubbleSize val="0"/>
              <c:extLst>
                <c:ext xmlns:c15="http://schemas.microsoft.com/office/drawing/2012/chart" uri="{CE6537A1-D6FC-4f65-9D91-7224C49458BB}"/>
              </c:extLst>
            </c:dLbl>
            <c:dLbl>
              <c:idx val="12"/>
              <c:layout>
                <c:manualLayout>
                  <c:x val="-1.9206430101420039E-3"/>
                  <c:y val="-8.5256710476247968E-3"/>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3"/>
              <c:layout>
                <c:manualLayout>
                  <c:x val="2.8560261477063743E-3"/>
                  <c:y val="-2.0510411808670847E-3"/>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4"/>
              <c:layout>
                <c:manualLayout>
                  <c:x val="-1.0471974901776102E-16"/>
                  <c:y val="6.406174077902717E-3"/>
                </c:manualLayout>
              </c:layout>
              <c:dLblPos val="ctr"/>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a:lstStyle/>
              <a:p>
                <a:pPr>
                  <a:defRPr lang="el-GR" sz="700"/>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Sheet1!$B$1:$AS$1</c:f>
              <c:strCache>
                <c:ptCount val="9"/>
                <c:pt idx="0">
                  <c:v>B' τρίμηνο 2015</c:v>
                </c:pt>
                <c:pt idx="1">
                  <c:v>Δ' τρίμηνο 2015</c:v>
                </c:pt>
                <c:pt idx="2">
                  <c:v>Δ' τρίμηνο 2016</c:v>
                </c:pt>
                <c:pt idx="3">
                  <c:v>Δ' τρίμηνο 2017</c:v>
                </c:pt>
                <c:pt idx="4">
                  <c:v>Δ' τρίμηνο 2018</c:v>
                </c:pt>
                <c:pt idx="5">
                  <c:v>Δ' τρίμηνο 2019</c:v>
                </c:pt>
                <c:pt idx="6">
                  <c:v>Α' τρίμηνο 2020</c:v>
                </c:pt>
                <c:pt idx="7">
                  <c:v>Β' τρίμηνο 2020</c:v>
                </c:pt>
                <c:pt idx="8">
                  <c:v>Γ' τρίμηνο 2020</c:v>
                </c:pt>
              </c:strCache>
            </c:strRef>
          </c:cat>
          <c:val>
            <c:numRef>
              <c:f>Sheet1!$B$4:$AS$4</c:f>
              <c:numCache>
                <c:formatCode>0.0</c:formatCode>
                <c:ptCount val="9"/>
                <c:pt idx="0">
                  <c:v>27.6</c:v>
                </c:pt>
                <c:pt idx="1">
                  <c:v>24.029</c:v>
                </c:pt>
                <c:pt idx="2" formatCode="General">
                  <c:v>12.3</c:v>
                </c:pt>
                <c:pt idx="3" formatCode="General">
                  <c:v>2.75</c:v>
                </c:pt>
                <c:pt idx="4">
                  <c:v>2.2490000000000001</c:v>
                </c:pt>
                <c:pt idx="5">
                  <c:v>2.2490000000000001</c:v>
                </c:pt>
                <c:pt idx="6" formatCode="General">
                  <c:v>3.4</c:v>
                </c:pt>
                <c:pt idx="7" formatCode="General">
                  <c:v>10.5</c:v>
                </c:pt>
                <c:pt idx="8">
                  <c:v>10.5</c:v>
                </c:pt>
              </c:numCache>
            </c:numRef>
          </c:val>
        </c:ser>
        <c:dLbls>
          <c:showLegendKey val="0"/>
          <c:showVal val="0"/>
          <c:showCatName val="0"/>
          <c:showSerName val="0"/>
          <c:showPercent val="0"/>
          <c:showBubbleSize val="0"/>
        </c:dLbls>
        <c:gapWidth val="500"/>
        <c:overlap val="100"/>
        <c:axId val="425038272"/>
        <c:axId val="425038832"/>
      </c:barChart>
      <c:catAx>
        <c:axId val="425038272"/>
        <c:scaling>
          <c:orientation val="minMax"/>
        </c:scaling>
        <c:delete val="0"/>
        <c:axPos val="b"/>
        <c:numFmt formatCode="General" sourceLinked="1"/>
        <c:majorTickMark val="none"/>
        <c:minorTickMark val="none"/>
        <c:tickLblPos val="nextTo"/>
        <c:spPr>
          <a:ln w="9526">
            <a:solidFill>
              <a:schemeClr val="bg1">
                <a:lumMod val="75000"/>
              </a:schemeClr>
            </a:solidFill>
          </a:ln>
        </c:spPr>
        <c:txPr>
          <a:bodyPr rot="0" vert="horz"/>
          <a:lstStyle/>
          <a:p>
            <a:pPr>
              <a:defRPr lang="el-GR" sz="600"/>
            </a:pPr>
            <a:endParaRPr lang="el-GR"/>
          </a:p>
        </c:txPr>
        <c:crossAx val="425038832"/>
        <c:crosses val="autoZero"/>
        <c:auto val="1"/>
        <c:lblAlgn val="ctr"/>
        <c:lblOffset val="100"/>
        <c:noMultiLvlLbl val="0"/>
      </c:catAx>
      <c:valAx>
        <c:axId val="425038832"/>
        <c:scaling>
          <c:orientation val="minMax"/>
          <c:max val="30"/>
          <c:min val="0"/>
        </c:scaling>
        <c:delete val="1"/>
        <c:axPos val="l"/>
        <c:numFmt formatCode="0.0" sourceLinked="1"/>
        <c:majorTickMark val="out"/>
        <c:minorTickMark val="none"/>
        <c:tickLblPos val="nextTo"/>
        <c:crossAx val="425038272"/>
        <c:crosses val="autoZero"/>
        <c:crossBetween val="between"/>
      </c:valAx>
      <c:spPr>
        <a:noFill/>
        <a:ln w="25361">
          <a:noFill/>
        </a:ln>
      </c:spPr>
    </c:plotArea>
    <c:plotVisOnly val="1"/>
    <c:dispBlanksAs val="zero"/>
    <c:showDLblsOverMax val="0"/>
  </c:chart>
  <c:spPr>
    <a:noFill/>
    <a:ln>
      <a:solidFill>
        <a:sysClr val="window" lastClr="FFFFFF">
          <a:lumMod val="75000"/>
        </a:sysClr>
      </a:solidFill>
    </a:ln>
  </c:spPr>
  <c:txPr>
    <a:bodyPr/>
    <a:lstStyle/>
    <a:p>
      <a:pPr>
        <a:defRPr sz="801" b="0" i="0" u="none" strike="noStrike" baseline="0">
          <a:solidFill>
            <a:schemeClr val="tx1"/>
          </a:solidFill>
          <a:latin typeface="Segoe UI" panose="020B0502040204020203" pitchFamily="34" charset="0"/>
          <a:ea typeface="Calibri"/>
          <a:cs typeface="Segoe UI" panose="020B0502040204020203" pitchFamily="34" charset="0"/>
        </a:defRPr>
      </a:pPr>
      <a:endParaRPr lang="el-G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157861875195121E-2"/>
          <c:y val="9.3851132686084193E-2"/>
          <c:w val="0.95407214066754287"/>
          <c:h val="0.69410950341825828"/>
        </c:manualLayout>
      </c:layout>
      <c:barChart>
        <c:barDir val="col"/>
        <c:grouping val="stacked"/>
        <c:varyColors val="0"/>
        <c:ser>
          <c:idx val="0"/>
          <c:order val="0"/>
          <c:tx>
            <c:strRef>
              <c:f>Sheet1!$A$3</c:f>
              <c:strCache>
                <c:ptCount val="1"/>
                <c:pt idx="0">
                  <c:v>Depos</c:v>
                </c:pt>
              </c:strCache>
            </c:strRef>
          </c:tx>
          <c:invertIfNegative val="0"/>
          <c:dLbls>
            <c:spPr>
              <a:noFill/>
              <a:ln>
                <a:noFill/>
              </a:ln>
              <a:effectLst/>
            </c:spPr>
            <c:txPr>
              <a:bodyPr/>
              <a:lstStyle/>
              <a:p>
                <a:pPr>
                  <a:defRPr sz="799">
                    <a:solidFill>
                      <a:schemeClr val="bg1"/>
                    </a:solidFill>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Sheet1!$B$2:$AE$2</c:f>
              <c:strCache>
                <c:ptCount val="10"/>
                <c:pt idx="0">
                  <c:v>Δ' τρίμηνο                      2014</c:v>
                </c:pt>
                <c:pt idx="1">
                  <c:v>Α' τρίμηνο                      2015</c:v>
                </c:pt>
                <c:pt idx="2">
                  <c:v>Β' τρίμηνο                      2015</c:v>
                </c:pt>
                <c:pt idx="4">
                  <c:v>Β' εξάμηνο                       2015</c:v>
                </c:pt>
                <c:pt idx="5">
                  <c:v>2016</c:v>
                </c:pt>
                <c:pt idx="6">
                  <c:v>2017</c:v>
                </c:pt>
                <c:pt idx="7">
                  <c:v>2018</c:v>
                </c:pt>
                <c:pt idx="8">
                  <c:v>2019</c:v>
                </c:pt>
                <c:pt idx="9">
                  <c:v>Εννεάμηνο 2020</c:v>
                </c:pt>
              </c:strCache>
            </c:strRef>
          </c:cat>
          <c:val>
            <c:numRef>
              <c:f>Sheet1!$B$3:$W$3</c:f>
            </c:numRef>
          </c:val>
        </c:ser>
        <c:ser>
          <c:idx val="1"/>
          <c:order val="1"/>
          <c:tx>
            <c:strRef>
              <c:f>Sheet1!$A$4</c:f>
              <c:strCache>
                <c:ptCount val="1"/>
                <c:pt idx="0">
                  <c:v>Sight</c:v>
                </c:pt>
              </c:strCache>
            </c:strRef>
          </c:tx>
          <c:invertIfNegative val="0"/>
          <c:dLbls>
            <c:spPr>
              <a:noFill/>
              <a:ln>
                <a:noFill/>
              </a:ln>
              <a:effectLst/>
            </c:spPr>
            <c:txPr>
              <a:bodyPr/>
              <a:lstStyle/>
              <a:p>
                <a:pPr>
                  <a:defRPr sz="799">
                    <a:solidFill>
                      <a:schemeClr val="bg1"/>
                    </a:solidFill>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Sheet1!$B$2:$AE$2</c:f>
              <c:strCache>
                <c:ptCount val="10"/>
                <c:pt idx="0">
                  <c:v>Δ' τρίμηνο                      2014</c:v>
                </c:pt>
                <c:pt idx="1">
                  <c:v>Α' τρίμηνο                      2015</c:v>
                </c:pt>
                <c:pt idx="2">
                  <c:v>Β' τρίμηνο                      2015</c:v>
                </c:pt>
                <c:pt idx="4">
                  <c:v>Β' εξάμηνο                       2015</c:v>
                </c:pt>
                <c:pt idx="5">
                  <c:v>2016</c:v>
                </c:pt>
                <c:pt idx="6">
                  <c:v>2017</c:v>
                </c:pt>
                <c:pt idx="7">
                  <c:v>2018</c:v>
                </c:pt>
                <c:pt idx="8">
                  <c:v>2019</c:v>
                </c:pt>
                <c:pt idx="9">
                  <c:v>Εννεάμηνο 2020</c:v>
                </c:pt>
              </c:strCache>
            </c:strRef>
          </c:cat>
          <c:val>
            <c:numRef>
              <c:f>Sheet1!$B$4:$W$4</c:f>
            </c:numRef>
          </c:val>
        </c:ser>
        <c:ser>
          <c:idx val="2"/>
          <c:order val="2"/>
          <c:tx>
            <c:strRef>
              <c:f>Sheet1!$A$5</c:f>
              <c:strCache>
                <c:ptCount val="1"/>
                <c:pt idx="0">
                  <c:v>Time &amp; other</c:v>
                </c:pt>
              </c:strCache>
            </c:strRef>
          </c:tx>
          <c:invertIfNegative val="0"/>
          <c:dLbls>
            <c:spPr>
              <a:noFill/>
              <a:ln>
                <a:noFill/>
              </a:ln>
              <a:effectLst/>
            </c:spPr>
            <c:txPr>
              <a:bodyPr/>
              <a:lstStyle/>
              <a:p>
                <a:pPr>
                  <a:defRPr sz="799"/>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Sheet1!$B$2:$AE$2</c:f>
              <c:strCache>
                <c:ptCount val="10"/>
                <c:pt idx="0">
                  <c:v>Δ' τρίμηνο                      2014</c:v>
                </c:pt>
                <c:pt idx="1">
                  <c:v>Α' τρίμηνο                      2015</c:v>
                </c:pt>
                <c:pt idx="2">
                  <c:v>Β' τρίμηνο                      2015</c:v>
                </c:pt>
                <c:pt idx="4">
                  <c:v>Β' εξάμηνο                       2015</c:v>
                </c:pt>
                <c:pt idx="5">
                  <c:v>2016</c:v>
                </c:pt>
                <c:pt idx="6">
                  <c:v>2017</c:v>
                </c:pt>
                <c:pt idx="7">
                  <c:v>2018</c:v>
                </c:pt>
                <c:pt idx="8">
                  <c:v>2019</c:v>
                </c:pt>
                <c:pt idx="9">
                  <c:v>Εννεάμηνο 2020</c:v>
                </c:pt>
              </c:strCache>
            </c:strRef>
          </c:cat>
          <c:val>
            <c:numRef>
              <c:f>Sheet1!$B$5:$W$5</c:f>
            </c:numRef>
          </c:val>
        </c:ser>
        <c:ser>
          <c:idx val="3"/>
          <c:order val="3"/>
          <c:tx>
            <c:strRef>
              <c:f>Sheet1!$A$6</c:f>
              <c:strCache>
                <c:ptCount val="1"/>
                <c:pt idx="0">
                  <c:v>Total</c:v>
                </c:pt>
              </c:strCache>
            </c:strRef>
          </c:tx>
          <c:spPr>
            <a:solidFill>
              <a:schemeClr val="bg1"/>
            </a:solidFill>
            <a:ln>
              <a:solidFill>
                <a:srgbClr val="008080"/>
              </a:solidFill>
            </a:ln>
          </c:spPr>
          <c:invertIfNegative val="0"/>
          <c:dPt>
            <c:idx val="0"/>
            <c:invertIfNegative val="0"/>
            <c:bubble3D val="0"/>
            <c:spPr>
              <a:solidFill>
                <a:schemeClr val="bg1"/>
              </a:solidFill>
              <a:ln>
                <a:solidFill>
                  <a:srgbClr val="FF0000"/>
                </a:solidFill>
              </a:ln>
            </c:spPr>
          </c:dPt>
          <c:dPt>
            <c:idx val="1"/>
            <c:invertIfNegative val="0"/>
            <c:bubble3D val="0"/>
            <c:spPr>
              <a:solidFill>
                <a:schemeClr val="bg1"/>
              </a:solidFill>
              <a:ln>
                <a:solidFill>
                  <a:srgbClr val="FF0000"/>
                </a:solidFill>
              </a:ln>
            </c:spPr>
          </c:dPt>
          <c:dPt>
            <c:idx val="2"/>
            <c:invertIfNegative val="0"/>
            <c:bubble3D val="0"/>
            <c:spPr>
              <a:solidFill>
                <a:schemeClr val="bg1"/>
              </a:solidFill>
              <a:ln>
                <a:solidFill>
                  <a:srgbClr val="FF0000"/>
                </a:solidFill>
              </a:ln>
            </c:spPr>
          </c:dPt>
          <c:dPt>
            <c:idx val="3"/>
            <c:invertIfNegative val="0"/>
            <c:bubble3D val="0"/>
            <c:spPr>
              <a:noFill/>
              <a:ln>
                <a:solidFill>
                  <a:srgbClr val="008080"/>
                </a:solidFill>
              </a:ln>
            </c:spPr>
          </c:dPt>
          <c:dPt>
            <c:idx val="4"/>
            <c:invertIfNegative val="0"/>
            <c:bubble3D val="0"/>
            <c:spPr>
              <a:noFill/>
              <a:ln>
                <a:solidFill>
                  <a:srgbClr val="008080"/>
                </a:solidFill>
              </a:ln>
            </c:spPr>
          </c:dPt>
          <c:dPt>
            <c:idx val="5"/>
            <c:invertIfNegative val="0"/>
            <c:bubble3D val="0"/>
            <c:spPr>
              <a:noFill/>
              <a:ln>
                <a:solidFill>
                  <a:srgbClr val="008080"/>
                </a:solidFill>
              </a:ln>
            </c:spPr>
          </c:dPt>
          <c:dPt>
            <c:idx val="6"/>
            <c:invertIfNegative val="0"/>
            <c:bubble3D val="0"/>
            <c:spPr>
              <a:noFill/>
              <a:ln>
                <a:solidFill>
                  <a:srgbClr val="008080"/>
                </a:solidFill>
              </a:ln>
            </c:spPr>
          </c:dPt>
          <c:dPt>
            <c:idx val="10"/>
            <c:invertIfNegative val="0"/>
            <c:bubble3D val="0"/>
            <c:spPr>
              <a:solidFill>
                <a:schemeClr val="bg1"/>
              </a:solidFill>
              <a:ln>
                <a:solidFill>
                  <a:srgbClr val="FF0000"/>
                </a:solidFill>
              </a:ln>
            </c:spPr>
          </c:dPt>
          <c:dLbls>
            <c:dLbl>
              <c:idx val="0"/>
              <c:layout>
                <c:manualLayout>
                  <c:x val="3.1523644470876889E-3"/>
                  <c:y val="-0.14715965920897681"/>
                </c:manualLayout>
              </c:layout>
              <c:tx>
                <c:rich>
                  <a:bodyPr/>
                  <a:lstStyle/>
                  <a:p>
                    <a:r>
                      <a:rPr lang="en-US"/>
                      <a:t>-2,2</a:t>
                    </a:r>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7.1258329564561664E-3"/>
                  <c:y val="-0.20277287525109092"/>
                </c:manualLayout>
              </c:layout>
              <c:tx>
                <c:rich>
                  <a:bodyPr/>
                  <a:lstStyle/>
                  <a:p>
                    <a:r>
                      <a:rPr lang="en-US"/>
                      <a:t>-4,8</a:t>
                    </a:r>
                  </a:p>
                </c:rich>
              </c:tx>
              <c:dLblPos val="ctr"/>
              <c:showLegendKey val="0"/>
              <c:showVal val="1"/>
              <c:showCatName val="0"/>
              <c:showSerName val="0"/>
              <c:showPercent val="0"/>
              <c:showBubbleSize val="0"/>
              <c:extLst>
                <c:ext xmlns:c15="http://schemas.microsoft.com/office/drawing/2012/chart" uri="{CE6537A1-D6FC-4f65-9D91-7224C49458BB}">
                  <c15:layout>
                    <c:manualLayout>
                      <c:w val="7.9012897886724373E-2"/>
                      <c:h val="0.10469820599847614"/>
                    </c:manualLayout>
                  </c15:layout>
                </c:ext>
              </c:extLst>
            </c:dLbl>
            <c:dLbl>
              <c:idx val="2"/>
              <c:layout>
                <c:manualLayout>
                  <c:x val="-2.7790450668971458E-3"/>
                  <c:y val="-0.18118224007757841"/>
                </c:manualLayout>
              </c:layout>
              <c:tx>
                <c:rich>
                  <a:bodyPr/>
                  <a:lstStyle/>
                  <a:p>
                    <a:r>
                      <a:rPr lang="en-US"/>
                      <a:t>-3,6</a:t>
                    </a:r>
                  </a:p>
                </c:rich>
              </c:tx>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5.3796216269080179E-3"/>
                  <c:y val="-9.8127311768373013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3.6655493850672842E-3"/>
                  <c:y val="-8.0440057153559161E-2"/>
                </c:manualLayout>
              </c:layout>
              <c:tx>
                <c:rich>
                  <a:bodyPr/>
                  <a:lstStyle/>
                  <a:p>
                    <a:r>
                      <a:rPr lang="en-US"/>
                      <a:t>1,1</a:t>
                    </a:r>
                  </a:p>
                </c:rich>
              </c:tx>
              <c:dLblPos val="ctr"/>
              <c:showLegendKey val="0"/>
              <c:showVal val="1"/>
              <c:showCatName val="0"/>
              <c:showSerName val="0"/>
              <c:showPercent val="0"/>
              <c:showBubbleSize val="0"/>
              <c:extLst>
                <c:ext xmlns:c15="http://schemas.microsoft.com/office/drawing/2012/chart" uri="{CE6537A1-D6FC-4f65-9D91-7224C49458BB}">
                  <c15:layout>
                    <c:manualLayout>
                      <c:w val="6.6196426559092428E-2"/>
                      <c:h val="8.3585786520745303E-2"/>
                    </c:manualLayout>
                  </c15:layout>
                </c:ext>
              </c:extLst>
            </c:dLbl>
            <c:dLbl>
              <c:idx val="5"/>
              <c:layout>
                <c:manualLayout>
                  <c:x val="3.2416140648375679E-3"/>
                  <c:y val="-6.6146406543619571E-2"/>
                </c:manualLayout>
              </c:layout>
              <c:tx>
                <c:rich>
                  <a:bodyPr/>
                  <a:lstStyle/>
                  <a:p>
                    <a:r>
                      <a:rPr lang="en-US"/>
                      <a:t>0,2</a:t>
                    </a:r>
                  </a:p>
                </c:rich>
              </c:tx>
              <c:dLblPos val="ctr"/>
              <c:showLegendKey val="0"/>
              <c:showVal val="1"/>
              <c:showCatName val="0"/>
              <c:showSerName val="0"/>
              <c:showPercent val="0"/>
              <c:showBubbleSize val="0"/>
              <c:extLst>
                <c:ext xmlns:c15="http://schemas.microsoft.com/office/drawing/2012/chart" uri="{CE6537A1-D6FC-4f65-9D91-7224C49458BB}"/>
              </c:extLst>
            </c:dLbl>
            <c:dLbl>
              <c:idx val="6"/>
              <c:layout>
                <c:manualLayout>
                  <c:x val="-1.256705860235736E-3"/>
                  <c:y val="-8.3464503136501514E-2"/>
                </c:manualLayout>
              </c:layout>
              <c:tx>
                <c:rich>
                  <a:bodyPr/>
                  <a:lstStyle/>
                  <a:p>
                    <a:r>
                      <a:rPr lang="en-US"/>
                      <a:t>1,5</a:t>
                    </a:r>
                  </a:p>
                </c:rich>
              </c:tx>
              <c:dLblPos val="ctr"/>
              <c:showLegendKey val="0"/>
              <c:showVal val="1"/>
              <c:showCatName val="0"/>
              <c:showSerName val="0"/>
              <c:showPercent val="0"/>
              <c:showBubbleSize val="0"/>
              <c:extLst>
                <c:ext xmlns:c15="http://schemas.microsoft.com/office/drawing/2012/chart" uri="{CE6537A1-D6FC-4f65-9D91-7224C49458BB}"/>
              </c:extLst>
            </c:dLbl>
            <c:dLbl>
              <c:idx val="7"/>
              <c:layout>
                <c:manualLayout>
                  <c:x val="-2.1121265509218808E-3"/>
                  <c:y val="-0.11779504262317166"/>
                </c:manualLayout>
              </c:layout>
              <c:tx>
                <c:rich>
                  <a:bodyPr/>
                  <a:lstStyle/>
                  <a:p>
                    <a:r>
                      <a:rPr lang="en-US"/>
                      <a:t>3,4</a:t>
                    </a:r>
                  </a:p>
                </c:rich>
              </c:tx>
              <c:dLblPos val="ctr"/>
              <c:showLegendKey val="0"/>
              <c:showVal val="1"/>
              <c:showCatName val="0"/>
              <c:showSerName val="0"/>
              <c:showPercent val="0"/>
              <c:showBubbleSize val="0"/>
              <c:extLst>
                <c:ext xmlns:c15="http://schemas.microsoft.com/office/drawing/2012/chart" uri="{CE6537A1-D6FC-4f65-9D91-7224C49458BB}"/>
              </c:extLst>
            </c:dLbl>
            <c:dLbl>
              <c:idx val="8"/>
              <c:layout>
                <c:manualLayout>
                  <c:x val="-2.5245480445558674E-3"/>
                  <c:y val="-7.0727529455336724E-2"/>
                </c:manualLayout>
              </c:layout>
              <c:tx>
                <c:rich>
                  <a:bodyPr/>
                  <a:lstStyle/>
                  <a:p>
                    <a:r>
                      <a:rPr lang="en-US"/>
                      <a:t>0,5</a:t>
                    </a:r>
                  </a:p>
                </c:rich>
              </c:tx>
              <c:dLblPos val="ctr"/>
              <c:showLegendKey val="0"/>
              <c:showVal val="1"/>
              <c:showCatName val="0"/>
              <c:showSerName val="0"/>
              <c:showPercent val="0"/>
              <c:showBubbleSize val="0"/>
              <c:extLst>
                <c:ext xmlns:c15="http://schemas.microsoft.com/office/drawing/2012/chart" uri="{CE6537A1-D6FC-4f65-9D91-7224C49458BB}"/>
              </c:extLst>
            </c:dLbl>
            <c:dLbl>
              <c:idx val="9"/>
              <c:layout>
                <c:manualLayout>
                  <c:x val="0"/>
                  <c:y val="-8.1505021818937415E-2"/>
                </c:manualLayout>
              </c:layout>
              <c:tx>
                <c:rich>
                  <a:bodyPr/>
                  <a:lstStyle/>
                  <a:p>
                    <a:r>
                      <a:rPr lang="en-US"/>
                      <a:t>1,5</a:t>
                    </a:r>
                  </a:p>
                </c:rich>
              </c:tx>
              <c:dLblPos val="ctr"/>
              <c:showLegendKey val="0"/>
              <c:showVal val="1"/>
              <c:showCatName val="0"/>
              <c:showSerName val="0"/>
              <c:showPercent val="0"/>
              <c:showBubbleSize val="0"/>
              <c:extLst>
                <c:ext xmlns:c15="http://schemas.microsoft.com/office/drawing/2012/chart" uri="{CE6537A1-D6FC-4f65-9D91-7224C49458BB}"/>
              </c:extLst>
            </c:dLbl>
            <c:dLbl>
              <c:idx val="10"/>
              <c:layout>
                <c:manualLayout>
                  <c:x val="-6.81770727523081E-4"/>
                  <c:y val="-7.9694539561557351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8.1006656982702527E-2"/>
                      <c:h val="9.820821500311698E-2"/>
                    </c:manualLayout>
                  </c15:layout>
                </c:ext>
              </c:extLst>
            </c:dLbl>
            <c:dLbl>
              <c:idx val="11"/>
              <c:layout>
                <c:manualLayout>
                  <c:x val="-2.6764611539638918E-3"/>
                  <c:y val="-8.289644663018637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2"/>
              <c:layout>
                <c:manualLayout>
                  <c:x val="3.2414902585560699E-3"/>
                  <c:y val="-0.11708914594444828"/>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3"/>
              <c:layout>
                <c:manualLayout>
                  <c:x val="3.1003068881690866E-3"/>
                  <c:y val="-9.6323058807231451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4"/>
              <c:layout>
                <c:manualLayout>
                  <c:x val="-2.9783583570155816E-3"/>
                  <c:y val="-7.5619588557179471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5"/>
              <c:layout>
                <c:manualLayout>
                  <c:x val="-2.9783583570156917E-3"/>
                  <c:y val="-8.96945348756667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6"/>
              <c:layout>
                <c:manualLayout>
                  <c:x val="2.9783583570155816E-3"/>
                  <c:y val="-8.2657061716423133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7"/>
              <c:layout>
                <c:manualLayout>
                  <c:x val="-2.9862004619911858E-3"/>
                  <c:y val="-9.4586250488825532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8"/>
              <c:layout>
                <c:manualLayout>
                  <c:x val="-5.5248607365117781E-3"/>
                  <c:y val="-7.878134305965237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9"/>
              <c:layout>
                <c:manualLayout>
                  <c:x val="0"/>
                  <c:y val="-9.730309132723312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20"/>
              <c:layout>
                <c:manualLayout>
                  <c:x val="-1.0499922387384902E-2"/>
                  <c:y val="-6.3018141520542595E-2"/>
                </c:manualLayout>
              </c:layout>
              <c:dLblPos val="ctr"/>
              <c:showLegendKey val="0"/>
              <c:showVal val="1"/>
              <c:showCatName val="0"/>
              <c:showSerName val="0"/>
              <c:showPercent val="0"/>
              <c:showBubbleSize val="0"/>
              <c:extLst>
                <c:ext xmlns:c15="http://schemas.microsoft.com/office/drawing/2012/chart" uri="{CE6537A1-D6FC-4f65-9D91-7224C49458BB}"/>
              </c:extLst>
            </c:dLbl>
            <c:spPr>
              <a:solidFill>
                <a:schemeClr val="bg1"/>
              </a:solidFill>
              <a:ln>
                <a:noFill/>
              </a:ln>
              <a:effectLst/>
            </c:spPr>
            <c:txPr>
              <a:bodyPr/>
              <a:lstStyle/>
              <a:p>
                <a:pPr>
                  <a:defRPr lang="el-GR" sz="700"/>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Sheet1!$B$2:$AE$2</c:f>
              <c:strCache>
                <c:ptCount val="10"/>
                <c:pt idx="0">
                  <c:v>Δ' τρίμηνο                      2014</c:v>
                </c:pt>
                <c:pt idx="1">
                  <c:v>Α' τρίμηνο                      2015</c:v>
                </c:pt>
                <c:pt idx="2">
                  <c:v>Β' τρίμηνο                      2015</c:v>
                </c:pt>
                <c:pt idx="4">
                  <c:v>Β' εξάμηνο                       2015</c:v>
                </c:pt>
                <c:pt idx="5">
                  <c:v>2016</c:v>
                </c:pt>
                <c:pt idx="6">
                  <c:v>2017</c:v>
                </c:pt>
                <c:pt idx="7">
                  <c:v>2018</c:v>
                </c:pt>
                <c:pt idx="8">
                  <c:v>2019</c:v>
                </c:pt>
                <c:pt idx="9">
                  <c:v>Εννεάμηνο 2020</c:v>
                </c:pt>
              </c:strCache>
            </c:strRef>
          </c:cat>
          <c:val>
            <c:numRef>
              <c:f>Sheet1!$B$6:$AE$6</c:f>
              <c:numCache>
                <c:formatCode>0.0</c:formatCode>
                <c:ptCount val="10"/>
                <c:pt idx="0" formatCode="General">
                  <c:v>-2.2000000000000002</c:v>
                </c:pt>
                <c:pt idx="1">
                  <c:v>-4.8049999999999997</c:v>
                </c:pt>
                <c:pt idx="2">
                  <c:v>-3.5609999999999999</c:v>
                </c:pt>
                <c:pt idx="4">
                  <c:v>1.1379999999999999</c:v>
                </c:pt>
                <c:pt idx="5">
                  <c:v>0.22599999999999998</c:v>
                </c:pt>
                <c:pt idx="6">
                  <c:v>1.5389999999999999</c:v>
                </c:pt>
                <c:pt idx="7">
                  <c:v>3.35688005</c:v>
                </c:pt>
                <c:pt idx="8">
                  <c:v>0.49611994999999981</c:v>
                </c:pt>
                <c:pt idx="9">
                  <c:v>1.4691572200000009</c:v>
                </c:pt>
              </c:numCache>
            </c:numRef>
          </c:val>
        </c:ser>
        <c:dLbls>
          <c:showLegendKey val="0"/>
          <c:showVal val="0"/>
          <c:showCatName val="0"/>
          <c:showSerName val="0"/>
          <c:showPercent val="0"/>
          <c:showBubbleSize val="0"/>
        </c:dLbls>
        <c:gapWidth val="500"/>
        <c:overlap val="100"/>
        <c:axId val="424072416"/>
        <c:axId val="424072976"/>
      </c:barChart>
      <c:catAx>
        <c:axId val="424072416"/>
        <c:scaling>
          <c:orientation val="minMax"/>
        </c:scaling>
        <c:delete val="0"/>
        <c:axPos val="b"/>
        <c:numFmt formatCode="General" sourceLinked="1"/>
        <c:majorTickMark val="none"/>
        <c:minorTickMark val="none"/>
        <c:tickLblPos val="low"/>
        <c:txPr>
          <a:bodyPr/>
          <a:lstStyle/>
          <a:p>
            <a:pPr>
              <a:defRPr lang="el-GR" sz="700"/>
            </a:pPr>
            <a:endParaRPr lang="el-GR"/>
          </a:p>
        </c:txPr>
        <c:crossAx val="424072976"/>
        <c:crosses val="autoZero"/>
        <c:auto val="1"/>
        <c:lblAlgn val="ctr"/>
        <c:lblOffset val="100"/>
        <c:noMultiLvlLbl val="0"/>
      </c:catAx>
      <c:valAx>
        <c:axId val="424072976"/>
        <c:scaling>
          <c:orientation val="minMax"/>
          <c:min val="-10"/>
        </c:scaling>
        <c:delete val="1"/>
        <c:axPos val="l"/>
        <c:numFmt formatCode="General" sourceLinked="1"/>
        <c:majorTickMark val="out"/>
        <c:minorTickMark val="none"/>
        <c:tickLblPos val="nextTo"/>
        <c:crossAx val="424072416"/>
        <c:crosses val="autoZero"/>
        <c:crossBetween val="between"/>
      </c:valAx>
      <c:spPr>
        <a:noFill/>
        <a:ln w="25375">
          <a:noFill/>
        </a:ln>
      </c:spPr>
    </c:plotArea>
    <c:plotVisOnly val="1"/>
    <c:dispBlanksAs val="gap"/>
    <c:showDLblsOverMax val="0"/>
  </c:chart>
  <c:spPr>
    <a:ln>
      <a:noFill/>
    </a:ln>
  </c:spPr>
  <c:txPr>
    <a:bodyPr/>
    <a:lstStyle/>
    <a:p>
      <a:pPr>
        <a:defRPr sz="600">
          <a:latin typeface="Segoe UI" pitchFamily="34" charset="0"/>
          <a:ea typeface="Segoe UI" pitchFamily="34" charset="0"/>
          <a:cs typeface="Segoe UI" pitchFamily="34" charset="0"/>
        </a:defRPr>
      </a:pPr>
      <a:endParaRPr lang="el-GR"/>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0.14541</cdr:x>
      <cdr:y>0.42726</cdr:y>
    </cdr:from>
    <cdr:to>
      <cdr:x>0.21777</cdr:x>
      <cdr:y>0.54663</cdr:y>
    </cdr:to>
    <cdr:sp macro="" textlink="">
      <cdr:nvSpPr>
        <cdr:cNvPr id="2" name="Rectangular Callout 1"/>
        <cdr:cNvSpPr>
          <a:spLocks xmlns:a="http://schemas.openxmlformats.org/drawingml/2006/main"/>
        </cdr:cNvSpPr>
      </cdr:nvSpPr>
      <cdr:spPr>
        <a:xfrm xmlns:a="http://schemas.openxmlformats.org/drawingml/2006/main">
          <a:off x="940413" y="1029622"/>
          <a:ext cx="467987" cy="287661"/>
        </a:xfrm>
        <a:prstGeom xmlns:a="http://schemas.openxmlformats.org/drawingml/2006/main" prst="wedgeRectCallout">
          <a:avLst>
            <a:gd name="adj1" fmla="val -67662"/>
            <a:gd name="adj2" fmla="val -35514"/>
          </a:avLst>
        </a:prstGeom>
        <a:solidFill xmlns:a="http://schemas.openxmlformats.org/drawingml/2006/main">
          <a:sysClr val="window" lastClr="FFFFFF"/>
        </a:solidFill>
        <a:ln xmlns:a="http://schemas.openxmlformats.org/drawingml/2006/main" w="12700" cap="flat" cmpd="sng" algn="ctr">
          <a:solidFill>
            <a:schemeClr val="bg1">
              <a:lumMod val="50000"/>
            </a:schemeClr>
          </a:solidFill>
          <a:prstDash val="solid"/>
        </a:ln>
        <a:effectLst xmlns:a="http://schemas.openxmlformats.org/drawingml/2006/main"/>
      </cdr:spPr>
      <cdr:txBody>
        <a:bodyPr xmlns:a="http://schemas.openxmlformats.org/drawingml/2006/main" wrap="square" anchor="ctr">
          <a:noAutofit/>
        </a:bodyPr>
        <a:lstStyle xmlns:a="http://schemas.openxmlformats.org/drawingml/2006/main"/>
        <a:p xmlns:a="http://schemas.openxmlformats.org/drawingml/2006/main">
          <a:pPr algn="ctr"/>
          <a:r>
            <a:rPr lang="en-GB" sz="600">
              <a:latin typeface="Calibri" pitchFamily="34" charset="0"/>
            </a:rPr>
            <a:t>CET1</a:t>
          </a:r>
          <a:r>
            <a:rPr lang="en-GB" sz="600" baseline="0">
              <a:latin typeface="Calibri" pitchFamily="34" charset="0"/>
            </a:rPr>
            <a:t> FL: 13</a:t>
          </a:r>
          <a:r>
            <a:rPr lang="el-GR" sz="600" baseline="0">
              <a:latin typeface="Calibri" pitchFamily="34" charset="0"/>
            </a:rPr>
            <a:t>,</a:t>
          </a:r>
          <a:r>
            <a:rPr lang="en-US" sz="600" baseline="0">
              <a:latin typeface="Calibri" pitchFamily="34" charset="0"/>
            </a:rPr>
            <a:t>0</a:t>
          </a:r>
          <a:r>
            <a:rPr lang="en-GB" sz="600" baseline="0">
              <a:latin typeface="Calibri" pitchFamily="34" charset="0"/>
            </a:rPr>
            <a:t>%</a:t>
          </a:r>
          <a:endParaRPr lang="el-GR" sz="600">
            <a:latin typeface="Calibri" pitchFamily="34" charset="0"/>
          </a:endParaRPr>
        </a:p>
      </cdr:txBody>
    </cdr:sp>
  </cdr:relSizeAnchor>
  <cdr:relSizeAnchor xmlns:cdr="http://schemas.openxmlformats.org/drawingml/2006/chartDrawing">
    <cdr:from>
      <cdr:x>0.51977</cdr:x>
      <cdr:y>0.79127</cdr:y>
    </cdr:from>
    <cdr:to>
      <cdr:x>0.52811</cdr:x>
      <cdr:y>0.82862</cdr:y>
    </cdr:to>
    <cdr:sp macro="" textlink="">
      <cdr:nvSpPr>
        <cdr:cNvPr id="3" name="Rectangle 15"/>
        <cdr:cNvSpPr>
          <a:spLocks xmlns:a="http://schemas.openxmlformats.org/drawingml/2006/main"/>
        </cdr:cNvSpPr>
      </cdr:nvSpPr>
      <cdr:spPr>
        <a:xfrm xmlns:a="http://schemas.openxmlformats.org/drawingml/2006/main">
          <a:off x="3361578" y="1906814"/>
          <a:ext cx="53939" cy="90007"/>
        </a:xfrm>
        <a:prstGeom xmlns:a="http://schemas.openxmlformats.org/drawingml/2006/main" prst="rect">
          <a:avLst/>
        </a:prstGeom>
        <a:solidFill xmlns:a="http://schemas.openxmlformats.org/drawingml/2006/main">
          <a:sysClr val="window" lastClr="FFFFFF"/>
        </a:solidFill>
        <a:ln xmlns:a="http://schemas.openxmlformats.org/drawingml/2006/main" w="9525" cap="flat" cmpd="sng" algn="ctr">
          <a:noFill/>
          <a:prstDash val="solid"/>
        </a:ln>
        <a:effectLst xmlns:a="http://schemas.openxmlformats.org/drawingml/2006/main"/>
      </cdr:spPr>
      <cdr:txBody>
        <a:bodyPr xmlns:a="http://schemas.openxmlformats.org/drawingml/2006/main" wrap="square" anchor="ctr">
          <a:noAutofit/>
        </a:bodyPr>
        <a:lstStyle xmlns:a="http://schemas.openxmlformats.org/drawingml/2006/main"/>
        <a:p xmlns:a="http://schemas.openxmlformats.org/drawingml/2006/main">
          <a:r>
            <a:rPr lang="en-US" sz="500"/>
            <a:t>*</a:t>
          </a:r>
          <a:endParaRPr lang="el-GR" sz="500"/>
        </a:p>
      </cdr:txBody>
    </cdr:sp>
  </cdr:relSizeAnchor>
  <cdr:relSizeAnchor xmlns:cdr="http://schemas.openxmlformats.org/drawingml/2006/chartDrawing">
    <cdr:from>
      <cdr:x>0.81198</cdr:x>
      <cdr:y>0.0285</cdr:y>
    </cdr:from>
    <cdr:to>
      <cdr:x>0.99085</cdr:x>
      <cdr:y>0.16726</cdr:y>
    </cdr:to>
    <cdr:sp macro="" textlink="">
      <cdr:nvSpPr>
        <cdr:cNvPr id="4" name="Rectangular Callout 28"/>
        <cdr:cNvSpPr>
          <a:spLocks xmlns:a="http://schemas.openxmlformats.org/drawingml/2006/main"/>
        </cdr:cNvSpPr>
      </cdr:nvSpPr>
      <cdr:spPr>
        <a:xfrm xmlns:a="http://schemas.openxmlformats.org/drawingml/2006/main">
          <a:off x="5251450" y="68668"/>
          <a:ext cx="1156855" cy="334411"/>
        </a:xfrm>
        <a:prstGeom xmlns:a="http://schemas.openxmlformats.org/drawingml/2006/main" prst="wedgeRectCallout">
          <a:avLst>
            <a:gd name="adj1" fmla="val -3461"/>
            <a:gd name="adj2" fmla="val 85650"/>
          </a:avLst>
        </a:prstGeom>
        <a:solidFill xmlns:a="http://schemas.openxmlformats.org/drawingml/2006/main">
          <a:sysClr val="window" lastClr="FFFFFF"/>
        </a:solidFill>
        <a:ln xmlns:a="http://schemas.openxmlformats.org/drawingml/2006/main" w="12700" cap="flat" cmpd="sng" algn="ctr">
          <a:solidFill>
            <a:schemeClr val="bg1">
              <a:lumMod val="50000"/>
            </a:schemeClr>
          </a:solidFill>
          <a:prstDash val="solid"/>
        </a:ln>
        <a:effectLst xmlns:a="http://schemas.openxmlformats.org/drawingml/2006/main"/>
      </cdr:spPr>
      <cdr:txBody>
        <a:bodyPr xmlns:a="http://schemas.openxmlformats.org/drawingml/2006/main" wrap="square" anchor="ctr">
          <a:noAutofit/>
        </a:bodyPr>
        <a:lstStyle xmlns:a="http://schemas.openxmlformats.org/drawingml/2006/main"/>
        <a:p xmlns:a="http://schemas.openxmlformats.org/drawingml/2006/main">
          <a:pPr algn="ctr"/>
          <a:r>
            <a:rPr lang="el-GR" sz="450"/>
            <a:t>Δεν περιλαμβάνει το όφελος ύψους περίπου 20μ.β. από την εποπτική μεταχείριση του λογισμικού (σύσταση της Ευρωπαϊκής Αρχής Τραπεζών)</a:t>
          </a:r>
        </a:p>
      </cdr:txBody>
    </cdr:sp>
  </cdr:relSizeAnchor>
</c:userShapes>
</file>

<file path=word/drawings/drawing2.xml><?xml version="1.0" encoding="utf-8"?>
<c:userShapes xmlns:c="http://schemas.openxmlformats.org/drawingml/2006/chart">
  <cdr:relSizeAnchor xmlns:cdr="http://schemas.openxmlformats.org/drawingml/2006/chartDrawing">
    <cdr:from>
      <cdr:x>0.66593</cdr:x>
      <cdr:y>0.61205</cdr:y>
    </cdr:from>
    <cdr:to>
      <cdr:x>0.73468</cdr:x>
      <cdr:y>0.70914</cdr:y>
    </cdr:to>
    <cdr:sp macro="" textlink="">
      <cdr:nvSpPr>
        <cdr:cNvPr id="2" name="TextBox 1"/>
        <cdr:cNvSpPr txBox="1"/>
      </cdr:nvSpPr>
      <cdr:spPr>
        <a:xfrm xmlns:a="http://schemas.openxmlformats.org/drawingml/2006/main">
          <a:off x="2398712" y="2401887"/>
          <a:ext cx="24765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l-G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AD53F-C9FE-49A7-BA6F-85EC4F38E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6412</Words>
  <Characters>34631</Characters>
  <Application>Microsoft Office Word</Application>
  <DocSecurity>0</DocSecurity>
  <Lines>288</Lines>
  <Paragraphs>81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NBG</Company>
  <LinksUpToDate>false</LinksUpToDate>
  <CharactersWithSpaces>40962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Pantelis Arsenis</cp:lastModifiedBy>
  <cp:revision>2</cp:revision>
  <cp:lastPrinted>2020-11-30T13:52:00Z</cp:lastPrinted>
  <dcterms:created xsi:type="dcterms:W3CDTF">2020-11-30T15:46:00Z</dcterms:created>
  <dcterms:modified xsi:type="dcterms:W3CDTF">2020-11-30T15:46:00Z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BANK\e40915</vt:lpwstr>
  </property>
  <property fmtid="{D5CDD505-2E9C-101B-9397-08002B2CF9AE}" pid="4" name="DLPManualFileClassificationLastModificationDate">
    <vt:lpwstr>1584462117</vt:lpwstr>
  </property>
  <property fmtid="{D5CDD505-2E9C-101B-9397-08002B2CF9AE}" pid="5" name="DLPManualFileClassificationVersion">
    <vt:lpwstr>10.0.300.68</vt:lpwstr>
  </property>
</Properties>
</file>