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drawings/drawing1.xml" ContentType="application/vnd.openxmlformats-officedocument.drawingml.chartshapes+xml"/>
  <Override PartName="/word/charts/chart6.xml" ContentType="application/vnd.openxmlformats-officedocument.drawingml.chart+xml"/>
  <Override PartName="/word/theme/themeOverride4.xml" ContentType="application/vnd.openxmlformats-officedocument.themeOverride+xml"/>
  <Override PartName="/word/drawings/drawing2.xml" ContentType="application/vnd.openxmlformats-officedocument.drawingml.chartshapes+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charts/chart9.xml" ContentType="application/vnd.openxmlformats-officedocument.drawingml.chart+xml"/>
  <Override PartName="/word/theme/themeOverride6.xml" ContentType="application/vnd.openxmlformats-officedocument.themeOverride+xml"/>
  <Override PartName="/word/drawings/drawing3.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681" w:rsidRPr="00EE40A0" w:rsidRDefault="00B721F7">
      <w:pPr>
        <w:rPr>
          <w:rFonts w:ascii="Segoe UI" w:hAnsi="Segoe UI" w:cs="Segoe UI"/>
          <w:color w:val="000000"/>
          <w:sz w:val="21"/>
          <w:szCs w:val="21"/>
          <w:lang w:val="en-US"/>
        </w:rPr>
      </w:pPr>
      <w:bookmarkStart w:id="0" w:name="_GoBack"/>
      <w:bookmarkEnd w:id="0"/>
      <w:r>
        <w:rPr>
          <w:noProof/>
          <w:lang w:eastAsia="el-GR"/>
        </w:rPr>
        <w:drawing>
          <wp:anchor distT="0" distB="0" distL="114300" distR="114300" simplePos="0" relativeHeight="251676160" behindDoc="0" locked="0" layoutInCell="1" allowOverlap="1" wp14:anchorId="5FF79D06" wp14:editId="394FC785">
            <wp:simplePos x="0" y="0"/>
            <wp:positionH relativeFrom="column">
              <wp:posOffset>5242399</wp:posOffset>
            </wp:positionH>
            <wp:positionV relativeFrom="paragraph">
              <wp:posOffset>-154305</wp:posOffset>
            </wp:positionV>
            <wp:extent cx="1212215" cy="695960"/>
            <wp:effectExtent l="0" t="0" r="6985" b="8890"/>
            <wp:wrapNone/>
            <wp:docPr id="1878171020" name="Picture 187817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2215" cy="695960"/>
                    </a:xfrm>
                    <a:prstGeom prst="rect">
                      <a:avLst/>
                    </a:prstGeom>
                    <a:noFill/>
                  </pic:spPr>
                </pic:pic>
              </a:graphicData>
            </a:graphic>
            <wp14:sizeRelH relativeFrom="margin">
              <wp14:pctWidth>0</wp14:pctWidth>
            </wp14:sizeRelH>
            <wp14:sizeRelV relativeFrom="margin">
              <wp14:pctHeight>0</wp14:pctHeight>
            </wp14:sizeRelV>
          </wp:anchor>
        </w:drawing>
      </w:r>
      <w:r>
        <w:rPr>
          <w:rFonts w:ascii="Segoe UI" w:hAnsi="Segoe UI" w:cs="Segoe UI"/>
          <w:noProof/>
          <w:lang w:eastAsia="el-GR"/>
        </w:rPr>
        <mc:AlternateContent>
          <mc:Choice Requires="wps">
            <w:drawing>
              <wp:anchor distT="0" distB="0" distL="114300" distR="114300" simplePos="0" relativeHeight="251645440" behindDoc="0" locked="0" layoutInCell="1" allowOverlap="1" wp14:anchorId="5C7009E3" wp14:editId="513825B3">
                <wp:simplePos x="0" y="0"/>
                <wp:positionH relativeFrom="column">
                  <wp:posOffset>-540385</wp:posOffset>
                </wp:positionH>
                <wp:positionV relativeFrom="paragraph">
                  <wp:posOffset>45720</wp:posOffset>
                </wp:positionV>
                <wp:extent cx="2080895" cy="153035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0895" cy="1530350"/>
                        </a:xfrm>
                        <a:prstGeom prst="rect">
                          <a:avLst/>
                        </a:prstGeom>
                        <a:solidFill>
                          <a:srgbClr val="0073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8DA20" id="Rectangle 3" o:spid="_x0000_s1026" style="position:absolute;margin-left:-42.55pt;margin-top:3.6pt;width:163.85pt;height:12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" fillcolor="#007382" stroked="f" strokeweight="1pt">
                <v:path arrowok="t"/>
              </v:rect>
            </w:pict>
          </mc:Fallback>
        </mc:AlternateContent>
      </w:r>
      <w:r>
        <w:rPr>
          <w:rFonts w:ascii="Segoe UI" w:hAnsi="Segoe UI" w:cs="Segoe UI"/>
          <w:noProof/>
          <w:lang w:eastAsia="el-GR"/>
        </w:rPr>
        <mc:AlternateContent>
          <mc:Choice Requires="wps">
            <w:drawing>
              <wp:anchor distT="0" distB="0" distL="114300" distR="114300" simplePos="0" relativeHeight="251648512" behindDoc="0" locked="0" layoutInCell="1" allowOverlap="1" wp14:anchorId="0A7F36AB" wp14:editId="4D60E349">
                <wp:simplePos x="0" y="0"/>
                <wp:positionH relativeFrom="column">
                  <wp:posOffset>-539115</wp:posOffset>
                </wp:positionH>
                <wp:positionV relativeFrom="paragraph">
                  <wp:posOffset>-65879</wp:posOffset>
                </wp:positionV>
                <wp:extent cx="1132840" cy="30480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2840" cy="304800"/>
                        </a:xfrm>
                        <a:prstGeom prst="rect">
                          <a:avLst/>
                        </a:prstGeom>
                        <a:solidFill>
                          <a:srgbClr val="00B2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FE43D43" id="Rectangle 28" o:spid="_x0000_s1026" style="position:absolute;margin-left:-42.45pt;margin-top:-5.2pt;width:89.2pt;height:2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" fillcolor="#00b2c6" stroked="f" strokeweight="1pt">
                <v:path arrowok="t"/>
              </v:rect>
            </w:pict>
          </mc:Fallback>
        </mc:AlternateContent>
      </w:r>
    </w:p>
    <w:p w:rsidR="000765E8" w:rsidRPr="00EE40A0" w:rsidRDefault="00430659" w:rsidP="000765E8">
      <w:pPr>
        <w:pStyle w:val="body"/>
        <w:rPr>
          <w:rFonts w:ascii="Segoe UI" w:hAnsi="Segoe UI" w:cs="Segoe UI"/>
          <w:lang w:val="en-US"/>
        </w:rPr>
      </w:pPr>
      <w:r>
        <w:rPr>
          <w:rFonts w:ascii="Segoe UI" w:hAnsi="Segoe UI" w:cs="Segoe UI"/>
          <w:noProof/>
          <w:lang w:eastAsia="el-GR"/>
        </w:rPr>
        <mc:AlternateContent>
          <mc:Choice Requires="wps">
            <w:drawing>
              <wp:anchor distT="0" distB="0" distL="114300" distR="114300" simplePos="0" relativeHeight="251646464" behindDoc="0" locked="0" layoutInCell="1" allowOverlap="1" wp14:anchorId="0D111D3F" wp14:editId="649BC4D0">
                <wp:simplePos x="0" y="0"/>
                <wp:positionH relativeFrom="column">
                  <wp:posOffset>-226060</wp:posOffset>
                </wp:positionH>
                <wp:positionV relativeFrom="paragraph">
                  <wp:posOffset>184311</wp:posOffset>
                </wp:positionV>
                <wp:extent cx="1593215" cy="1282700"/>
                <wp:effectExtent l="0" t="0" r="698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215" cy="1282700"/>
                        </a:xfrm>
                        <a:prstGeom prst="rect">
                          <a:avLst/>
                        </a:prstGeom>
                        <a:noFill/>
                        <a:ln w="6350">
                          <a:noFill/>
                        </a:ln>
                      </wps:spPr>
                      <wps:txbx>
                        <w:txbxContent>
                          <w:p w:rsidR="00DA0337" w:rsidRPr="00F81F11" w:rsidRDefault="00DA0337" w:rsidP="000765E8">
                            <w:pPr>
                              <w:spacing w:line="460" w:lineRule="exact"/>
                              <w:jc w:val="right"/>
                              <w:rPr>
                                <w:b/>
                                <w:bCs/>
                                <w:color w:val="FFFFFF" w:themeColor="background1"/>
                                <w:sz w:val="40"/>
                                <w:szCs w:val="40"/>
                              </w:rPr>
                            </w:pPr>
                            <w:r>
                              <w:rPr>
                                <w:b/>
                                <w:bCs/>
                                <w:color w:val="CDEEF1"/>
                                <w:sz w:val="40"/>
                                <w:szCs w:val="40"/>
                              </w:rPr>
                              <w:t>Όμιλος ΕΤΕ</w:t>
                            </w:r>
                          </w:p>
                          <w:p w:rsidR="00DA0337" w:rsidRPr="00F81F11" w:rsidRDefault="00DA0337" w:rsidP="000765E8">
                            <w:pPr>
                              <w:spacing w:line="460" w:lineRule="exact"/>
                              <w:jc w:val="right"/>
                              <w:rPr>
                                <w:b/>
                                <w:bCs/>
                                <w:color w:val="FFFFFF" w:themeColor="background1"/>
                                <w:sz w:val="44"/>
                                <w:szCs w:val="44"/>
                              </w:rPr>
                            </w:pPr>
                            <w:r>
                              <w:rPr>
                                <w:b/>
                                <w:bCs/>
                                <w:color w:val="FFFFFF" w:themeColor="background1"/>
                                <w:sz w:val="36"/>
                                <w:szCs w:val="36"/>
                              </w:rPr>
                              <w:t>Αποτελέσματα Β’ τριμήνου 20</w:t>
                            </w:r>
                            <w:r w:rsidRPr="002607A2">
                              <w:rPr>
                                <w:b/>
                                <w:bCs/>
                                <w:color w:val="FFFFFF" w:themeColor="background1"/>
                                <w:sz w:val="36"/>
                                <w:szCs w:val="36"/>
                              </w:rPr>
                              <w:t>2</w:t>
                            </w:r>
                            <w:r>
                              <w:rPr>
                                <w:b/>
                                <w:bCs/>
                                <w:color w:val="FFFFFF" w:themeColor="background1"/>
                                <w:sz w:val="36"/>
                                <w:szCs w:val="36"/>
                              </w:rPr>
                              <w:t xml:space="preserve">1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111D3F" id="_x0000_t202" coordsize="21600,21600" o:spt="202" path="m,l,21600r21600,l21600,xe">
                <v:stroke joinstyle="miter"/>
                <v:path gradientshapeok="t" o:connecttype="rect"/>
              </v:shapetype>
              <v:shape id="Text Box 1" o:spid="_x0000_s1026" type="#_x0000_t202" style="position:absolute;left:0;text-align:left;margin-left:-17.8pt;margin-top:14.5pt;width:125.45pt;height:10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" filled="f" stroked="f" strokeweight=".5pt">
                <v:path arrowok="t"/>
                <v:textbox inset="0,,0">
                  <w:txbxContent>
                    <w:p w:rsidR="00DA0337" w:rsidRPr="00F81F11" w:rsidRDefault="00DA0337" w:rsidP="000765E8">
                      <w:pPr>
                        <w:spacing w:line="460" w:lineRule="exact"/>
                        <w:jc w:val="right"/>
                        <w:rPr>
                          <w:b/>
                          <w:bCs/>
                          <w:color w:val="FFFFFF" w:themeColor="background1"/>
                          <w:sz w:val="40"/>
                          <w:szCs w:val="40"/>
                        </w:rPr>
                      </w:pPr>
                      <w:r>
                        <w:rPr>
                          <w:b/>
                          <w:bCs/>
                          <w:color w:val="CDEEF1"/>
                          <w:sz w:val="40"/>
                          <w:szCs w:val="40"/>
                        </w:rPr>
                        <w:t>Όμιλος ΕΤΕ</w:t>
                      </w:r>
                    </w:p>
                    <w:p w:rsidR="00DA0337" w:rsidRPr="00F81F11" w:rsidRDefault="00DA0337" w:rsidP="000765E8">
                      <w:pPr>
                        <w:spacing w:line="460" w:lineRule="exact"/>
                        <w:jc w:val="right"/>
                        <w:rPr>
                          <w:b/>
                          <w:bCs/>
                          <w:color w:val="FFFFFF" w:themeColor="background1"/>
                          <w:sz w:val="44"/>
                          <w:szCs w:val="44"/>
                        </w:rPr>
                      </w:pPr>
                      <w:r>
                        <w:rPr>
                          <w:b/>
                          <w:bCs/>
                          <w:color w:val="FFFFFF" w:themeColor="background1"/>
                          <w:sz w:val="36"/>
                          <w:szCs w:val="36"/>
                        </w:rPr>
                        <w:t>Αποτελέσματα Β’ τριμήνου 20</w:t>
                      </w:r>
                      <w:r w:rsidRPr="002607A2">
                        <w:rPr>
                          <w:b/>
                          <w:bCs/>
                          <w:color w:val="FFFFFF" w:themeColor="background1"/>
                          <w:sz w:val="36"/>
                          <w:szCs w:val="36"/>
                        </w:rPr>
                        <w:t>2</w:t>
                      </w:r>
                      <w:r>
                        <w:rPr>
                          <w:b/>
                          <w:bCs/>
                          <w:color w:val="FFFFFF" w:themeColor="background1"/>
                          <w:sz w:val="36"/>
                          <w:szCs w:val="36"/>
                        </w:rPr>
                        <w:t xml:space="preserve">1 </w:t>
                      </w:r>
                    </w:p>
                  </w:txbxContent>
                </v:textbox>
              </v:shape>
            </w:pict>
          </mc:Fallback>
        </mc:AlternateContent>
      </w:r>
      <w:r w:rsidR="009F7797">
        <w:rPr>
          <w:rFonts w:ascii="Segoe UI" w:hAnsi="Segoe UI" w:cs="Segoe UI"/>
          <w:noProof/>
          <w:color w:val="646464"/>
          <w:lang w:eastAsia="el-GR"/>
        </w:rPr>
        <mc:AlternateContent>
          <mc:Choice Requires="wps">
            <w:drawing>
              <wp:anchor distT="0" distB="0" distL="114300" distR="114300" simplePos="0" relativeHeight="251651584" behindDoc="0" locked="0" layoutInCell="1" allowOverlap="1" wp14:anchorId="2E763CBD" wp14:editId="0904DB6E">
                <wp:simplePos x="0" y="0"/>
                <wp:positionH relativeFrom="column">
                  <wp:posOffset>1591310</wp:posOffset>
                </wp:positionH>
                <wp:positionV relativeFrom="page">
                  <wp:posOffset>912656</wp:posOffset>
                </wp:positionV>
                <wp:extent cx="3957320" cy="483870"/>
                <wp:effectExtent l="0" t="0" r="0" b="0"/>
                <wp:wrapNone/>
                <wp:docPr id="1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7320" cy="483870"/>
                        </a:xfrm>
                        <a:prstGeom prst="rect">
                          <a:avLst/>
                        </a:prstGeom>
                        <a:noFill/>
                        <a:ln w="6350">
                          <a:noFill/>
                        </a:ln>
                      </wps:spPr>
                      <wps:txbx>
                        <w:txbxContent>
                          <w:p w:rsidR="00DA0337" w:rsidRPr="00F81F11" w:rsidRDefault="00DA0337" w:rsidP="008E0A91">
                            <w:pPr>
                              <w:rPr>
                                <w:rFonts w:ascii="Calibri" w:hAnsi="Calibri"/>
                                <w:color w:val="00AFC3"/>
                                <w:sz w:val="52"/>
                                <w:szCs w:val="52"/>
                              </w:rPr>
                            </w:pPr>
                            <w:r>
                              <w:rPr>
                                <w:rFonts w:ascii="Calibri" w:hAnsi="Calibri"/>
                                <w:b/>
                                <w:color w:val="00AFC3"/>
                                <w:sz w:val="52"/>
                                <w:szCs w:val="52"/>
                              </w:rPr>
                              <w:t>ΔΕΛΤΙΟ ΤΥΠΟΥ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63CBD" id="Text Box 60" o:spid="_x0000_s1027" type="#_x0000_t202" style="position:absolute;left:0;text-align:left;margin-left:125.3pt;margin-top:71.85pt;width:311.6pt;height:3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" filled="f" stroked="f" strokeweight=".5pt">
                <v:path arrowok="t"/>
                <v:textbox>
                  <w:txbxContent>
                    <w:p w:rsidR="00DA0337" w:rsidRPr="00F81F11" w:rsidRDefault="00DA0337" w:rsidP="008E0A91">
                      <w:pPr>
                        <w:rPr>
                          <w:rFonts w:ascii="Calibri" w:hAnsi="Calibri"/>
                          <w:color w:val="00AFC3"/>
                          <w:sz w:val="52"/>
                          <w:szCs w:val="52"/>
                        </w:rPr>
                      </w:pPr>
                      <w:r>
                        <w:rPr>
                          <w:rFonts w:ascii="Calibri" w:hAnsi="Calibri"/>
                          <w:b/>
                          <w:color w:val="00AFC3"/>
                          <w:sz w:val="52"/>
                          <w:szCs w:val="52"/>
                        </w:rPr>
                        <w:t>ΔΕΛΤΙΟ ΤΥΠΟΥ</w:t>
                      </w:r>
                    </w:p>
                  </w:txbxContent>
                </v:textbox>
                <w10:wrap anchory="page"/>
              </v:shape>
            </w:pict>
          </mc:Fallback>
        </mc:AlternateContent>
      </w:r>
    </w:p>
    <w:p w:rsidR="000765E8" w:rsidRPr="00EE40A0" w:rsidRDefault="00A64FAF" w:rsidP="000765E8">
      <w:pPr>
        <w:pStyle w:val="body"/>
        <w:rPr>
          <w:rFonts w:ascii="Segoe UI" w:hAnsi="Segoe UI" w:cs="Segoe UI"/>
          <w:lang w:val="en-US"/>
        </w:rPr>
      </w:pPr>
      <w:r>
        <w:rPr>
          <w:rFonts w:ascii="Segoe UI" w:hAnsi="Segoe UI" w:cs="Segoe UI"/>
          <w:noProof/>
          <w:lang w:eastAsia="el-GR"/>
        </w:rPr>
        <mc:AlternateContent>
          <mc:Choice Requires="wps">
            <w:drawing>
              <wp:anchor distT="0" distB="0" distL="114300" distR="114300" simplePos="0" relativeHeight="251649536" behindDoc="0" locked="0" layoutInCell="1" allowOverlap="1" wp14:anchorId="4ACC8F94" wp14:editId="24ACEC25">
                <wp:simplePos x="0" y="0"/>
                <wp:positionH relativeFrom="column">
                  <wp:posOffset>1684831</wp:posOffset>
                </wp:positionH>
                <wp:positionV relativeFrom="paragraph">
                  <wp:posOffset>171868</wp:posOffset>
                </wp:positionV>
                <wp:extent cx="3673457" cy="1062396"/>
                <wp:effectExtent l="0" t="0" r="381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3457" cy="1062396"/>
                        </a:xfrm>
                        <a:prstGeom prst="rect">
                          <a:avLst/>
                        </a:prstGeom>
                        <a:noFill/>
                        <a:ln w="6350">
                          <a:noFill/>
                        </a:ln>
                      </wps:spPr>
                      <wps:txbx>
                        <w:txbxContent>
                          <w:p w:rsidR="00DA0337" w:rsidRPr="003F6C10" w:rsidRDefault="00DA0337" w:rsidP="008E0A91">
                            <w:pPr>
                              <w:rPr>
                                <w:color w:val="007180"/>
                                <w:sz w:val="26"/>
                                <w:szCs w:val="26"/>
                              </w:rPr>
                            </w:pPr>
                            <w:r w:rsidRPr="003F6C10">
                              <w:rPr>
                                <w:color w:val="007180"/>
                                <w:sz w:val="26"/>
                                <w:szCs w:val="26"/>
                                <w:lang w:val="en-US"/>
                              </w:rPr>
                              <w:t>A</w:t>
                            </w:r>
                            <w:r w:rsidRPr="003F6C10">
                              <w:rPr>
                                <w:color w:val="007180"/>
                                <w:sz w:val="26"/>
                                <w:szCs w:val="26"/>
                              </w:rPr>
                              <w:t xml:space="preserve">’ εξάμηνο 2021: </w:t>
                            </w:r>
                            <w:r>
                              <w:rPr>
                                <w:color w:val="007180"/>
                                <w:sz w:val="26"/>
                                <w:szCs w:val="26"/>
                              </w:rPr>
                              <w:t>Κ</w:t>
                            </w:r>
                            <w:r w:rsidRPr="003F6C10">
                              <w:rPr>
                                <w:color w:val="007180"/>
                                <w:sz w:val="26"/>
                                <w:szCs w:val="26"/>
                              </w:rPr>
                              <w:t xml:space="preserve">έρδη μετά από φόρους από συνεχιζόμενες δραστηριότητες </w:t>
                            </w:r>
                            <w:r>
                              <w:rPr>
                                <w:color w:val="007180"/>
                                <w:sz w:val="26"/>
                                <w:szCs w:val="26"/>
                              </w:rPr>
                              <w:t>ύψους</w:t>
                            </w:r>
                            <w:r w:rsidRPr="003F6C10">
                              <w:rPr>
                                <w:color w:val="007180"/>
                                <w:sz w:val="26"/>
                                <w:szCs w:val="26"/>
                              </w:rPr>
                              <w:t xml:space="preserve"> €62</w:t>
                            </w:r>
                            <w:r w:rsidRPr="0059052F">
                              <w:rPr>
                                <w:color w:val="007180"/>
                                <w:sz w:val="26"/>
                                <w:szCs w:val="26"/>
                              </w:rPr>
                              <w:t>2</w:t>
                            </w:r>
                            <w:r w:rsidRPr="003F6C10">
                              <w:rPr>
                                <w:color w:val="007180"/>
                                <w:sz w:val="26"/>
                                <w:szCs w:val="26"/>
                              </w:rPr>
                              <w:t xml:space="preserve"> εκατ., ενισχυμένα κατά 34% σε ετήσια βάση, με τα οργανικά κέρδη</w:t>
                            </w:r>
                            <w:r w:rsidRPr="00950743">
                              <w:rPr>
                                <w:color w:val="007180"/>
                                <w:sz w:val="26"/>
                                <w:szCs w:val="26"/>
                                <w:vertAlign w:val="superscript"/>
                              </w:rPr>
                              <w:t>1</w:t>
                            </w:r>
                            <w:r w:rsidRPr="003F6C10">
                              <w:rPr>
                                <w:color w:val="007180"/>
                                <w:sz w:val="26"/>
                                <w:szCs w:val="26"/>
                              </w:rPr>
                              <w:t xml:space="preserve"> στα €208 εκατ. (+58% σε ετήσια βάση)</w:t>
                            </w:r>
                          </w:p>
                          <w:p w:rsidR="00DA0337" w:rsidRPr="003F6C10" w:rsidRDefault="00DA0337" w:rsidP="008E0A91">
                            <w:pPr>
                              <w:rPr>
                                <w:color w:val="007180"/>
                                <w:sz w:val="26"/>
                                <w:szCs w:val="26"/>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Pr="00D63B45" w:rsidRDefault="00DA0337" w:rsidP="008E0A91">
                            <w:pPr>
                              <w:rPr>
                                <w:color w:val="007180"/>
                                <w:sz w:val="34"/>
                                <w:szCs w:val="34"/>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C8F94" id="Text Box 2" o:spid="_x0000_s1028" type="#_x0000_t202" style="position:absolute;left:0;text-align:left;margin-left:132.65pt;margin-top:13.55pt;width:289.25pt;height:83.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" filled="f" stroked="f" strokeweight=".5pt">
                <v:path arrowok="t"/>
                <v:textbox inset="0,,0">
                  <w:txbxContent>
                    <w:p w:rsidR="00DA0337" w:rsidRPr="003F6C10" w:rsidRDefault="00DA0337" w:rsidP="008E0A91">
                      <w:pPr>
                        <w:rPr>
                          <w:color w:val="007180"/>
                          <w:sz w:val="26"/>
                          <w:szCs w:val="26"/>
                        </w:rPr>
                      </w:pPr>
                      <w:r w:rsidRPr="003F6C10">
                        <w:rPr>
                          <w:color w:val="007180"/>
                          <w:sz w:val="26"/>
                          <w:szCs w:val="26"/>
                          <w:lang w:val="en-US"/>
                        </w:rPr>
                        <w:t>A</w:t>
                      </w:r>
                      <w:r w:rsidRPr="003F6C10">
                        <w:rPr>
                          <w:color w:val="007180"/>
                          <w:sz w:val="26"/>
                          <w:szCs w:val="26"/>
                        </w:rPr>
                        <w:t xml:space="preserve">’ εξάμηνο 2021: </w:t>
                      </w:r>
                      <w:r>
                        <w:rPr>
                          <w:color w:val="007180"/>
                          <w:sz w:val="26"/>
                          <w:szCs w:val="26"/>
                        </w:rPr>
                        <w:t>Κ</w:t>
                      </w:r>
                      <w:r w:rsidRPr="003F6C10">
                        <w:rPr>
                          <w:color w:val="007180"/>
                          <w:sz w:val="26"/>
                          <w:szCs w:val="26"/>
                        </w:rPr>
                        <w:t xml:space="preserve">έρδη μετά από φόρους από συνεχιζόμενες δραστηριότητες </w:t>
                      </w:r>
                      <w:r>
                        <w:rPr>
                          <w:color w:val="007180"/>
                          <w:sz w:val="26"/>
                          <w:szCs w:val="26"/>
                        </w:rPr>
                        <w:t>ύψους</w:t>
                      </w:r>
                      <w:r w:rsidRPr="003F6C10">
                        <w:rPr>
                          <w:color w:val="007180"/>
                          <w:sz w:val="26"/>
                          <w:szCs w:val="26"/>
                        </w:rPr>
                        <w:t xml:space="preserve"> €62</w:t>
                      </w:r>
                      <w:r w:rsidRPr="0059052F">
                        <w:rPr>
                          <w:color w:val="007180"/>
                          <w:sz w:val="26"/>
                          <w:szCs w:val="26"/>
                        </w:rPr>
                        <w:t>2</w:t>
                      </w:r>
                      <w:r w:rsidRPr="003F6C10">
                        <w:rPr>
                          <w:color w:val="007180"/>
                          <w:sz w:val="26"/>
                          <w:szCs w:val="26"/>
                        </w:rPr>
                        <w:t xml:space="preserve"> εκατ., ενισχυμένα κατά 34% σε ετήσια βάση, με τα οργανικά κέρδη</w:t>
                      </w:r>
                      <w:r w:rsidRPr="00950743">
                        <w:rPr>
                          <w:color w:val="007180"/>
                          <w:sz w:val="26"/>
                          <w:szCs w:val="26"/>
                          <w:vertAlign w:val="superscript"/>
                        </w:rPr>
                        <w:t>1</w:t>
                      </w:r>
                      <w:r w:rsidRPr="003F6C10">
                        <w:rPr>
                          <w:color w:val="007180"/>
                          <w:sz w:val="26"/>
                          <w:szCs w:val="26"/>
                        </w:rPr>
                        <w:t xml:space="preserve"> στα €208 εκατ. (+58% σε ετήσια βάση)</w:t>
                      </w:r>
                    </w:p>
                    <w:p w:rsidR="00DA0337" w:rsidRPr="003F6C10" w:rsidRDefault="00DA0337" w:rsidP="008E0A91">
                      <w:pPr>
                        <w:rPr>
                          <w:color w:val="007180"/>
                          <w:sz w:val="26"/>
                          <w:szCs w:val="26"/>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Default="00DA0337" w:rsidP="008E0A91">
                      <w:pPr>
                        <w:rPr>
                          <w:color w:val="007180"/>
                          <w:sz w:val="34"/>
                          <w:szCs w:val="34"/>
                        </w:rPr>
                      </w:pPr>
                    </w:p>
                    <w:p w:rsidR="00DA0337" w:rsidRPr="00D63B45" w:rsidRDefault="00DA0337" w:rsidP="008E0A91">
                      <w:pPr>
                        <w:rPr>
                          <w:color w:val="007180"/>
                          <w:sz w:val="34"/>
                          <w:szCs w:val="34"/>
                        </w:rPr>
                      </w:pPr>
                    </w:p>
                  </w:txbxContent>
                </v:textbox>
              </v:shape>
            </w:pict>
          </mc:Fallback>
        </mc:AlternateContent>
      </w:r>
    </w:p>
    <w:p w:rsidR="000765E8" w:rsidRPr="00EE40A0" w:rsidRDefault="000765E8" w:rsidP="000765E8">
      <w:pPr>
        <w:pStyle w:val="body"/>
        <w:rPr>
          <w:rFonts w:ascii="Segoe UI" w:hAnsi="Segoe UI" w:cs="Segoe UI"/>
          <w:lang w:val="en-US"/>
        </w:rPr>
      </w:pPr>
    </w:p>
    <w:p w:rsidR="000765E8" w:rsidRPr="00EE40A0" w:rsidRDefault="000765E8" w:rsidP="000765E8">
      <w:pPr>
        <w:pStyle w:val="body"/>
        <w:rPr>
          <w:rFonts w:ascii="Segoe UI" w:hAnsi="Segoe UI" w:cs="Segoe UI"/>
          <w:lang w:val="en-US"/>
        </w:rPr>
      </w:pPr>
    </w:p>
    <w:p w:rsidR="000765E8" w:rsidRPr="00EE40A0" w:rsidRDefault="009F7797" w:rsidP="000765E8">
      <w:pPr>
        <w:pStyle w:val="body"/>
        <w:rPr>
          <w:rFonts w:ascii="Segoe UI" w:hAnsi="Segoe UI" w:cs="Segoe UI"/>
          <w:lang w:val="en-US"/>
        </w:rPr>
      </w:pPr>
      <w:r>
        <w:rPr>
          <w:rFonts w:ascii="Segoe UI" w:hAnsi="Segoe UI" w:cs="Segoe UI"/>
          <w:noProof/>
          <w:lang w:eastAsia="el-GR"/>
        </w:rPr>
        <mc:AlternateContent>
          <mc:Choice Requires="wps">
            <w:drawing>
              <wp:anchor distT="0" distB="0" distL="114300" distR="114300" simplePos="0" relativeHeight="251644416" behindDoc="0" locked="0" layoutInCell="1" allowOverlap="1">
                <wp:simplePos x="0" y="0"/>
                <wp:positionH relativeFrom="column">
                  <wp:posOffset>128270</wp:posOffset>
                </wp:positionH>
                <wp:positionV relativeFrom="paragraph">
                  <wp:posOffset>30006</wp:posOffset>
                </wp:positionV>
                <wp:extent cx="1408430" cy="445135"/>
                <wp:effectExtent l="0" t="0" r="1270" b="0"/>
                <wp:wrapNone/>
                <wp:docPr id="1878171023" name="Rectangle 18781710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8430" cy="445135"/>
                        </a:xfrm>
                        <a:prstGeom prst="rect">
                          <a:avLst/>
                        </a:prstGeom>
                        <a:solidFill>
                          <a:srgbClr val="FFC0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509478" id="Rectangle 1878171023" o:spid="_x0000_s1026" style="position:absolute;margin-left:10.1pt;margin-top:2.35pt;width:110.9pt;height:35.0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" fillcolor="#ffc001" stroked="f" strokeweight="1pt">
                <v:path arrowok="t"/>
              </v:rect>
            </w:pict>
          </mc:Fallback>
        </mc:AlternateContent>
      </w:r>
    </w:p>
    <w:p w:rsidR="000765E8" w:rsidRPr="00EE40A0" w:rsidRDefault="000765E8" w:rsidP="000765E8">
      <w:pPr>
        <w:pStyle w:val="body"/>
        <w:rPr>
          <w:rFonts w:ascii="Segoe UI" w:hAnsi="Segoe UI" w:cs="Segoe UI"/>
          <w:lang w:val="en-US"/>
        </w:rPr>
      </w:pPr>
    </w:p>
    <w:p w:rsidR="000765E8" w:rsidRPr="00B721F7" w:rsidRDefault="000765E8" w:rsidP="000765E8">
      <w:pPr>
        <w:pStyle w:val="body"/>
        <w:rPr>
          <w:rFonts w:ascii="Segoe UI" w:hAnsi="Segoe UI" w:cs="Segoe UI"/>
          <w:sz w:val="2"/>
          <w:szCs w:val="6"/>
          <w:lang w:val="en-US"/>
        </w:rPr>
      </w:pPr>
    </w:p>
    <w:p w:rsidR="0061399D" w:rsidRDefault="009F7797" w:rsidP="00D11BCD">
      <w:pPr>
        <w:pStyle w:val="body"/>
        <w:rPr>
          <w:rFonts w:ascii="Segoe UI" w:hAnsi="Segoe UI" w:cs="Segoe UI"/>
        </w:rPr>
      </w:pPr>
      <w:r>
        <w:rPr>
          <w:rFonts w:ascii="Segoe UI" w:hAnsi="Segoe UI" w:cs="Segoe UI"/>
          <w:noProof/>
          <w:lang w:eastAsia="el-GR"/>
        </w:rPr>
        <mc:AlternateContent>
          <mc:Choice Requires="wps">
            <w:drawing>
              <wp:inline distT="0" distB="0" distL="0" distR="0">
                <wp:extent cx="6471920" cy="7505480"/>
                <wp:effectExtent l="0" t="0" r="5080" b="635"/>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920" cy="7505480"/>
                        </a:xfrm>
                        <a:prstGeom prst="rect">
                          <a:avLst/>
                        </a:prstGeom>
                        <a:solidFill>
                          <a:srgbClr val="F1F1F1">
                            <a:alpha val="89803"/>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0337" w:rsidRPr="00834F3F" w:rsidRDefault="00DA0337" w:rsidP="007573A7">
                            <w:pPr>
                              <w:numPr>
                                <w:ilvl w:val="0"/>
                                <w:numId w:val="6"/>
                              </w:numPr>
                              <w:spacing w:before="120"/>
                              <w:rPr>
                                <w:rFonts w:ascii="Segoe UI" w:hAnsi="Segoe UI" w:cs="Segoe UI"/>
                                <w:b/>
                                <w:sz w:val="16"/>
                                <w:szCs w:val="15"/>
                              </w:rPr>
                            </w:pPr>
                            <w:r w:rsidRPr="00834F3F">
                              <w:rPr>
                                <w:rFonts w:ascii="Segoe UI" w:hAnsi="Segoe UI" w:cs="Segoe UI"/>
                                <w:b/>
                                <w:sz w:val="16"/>
                                <w:szCs w:val="15"/>
                              </w:rPr>
                              <w:t>Τα κέρδη μετά από φόρους από συνεχιζόμενες δραστηριότητες σε επίπεδο Ομίλου ανήλθαν σε €62</w:t>
                            </w:r>
                            <w:r w:rsidRPr="0059052F">
                              <w:rPr>
                                <w:rFonts w:ascii="Segoe UI" w:hAnsi="Segoe UI" w:cs="Segoe UI"/>
                                <w:b/>
                                <w:sz w:val="16"/>
                                <w:szCs w:val="15"/>
                              </w:rPr>
                              <w:t>2</w:t>
                            </w:r>
                            <w:r w:rsidRPr="00834F3F">
                              <w:rPr>
                                <w:rFonts w:ascii="Segoe UI" w:hAnsi="Segoe UI" w:cs="Segoe UI"/>
                                <w:b/>
                                <w:sz w:val="16"/>
                                <w:szCs w:val="15"/>
                              </w:rPr>
                              <w:t xml:space="preserve"> εκατ. το Α’ εξάμηνο 2021, σημειώνοντας αύξηση κατά 34% σε ετήσια βάση </w:t>
                            </w:r>
                          </w:p>
                          <w:p w:rsidR="00DA0337" w:rsidRPr="008351A0" w:rsidRDefault="00DA0337" w:rsidP="00EC26E8">
                            <w:pPr>
                              <w:numPr>
                                <w:ilvl w:val="1"/>
                                <w:numId w:val="6"/>
                              </w:numPr>
                              <w:spacing w:before="80"/>
                              <w:rPr>
                                <w:rFonts w:ascii="Segoe UI" w:hAnsi="Segoe UI" w:cs="Segoe UI"/>
                                <w:sz w:val="16"/>
                                <w:szCs w:val="15"/>
                              </w:rPr>
                            </w:pPr>
                            <w:r w:rsidRPr="008351A0">
                              <w:rPr>
                                <w:rFonts w:ascii="Segoe UI" w:hAnsi="Segoe UI" w:cs="Segoe UI"/>
                                <w:sz w:val="16"/>
                                <w:szCs w:val="15"/>
                              </w:rPr>
                              <w:t>Τα καθαρά έσοδα από τόκους αυξήθηκαν κατά 7% σε ετήσια βάση, σε €591 εκατ</w:t>
                            </w:r>
                            <w:r>
                              <w:rPr>
                                <w:rFonts w:ascii="Segoe UI" w:hAnsi="Segoe UI" w:cs="Segoe UI"/>
                                <w:sz w:val="16"/>
                                <w:szCs w:val="15"/>
                              </w:rPr>
                              <w:t>.</w:t>
                            </w:r>
                            <w:r w:rsidRPr="00EC26E8">
                              <w:rPr>
                                <w:rFonts w:ascii="Segoe UI" w:hAnsi="Segoe UI" w:cs="Segoe UI"/>
                                <w:sz w:val="16"/>
                                <w:szCs w:val="15"/>
                              </w:rPr>
                              <w:t xml:space="preserve"> το Α’ εξάμηνο 2021</w:t>
                            </w:r>
                            <w:r w:rsidRPr="008351A0">
                              <w:rPr>
                                <w:rFonts w:ascii="Segoe UI" w:hAnsi="Segoe UI" w:cs="Segoe UI"/>
                                <w:sz w:val="16"/>
                                <w:szCs w:val="15"/>
                              </w:rPr>
                              <w:t xml:space="preserve">, αντανακλώντας το όφελος από την συνεχιζόμενη ανατιμολόγηση των καταθέσεων προθεσμίας </w:t>
                            </w:r>
                            <w:r>
                              <w:rPr>
                                <w:rFonts w:ascii="Segoe UI" w:hAnsi="Segoe UI" w:cs="Segoe UI"/>
                                <w:sz w:val="16"/>
                                <w:szCs w:val="15"/>
                              </w:rPr>
                              <w:t xml:space="preserve">και τη </w:t>
                            </w:r>
                            <w:r w:rsidRPr="008351A0">
                              <w:rPr>
                                <w:rFonts w:ascii="Segoe UI" w:hAnsi="Segoe UI" w:cs="Segoe UI"/>
                                <w:sz w:val="16"/>
                                <w:szCs w:val="15"/>
                              </w:rPr>
                              <w:t xml:space="preserve">συμμετοχή της ΕΤΕ στο Πρόγραμμα Συναλλαγών Μακροχρόνιας Αναχρηματοδότησης (TLTRO III) </w:t>
                            </w:r>
                          </w:p>
                          <w:p w:rsidR="00DA0337" w:rsidRPr="0089283A" w:rsidRDefault="00DA0337" w:rsidP="0089283A">
                            <w:pPr>
                              <w:numPr>
                                <w:ilvl w:val="1"/>
                                <w:numId w:val="6"/>
                              </w:numPr>
                              <w:spacing w:before="80"/>
                              <w:rPr>
                                <w:rFonts w:ascii="Segoe UI" w:hAnsi="Segoe UI" w:cs="Segoe UI"/>
                                <w:sz w:val="16"/>
                                <w:szCs w:val="15"/>
                              </w:rPr>
                            </w:pPr>
                            <w:r w:rsidRPr="0089283A">
                              <w:rPr>
                                <w:rFonts w:ascii="Segoe UI" w:hAnsi="Segoe UI" w:cs="Segoe UI"/>
                                <w:sz w:val="16"/>
                                <w:szCs w:val="15"/>
                              </w:rPr>
                              <w:t xml:space="preserve">Ελλείψει περιοριστικών μέτρων, τα καθαρά έσοδα από προμήθειες ανέκαμψαν το Β’ τρίμηνο 2021 (+4% σε τριμηνιαία βάση), </w:t>
                            </w:r>
                            <w:r>
                              <w:rPr>
                                <w:rFonts w:ascii="Segoe UI" w:hAnsi="Segoe UI" w:cs="Segoe UI"/>
                                <w:sz w:val="16"/>
                                <w:szCs w:val="15"/>
                              </w:rPr>
                              <w:t>οδηγώντας</w:t>
                            </w:r>
                            <w:r w:rsidRPr="0089283A">
                              <w:rPr>
                                <w:rFonts w:ascii="Segoe UI" w:hAnsi="Segoe UI" w:cs="Segoe UI"/>
                                <w:sz w:val="16"/>
                                <w:szCs w:val="15"/>
                              </w:rPr>
                              <w:t xml:space="preserve"> στην αύξηση των καθαρών εσόδων από προμήθειες κατά 10% σε ετήσια βάση</w:t>
                            </w:r>
                            <w:r>
                              <w:rPr>
                                <w:rFonts w:ascii="Segoe UI" w:hAnsi="Segoe UI" w:cs="Segoe UI"/>
                                <w:sz w:val="16"/>
                                <w:szCs w:val="15"/>
                              </w:rPr>
                              <w:t>,</w:t>
                            </w:r>
                            <w:r w:rsidRPr="0089283A">
                              <w:rPr>
                                <w:rFonts w:ascii="Segoe UI" w:hAnsi="Segoe UI" w:cs="Segoe UI"/>
                                <w:sz w:val="16"/>
                                <w:szCs w:val="15"/>
                              </w:rPr>
                              <w:t xml:space="preserve"> σ</w:t>
                            </w:r>
                            <w:r>
                              <w:rPr>
                                <w:rFonts w:ascii="Segoe UI" w:hAnsi="Segoe UI" w:cs="Segoe UI"/>
                                <w:sz w:val="16"/>
                                <w:szCs w:val="15"/>
                              </w:rPr>
                              <w:t>ε</w:t>
                            </w:r>
                            <w:r w:rsidRPr="0089283A">
                              <w:rPr>
                                <w:rFonts w:ascii="Segoe UI" w:hAnsi="Segoe UI" w:cs="Segoe UI"/>
                                <w:sz w:val="16"/>
                                <w:szCs w:val="15"/>
                              </w:rPr>
                              <w:t xml:space="preserve"> €136 εκατ.</w:t>
                            </w:r>
                            <w:r>
                              <w:rPr>
                                <w:rFonts w:ascii="Segoe UI" w:hAnsi="Segoe UI" w:cs="Segoe UI"/>
                                <w:sz w:val="16"/>
                                <w:szCs w:val="15"/>
                              </w:rPr>
                              <w:t xml:space="preserve"> το Α΄ εξάμηνο 2021</w:t>
                            </w:r>
                          </w:p>
                          <w:p w:rsidR="00DA0337" w:rsidRPr="00E47CE3" w:rsidRDefault="00DA0337" w:rsidP="00E47CE3">
                            <w:pPr>
                              <w:numPr>
                                <w:ilvl w:val="1"/>
                                <w:numId w:val="6"/>
                              </w:numPr>
                              <w:spacing w:before="80"/>
                              <w:rPr>
                                <w:rFonts w:ascii="Segoe UI" w:hAnsi="Segoe UI" w:cs="Segoe UI"/>
                                <w:sz w:val="16"/>
                                <w:szCs w:val="15"/>
                              </w:rPr>
                            </w:pPr>
                            <w:r w:rsidRPr="00E47CE3">
                              <w:rPr>
                                <w:rFonts w:ascii="Segoe UI" w:hAnsi="Segoe UI" w:cs="Segoe UI"/>
                                <w:sz w:val="16"/>
                                <w:szCs w:val="15"/>
                              </w:rPr>
                              <w:t>Η σημαντική περιστολή των δαπανών προσωπικού στην Ελλάδα (-15</w:t>
                            </w:r>
                            <w:r>
                              <w:rPr>
                                <w:rFonts w:ascii="Segoe UI" w:hAnsi="Segoe UI" w:cs="Segoe UI"/>
                                <w:sz w:val="16"/>
                                <w:szCs w:val="15"/>
                              </w:rPr>
                              <w:t xml:space="preserve">% σε ετήσια βάση) οδήγησε στη δραστική </w:t>
                            </w:r>
                            <w:r w:rsidRPr="00E47CE3">
                              <w:rPr>
                                <w:rFonts w:ascii="Segoe UI" w:hAnsi="Segoe UI" w:cs="Segoe UI"/>
                                <w:sz w:val="16"/>
                                <w:szCs w:val="15"/>
                              </w:rPr>
                              <w:t>αποκλιμάκωση των λειτουργικών δαπανών κατά 8% σε ετήσια βάση</w:t>
                            </w:r>
                            <w:r>
                              <w:rPr>
                                <w:rFonts w:ascii="Segoe UI" w:hAnsi="Segoe UI" w:cs="Segoe UI"/>
                                <w:sz w:val="16"/>
                                <w:szCs w:val="15"/>
                              </w:rPr>
                              <w:t xml:space="preserve"> το </w:t>
                            </w:r>
                            <w:r w:rsidRPr="00E47CE3">
                              <w:rPr>
                                <w:rFonts w:ascii="Segoe UI" w:hAnsi="Segoe UI" w:cs="Segoe UI"/>
                                <w:sz w:val="16"/>
                                <w:szCs w:val="15"/>
                              </w:rPr>
                              <w:t xml:space="preserve">Α’ εξάμηνο 2021. Ο δείκτης κόστους προς οργανικά έσοδα </w:t>
                            </w:r>
                            <w:r>
                              <w:rPr>
                                <w:rFonts w:ascii="Segoe UI" w:hAnsi="Segoe UI" w:cs="Segoe UI"/>
                                <w:sz w:val="16"/>
                                <w:szCs w:val="15"/>
                              </w:rPr>
                              <w:t xml:space="preserve">στην Ελλάδα </w:t>
                            </w:r>
                            <w:r w:rsidRPr="00E47CE3">
                              <w:rPr>
                                <w:rFonts w:ascii="Segoe UI" w:hAnsi="Segoe UI" w:cs="Segoe UI"/>
                                <w:sz w:val="16"/>
                                <w:szCs w:val="15"/>
                              </w:rPr>
                              <w:t xml:space="preserve">σημείωσε εντυπωσιακή βελτίωση κατά 9 ποσοστιαίες μονάδες σε </w:t>
                            </w:r>
                            <w:r>
                              <w:rPr>
                                <w:rFonts w:ascii="Segoe UI" w:hAnsi="Segoe UI" w:cs="Segoe UI"/>
                                <w:sz w:val="16"/>
                                <w:szCs w:val="15"/>
                              </w:rPr>
                              <w:t>ετήσια βάση</w:t>
                            </w:r>
                            <w:r w:rsidRPr="00E47CE3">
                              <w:rPr>
                                <w:rFonts w:ascii="Segoe UI" w:hAnsi="Segoe UI" w:cs="Segoe UI"/>
                                <w:sz w:val="16"/>
                                <w:szCs w:val="15"/>
                              </w:rPr>
                              <w:t xml:space="preserve"> και διαμορφώθηκε στο 5</w:t>
                            </w:r>
                            <w:r>
                              <w:rPr>
                                <w:rFonts w:ascii="Segoe UI" w:hAnsi="Segoe UI" w:cs="Segoe UI"/>
                                <w:sz w:val="16"/>
                                <w:szCs w:val="15"/>
                              </w:rPr>
                              <w:t>1</w:t>
                            </w:r>
                            <w:r w:rsidRPr="00E47CE3">
                              <w:rPr>
                                <w:rFonts w:ascii="Segoe UI" w:hAnsi="Segoe UI" w:cs="Segoe UI"/>
                                <w:sz w:val="16"/>
                                <w:szCs w:val="15"/>
                              </w:rPr>
                              <w:t>,</w:t>
                            </w:r>
                            <w:r>
                              <w:rPr>
                                <w:rFonts w:ascii="Segoe UI" w:hAnsi="Segoe UI" w:cs="Segoe UI"/>
                                <w:sz w:val="16"/>
                                <w:szCs w:val="15"/>
                              </w:rPr>
                              <w:t>0</w:t>
                            </w:r>
                            <w:r w:rsidRPr="00E47CE3">
                              <w:rPr>
                                <w:rFonts w:ascii="Segoe UI" w:hAnsi="Segoe UI" w:cs="Segoe UI"/>
                                <w:sz w:val="16"/>
                                <w:szCs w:val="15"/>
                              </w:rPr>
                              <w:t xml:space="preserve">% κατά το Α’ </w:t>
                            </w:r>
                            <w:r>
                              <w:rPr>
                                <w:rFonts w:ascii="Segoe UI" w:hAnsi="Segoe UI" w:cs="Segoe UI"/>
                                <w:sz w:val="16"/>
                                <w:szCs w:val="15"/>
                              </w:rPr>
                              <w:t>εξάμηνο</w:t>
                            </w:r>
                            <w:r w:rsidRPr="00E47CE3">
                              <w:rPr>
                                <w:rFonts w:ascii="Segoe UI" w:hAnsi="Segoe UI" w:cs="Segoe UI"/>
                                <w:sz w:val="16"/>
                                <w:szCs w:val="15"/>
                              </w:rPr>
                              <w:t xml:space="preserve"> 2021</w:t>
                            </w:r>
                          </w:p>
                          <w:p w:rsidR="00DA0337" w:rsidRPr="00A63216" w:rsidRDefault="00DA0337" w:rsidP="00FE6F2C">
                            <w:pPr>
                              <w:numPr>
                                <w:ilvl w:val="1"/>
                                <w:numId w:val="6"/>
                              </w:numPr>
                              <w:spacing w:before="80"/>
                              <w:rPr>
                                <w:rFonts w:ascii="Segoe UI" w:hAnsi="Segoe UI" w:cs="Segoe UI"/>
                                <w:sz w:val="16"/>
                                <w:szCs w:val="15"/>
                              </w:rPr>
                            </w:pPr>
                            <w:r w:rsidRPr="00A63216">
                              <w:rPr>
                                <w:rFonts w:ascii="Segoe UI" w:hAnsi="Segoe UI" w:cs="Segoe UI"/>
                                <w:sz w:val="16"/>
                                <w:szCs w:val="15"/>
                              </w:rPr>
                              <w:t>Τα κέρδη από χρηματοοικονομικές πράξεις και λοιπά έσοδα διαμορφώθηκαν σε €4</w:t>
                            </w:r>
                            <w:r>
                              <w:rPr>
                                <w:rFonts w:ascii="Segoe UI" w:hAnsi="Segoe UI" w:cs="Segoe UI"/>
                                <w:sz w:val="16"/>
                                <w:szCs w:val="15"/>
                              </w:rPr>
                              <w:t>49</w:t>
                            </w:r>
                            <w:r w:rsidRPr="00A63216">
                              <w:rPr>
                                <w:rFonts w:ascii="Segoe UI" w:hAnsi="Segoe UI" w:cs="Segoe UI"/>
                                <w:sz w:val="16"/>
                                <w:szCs w:val="15"/>
                              </w:rPr>
                              <w:t xml:space="preserve"> εκατ. το Α’ </w:t>
                            </w:r>
                            <w:r w:rsidRPr="00FE6F2C">
                              <w:rPr>
                                <w:rFonts w:ascii="Segoe UI" w:hAnsi="Segoe UI" w:cs="Segoe UI"/>
                                <w:sz w:val="16"/>
                                <w:szCs w:val="15"/>
                              </w:rPr>
                              <w:t xml:space="preserve">εξάμηνο </w:t>
                            </w:r>
                            <w:r w:rsidRPr="00A63216">
                              <w:rPr>
                                <w:rFonts w:ascii="Segoe UI" w:hAnsi="Segoe UI" w:cs="Segoe UI"/>
                                <w:sz w:val="16"/>
                                <w:szCs w:val="15"/>
                              </w:rPr>
                              <w:t xml:space="preserve">2021, ενσωματώνοντας υψηλά κέρδη σχετιζόμενα με συναλλαγές χρεογράφων (κυρίως </w:t>
                            </w:r>
                            <w:r>
                              <w:rPr>
                                <w:rFonts w:ascii="Segoe UI" w:hAnsi="Segoe UI" w:cs="Segoe UI"/>
                                <w:sz w:val="16"/>
                                <w:szCs w:val="15"/>
                              </w:rPr>
                              <w:t>Ομολόγων Ελληνικού Δημοσίου</w:t>
                            </w:r>
                            <w:r w:rsidRPr="00A63216">
                              <w:rPr>
                                <w:rFonts w:ascii="Segoe UI" w:hAnsi="Segoe UI" w:cs="Segoe UI"/>
                                <w:sz w:val="16"/>
                                <w:szCs w:val="15"/>
                              </w:rPr>
                              <w:t>)</w:t>
                            </w:r>
                          </w:p>
                          <w:p w:rsidR="00DA0337" w:rsidRPr="00510FD8" w:rsidRDefault="00DA0337" w:rsidP="00510FD8">
                            <w:pPr>
                              <w:numPr>
                                <w:ilvl w:val="1"/>
                                <w:numId w:val="6"/>
                              </w:numPr>
                              <w:spacing w:before="80"/>
                              <w:rPr>
                                <w:rFonts w:ascii="Segoe UI" w:hAnsi="Segoe UI" w:cs="Segoe UI"/>
                                <w:sz w:val="16"/>
                                <w:szCs w:val="15"/>
                              </w:rPr>
                            </w:pPr>
                            <w:r w:rsidRPr="00510FD8">
                              <w:rPr>
                                <w:rFonts w:ascii="Segoe UI" w:hAnsi="Segoe UI" w:cs="Segoe UI"/>
                                <w:sz w:val="16"/>
                                <w:szCs w:val="15"/>
                              </w:rPr>
                              <w:t>Προβλέψεις απομείωσης ύψους €7</w:t>
                            </w:r>
                            <w:r>
                              <w:rPr>
                                <w:rFonts w:ascii="Segoe UI" w:hAnsi="Segoe UI" w:cs="Segoe UI"/>
                                <w:sz w:val="16"/>
                                <w:szCs w:val="15"/>
                              </w:rPr>
                              <w:t>0</w:t>
                            </w:r>
                            <w:r w:rsidRPr="00510FD8">
                              <w:rPr>
                                <w:rFonts w:ascii="Segoe UI" w:hAnsi="Segoe UI" w:cs="Segoe UI"/>
                                <w:sz w:val="16"/>
                                <w:szCs w:val="15"/>
                              </w:rPr>
                              <w:t xml:space="preserve"> εκατ. το </w:t>
                            </w:r>
                            <w:r>
                              <w:rPr>
                                <w:rFonts w:ascii="Segoe UI" w:hAnsi="Segoe UI" w:cs="Segoe UI"/>
                                <w:sz w:val="16"/>
                                <w:szCs w:val="15"/>
                              </w:rPr>
                              <w:t xml:space="preserve">Β’ τρίμηνο 2021 και €147 εκατ. </w:t>
                            </w:r>
                            <w:r w:rsidRPr="00510FD8">
                              <w:rPr>
                                <w:rFonts w:ascii="Segoe UI" w:hAnsi="Segoe UI" w:cs="Segoe UI"/>
                                <w:sz w:val="16"/>
                                <w:szCs w:val="15"/>
                              </w:rPr>
                              <w:t>το Α’ εξάμηνο 2021</w:t>
                            </w:r>
                            <w:r>
                              <w:rPr>
                                <w:rFonts w:ascii="Segoe UI" w:hAnsi="Segoe UI" w:cs="Segoe UI"/>
                                <w:sz w:val="16"/>
                                <w:szCs w:val="15"/>
                              </w:rPr>
                              <w:t xml:space="preserve">, </w:t>
                            </w:r>
                            <w:r w:rsidRPr="00510FD8">
                              <w:rPr>
                                <w:rFonts w:ascii="Segoe UI" w:hAnsi="Segoe UI" w:cs="Segoe UI"/>
                                <w:sz w:val="16"/>
                                <w:szCs w:val="15"/>
                              </w:rPr>
                              <w:t>ήτοι 1</w:t>
                            </w:r>
                            <w:r>
                              <w:rPr>
                                <w:rFonts w:ascii="Segoe UI" w:hAnsi="Segoe UI" w:cs="Segoe UI"/>
                                <w:sz w:val="16"/>
                                <w:szCs w:val="15"/>
                              </w:rPr>
                              <w:t>09</w:t>
                            </w:r>
                            <w:r w:rsidRPr="00510FD8">
                              <w:rPr>
                                <w:rFonts w:ascii="Segoe UI" w:hAnsi="Segoe UI" w:cs="Segoe UI"/>
                                <w:sz w:val="16"/>
                                <w:szCs w:val="15"/>
                              </w:rPr>
                              <w:t>μ.β. επί του μέσου όρ</w:t>
                            </w:r>
                            <w:r>
                              <w:rPr>
                                <w:rFonts w:ascii="Segoe UI" w:hAnsi="Segoe UI" w:cs="Segoe UI"/>
                                <w:sz w:val="16"/>
                                <w:szCs w:val="15"/>
                              </w:rPr>
                              <w:t>ου δανείων μετά από προβλέψεις</w:t>
                            </w:r>
                          </w:p>
                          <w:p w:rsidR="00DA0337" w:rsidRPr="00510FD8" w:rsidRDefault="00DA0337" w:rsidP="00142637">
                            <w:pPr>
                              <w:numPr>
                                <w:ilvl w:val="1"/>
                                <w:numId w:val="6"/>
                              </w:numPr>
                              <w:spacing w:before="80"/>
                              <w:rPr>
                                <w:rFonts w:ascii="Segoe UI" w:hAnsi="Segoe UI" w:cs="Segoe UI"/>
                                <w:sz w:val="16"/>
                                <w:szCs w:val="15"/>
                              </w:rPr>
                            </w:pPr>
                            <w:r w:rsidRPr="00510FD8">
                              <w:rPr>
                                <w:rFonts w:ascii="Segoe UI" w:hAnsi="Segoe UI" w:cs="Segoe UI"/>
                                <w:sz w:val="16"/>
                                <w:szCs w:val="15"/>
                              </w:rPr>
                              <w:t>Τα ο</w:t>
                            </w:r>
                            <w:r>
                              <w:rPr>
                                <w:rFonts w:ascii="Segoe UI" w:hAnsi="Segoe UI" w:cs="Segoe UI"/>
                                <w:sz w:val="16"/>
                                <w:szCs w:val="15"/>
                              </w:rPr>
                              <w:t>ργανικά κέρδη</w:t>
                            </w:r>
                            <w:r w:rsidRPr="00357575">
                              <w:rPr>
                                <w:rFonts w:ascii="Segoe UI" w:hAnsi="Segoe UI" w:cs="Segoe UI"/>
                                <w:sz w:val="16"/>
                                <w:szCs w:val="15"/>
                                <w:vertAlign w:val="superscript"/>
                              </w:rPr>
                              <w:t>1</w:t>
                            </w:r>
                            <w:r>
                              <w:rPr>
                                <w:rFonts w:ascii="Segoe UI" w:hAnsi="Segoe UI" w:cs="Segoe UI"/>
                                <w:sz w:val="16"/>
                                <w:szCs w:val="15"/>
                              </w:rPr>
                              <w:t xml:space="preserve"> ενισχύθηκαν κατά 58%</w:t>
                            </w:r>
                            <w:r w:rsidRPr="00510FD8">
                              <w:rPr>
                                <w:rFonts w:ascii="Segoe UI" w:hAnsi="Segoe UI" w:cs="Segoe UI"/>
                                <w:sz w:val="16"/>
                                <w:szCs w:val="15"/>
                              </w:rPr>
                              <w:t xml:space="preserve"> σε ετήσια βάση, σε €</w:t>
                            </w:r>
                            <w:r>
                              <w:rPr>
                                <w:rFonts w:ascii="Segoe UI" w:hAnsi="Segoe UI" w:cs="Segoe UI"/>
                                <w:sz w:val="16"/>
                                <w:szCs w:val="15"/>
                              </w:rPr>
                              <w:t>208</w:t>
                            </w:r>
                            <w:r w:rsidRPr="00510FD8">
                              <w:rPr>
                                <w:rFonts w:ascii="Segoe UI" w:hAnsi="Segoe UI" w:cs="Segoe UI"/>
                                <w:sz w:val="16"/>
                                <w:szCs w:val="15"/>
                              </w:rPr>
                              <w:t xml:space="preserve"> εκατ., </w:t>
                            </w:r>
                            <w:r>
                              <w:rPr>
                                <w:rFonts w:ascii="Segoe UI" w:hAnsi="Segoe UI" w:cs="Segoe UI"/>
                                <w:sz w:val="16"/>
                                <w:szCs w:val="15"/>
                              </w:rPr>
                              <w:t>αντανακλώντας την ανάκαμψη των οργανικών εσόδων και την περαιτέρω βελτιστοποίηση του λειτουργικού κόστους της Τράπεζας</w:t>
                            </w:r>
                          </w:p>
                          <w:p w:rsidR="00DA0337" w:rsidRPr="00B27349" w:rsidRDefault="00DA0337" w:rsidP="007627B4">
                            <w:pPr>
                              <w:spacing w:before="80"/>
                              <w:ind w:left="644"/>
                              <w:rPr>
                                <w:rFonts w:ascii="Segoe UI" w:hAnsi="Segoe UI" w:cs="Segoe UI"/>
                                <w:sz w:val="6"/>
                                <w:szCs w:val="6"/>
                                <w:highlight w:val="yellow"/>
                              </w:rPr>
                            </w:pPr>
                          </w:p>
                          <w:p w:rsidR="00DA0337" w:rsidRPr="00840C16" w:rsidRDefault="00DA0337" w:rsidP="007627B4">
                            <w:pPr>
                              <w:numPr>
                                <w:ilvl w:val="0"/>
                                <w:numId w:val="6"/>
                              </w:numPr>
                              <w:spacing w:before="120"/>
                              <w:rPr>
                                <w:rFonts w:ascii="Segoe UI" w:hAnsi="Segoe UI" w:cs="Segoe UI"/>
                                <w:b/>
                                <w:sz w:val="16"/>
                                <w:szCs w:val="15"/>
                              </w:rPr>
                            </w:pPr>
                            <w:r w:rsidRPr="00840C16">
                              <w:rPr>
                                <w:rFonts w:ascii="Segoe UI" w:hAnsi="Segoe UI" w:cs="Segoe UI"/>
                                <w:b/>
                                <w:sz w:val="16"/>
                                <w:szCs w:val="15"/>
                                <w:lang w:val="en-US"/>
                              </w:rPr>
                              <w:t>T</w:t>
                            </w:r>
                            <w:r w:rsidRPr="00840C16">
                              <w:rPr>
                                <w:rFonts w:ascii="Segoe UI" w:hAnsi="Segoe UI" w:cs="Segoe UI"/>
                                <w:b/>
                                <w:sz w:val="16"/>
                                <w:szCs w:val="15"/>
                              </w:rPr>
                              <w:t>ο υπόλοιπο Μ</w:t>
                            </w:r>
                            <w:r>
                              <w:rPr>
                                <w:rFonts w:ascii="Segoe UI" w:hAnsi="Segoe UI" w:cs="Segoe UI"/>
                                <w:b/>
                                <w:sz w:val="16"/>
                                <w:szCs w:val="15"/>
                              </w:rPr>
                              <w:t xml:space="preserve">η </w:t>
                            </w:r>
                            <w:r w:rsidRPr="00840C16">
                              <w:rPr>
                                <w:rFonts w:ascii="Segoe UI" w:hAnsi="Segoe UI" w:cs="Segoe UI"/>
                                <w:b/>
                                <w:sz w:val="16"/>
                                <w:szCs w:val="15"/>
                              </w:rPr>
                              <w:t>Ε</w:t>
                            </w:r>
                            <w:r>
                              <w:rPr>
                                <w:rFonts w:ascii="Segoe UI" w:hAnsi="Segoe UI" w:cs="Segoe UI"/>
                                <w:b/>
                                <w:sz w:val="16"/>
                                <w:szCs w:val="15"/>
                              </w:rPr>
                              <w:t xml:space="preserve">ξυπηρετούμενων </w:t>
                            </w:r>
                            <w:r w:rsidRPr="00840C16">
                              <w:rPr>
                                <w:rFonts w:ascii="Segoe UI" w:hAnsi="Segoe UI" w:cs="Segoe UI"/>
                                <w:b/>
                                <w:sz w:val="16"/>
                                <w:szCs w:val="15"/>
                              </w:rPr>
                              <w:t>Α</w:t>
                            </w:r>
                            <w:r>
                              <w:rPr>
                                <w:rFonts w:ascii="Segoe UI" w:hAnsi="Segoe UI" w:cs="Segoe UI"/>
                                <w:b/>
                                <w:sz w:val="16"/>
                                <w:szCs w:val="15"/>
                              </w:rPr>
                              <w:t>νοιγμάτων (ΜΕΑ)</w:t>
                            </w:r>
                            <w:r w:rsidRPr="00840C16">
                              <w:rPr>
                                <w:rFonts w:ascii="Segoe UI" w:hAnsi="Segoe UI" w:cs="Segoe UI"/>
                                <w:b/>
                                <w:sz w:val="16"/>
                                <w:szCs w:val="15"/>
                              </w:rPr>
                              <w:t xml:space="preserve"> στην Ελλάδα </w:t>
                            </w:r>
                            <w:r>
                              <w:rPr>
                                <w:rFonts w:ascii="Segoe UI" w:hAnsi="Segoe UI" w:cs="Segoe UI"/>
                                <w:b/>
                                <w:sz w:val="16"/>
                                <w:szCs w:val="15"/>
                              </w:rPr>
                              <w:t>μειώθηκε</w:t>
                            </w:r>
                            <w:r w:rsidRPr="00840C16">
                              <w:rPr>
                                <w:rFonts w:ascii="Segoe UI" w:hAnsi="Segoe UI" w:cs="Segoe UI"/>
                                <w:b/>
                                <w:sz w:val="16"/>
                                <w:szCs w:val="15"/>
                              </w:rPr>
                              <w:t xml:space="preserve"> σε €4</w:t>
                            </w:r>
                            <w:r>
                              <w:rPr>
                                <w:rFonts w:ascii="Segoe UI" w:hAnsi="Segoe UI" w:cs="Segoe UI"/>
                                <w:b/>
                                <w:sz w:val="16"/>
                                <w:szCs w:val="15"/>
                              </w:rPr>
                              <w:t>,0</w:t>
                            </w:r>
                            <w:r w:rsidRPr="00950743">
                              <w:rPr>
                                <w:rFonts w:ascii="Segoe UI" w:hAnsi="Segoe UI" w:cs="Segoe UI"/>
                                <w:b/>
                                <w:sz w:val="16"/>
                                <w:szCs w:val="15"/>
                                <w:vertAlign w:val="superscript"/>
                              </w:rPr>
                              <w:t>2</w:t>
                            </w:r>
                            <w:r w:rsidRPr="00840C16">
                              <w:rPr>
                                <w:rFonts w:ascii="Segoe UI" w:hAnsi="Segoe UI" w:cs="Segoe UI"/>
                                <w:b/>
                                <w:sz w:val="16"/>
                                <w:szCs w:val="15"/>
                              </w:rPr>
                              <w:t xml:space="preserve"> δισ.</w:t>
                            </w:r>
                          </w:p>
                          <w:p w:rsidR="00DA0337" w:rsidRPr="00034E14" w:rsidRDefault="00DA0337" w:rsidP="00A143AF">
                            <w:pPr>
                              <w:pStyle w:val="ListParagraph"/>
                              <w:numPr>
                                <w:ilvl w:val="0"/>
                                <w:numId w:val="7"/>
                              </w:numPr>
                              <w:spacing w:before="100" w:after="0" w:line="240" w:lineRule="auto"/>
                              <w:jc w:val="left"/>
                              <w:rPr>
                                <w:rFonts w:ascii="Segoe UI" w:hAnsi="Segoe UI" w:cs="Segoe UI"/>
                                <w:sz w:val="16"/>
                                <w:szCs w:val="15"/>
                              </w:rPr>
                            </w:pPr>
                            <w:r w:rsidRPr="00034E14">
                              <w:rPr>
                                <w:rFonts w:ascii="Segoe UI" w:hAnsi="Segoe UI" w:cs="Segoe UI"/>
                                <w:sz w:val="16"/>
                                <w:szCs w:val="15"/>
                              </w:rPr>
                              <w:t xml:space="preserve">Στην Ελλάδα, τα ΜΕΑ </w:t>
                            </w:r>
                            <w:r>
                              <w:rPr>
                                <w:rFonts w:ascii="Segoe UI" w:hAnsi="Segoe UI" w:cs="Segoe UI"/>
                                <w:sz w:val="16"/>
                                <w:szCs w:val="15"/>
                              </w:rPr>
                              <w:t xml:space="preserve">διαμορφώθηκαν </w:t>
                            </w:r>
                            <w:r w:rsidRPr="00034E14">
                              <w:rPr>
                                <w:rFonts w:ascii="Segoe UI" w:hAnsi="Segoe UI" w:cs="Segoe UI"/>
                                <w:sz w:val="16"/>
                                <w:szCs w:val="15"/>
                              </w:rPr>
                              <w:t xml:space="preserve">σε €4,0 δισ. </w:t>
                            </w:r>
                            <w:r>
                              <w:rPr>
                                <w:rFonts w:ascii="Segoe UI" w:hAnsi="Segoe UI" w:cs="Segoe UI"/>
                                <w:sz w:val="16"/>
                                <w:szCs w:val="15"/>
                              </w:rPr>
                              <w:t xml:space="preserve">το Β’ τρίμηνο 2021 </w:t>
                            </w:r>
                            <w:r w:rsidRPr="00034E14">
                              <w:rPr>
                                <w:rFonts w:ascii="Segoe UI" w:hAnsi="Segoe UI" w:cs="Segoe UI"/>
                                <w:sz w:val="16"/>
                                <w:szCs w:val="15"/>
                              </w:rPr>
                              <w:t xml:space="preserve">ή €1,4 δισ. </w:t>
                            </w:r>
                            <w:r w:rsidRPr="00A143AF">
                              <w:rPr>
                                <w:rFonts w:ascii="Segoe UI" w:hAnsi="Segoe UI" w:cs="Segoe UI"/>
                                <w:sz w:val="16"/>
                                <w:szCs w:val="15"/>
                              </w:rPr>
                              <w:t>μετά από προβλέψεις</w:t>
                            </w:r>
                            <w:r w:rsidRPr="00034E14">
                              <w:rPr>
                                <w:rFonts w:ascii="Segoe UI" w:hAnsi="Segoe UI" w:cs="Segoe UI"/>
                                <w:sz w:val="16"/>
                                <w:szCs w:val="15"/>
                              </w:rPr>
                              <w:t>, εκ των οποίων τα ρυθμισμένα ΜΕΑ που παρουσιάζουν καθυστέρηση κάτω των 30 ημερών ανέρχονται σε €1,</w:t>
                            </w:r>
                            <w:r>
                              <w:rPr>
                                <w:rFonts w:ascii="Segoe UI" w:hAnsi="Segoe UI" w:cs="Segoe UI"/>
                                <w:sz w:val="16"/>
                                <w:szCs w:val="15"/>
                              </w:rPr>
                              <w:t>4</w:t>
                            </w:r>
                            <w:r w:rsidRPr="00034E14">
                              <w:rPr>
                                <w:rFonts w:ascii="Segoe UI" w:hAnsi="Segoe UI" w:cs="Segoe UI"/>
                                <w:sz w:val="16"/>
                                <w:szCs w:val="15"/>
                              </w:rPr>
                              <w:t xml:space="preserve"> δισ. (</w:t>
                            </w:r>
                            <w:r>
                              <w:rPr>
                                <w:rFonts w:ascii="Segoe UI" w:hAnsi="Segoe UI" w:cs="Segoe UI"/>
                                <w:sz w:val="16"/>
                                <w:szCs w:val="15"/>
                              </w:rPr>
                              <w:t>περίπου 35</w:t>
                            </w:r>
                            <w:r w:rsidRPr="00034E14">
                              <w:rPr>
                                <w:rFonts w:ascii="Segoe UI" w:hAnsi="Segoe UI" w:cs="Segoe UI"/>
                                <w:sz w:val="16"/>
                                <w:szCs w:val="15"/>
                              </w:rPr>
                              <w:t>% του συνόλου)</w:t>
                            </w:r>
                          </w:p>
                          <w:p w:rsidR="00DA0337" w:rsidRDefault="00DA0337" w:rsidP="003F55F6">
                            <w:pPr>
                              <w:pStyle w:val="ListParagraph"/>
                              <w:numPr>
                                <w:ilvl w:val="0"/>
                                <w:numId w:val="7"/>
                              </w:numPr>
                              <w:spacing w:before="100" w:after="0" w:line="240" w:lineRule="auto"/>
                              <w:jc w:val="left"/>
                              <w:rPr>
                                <w:rFonts w:ascii="Segoe UI" w:hAnsi="Segoe UI" w:cs="Segoe UI"/>
                                <w:sz w:val="16"/>
                                <w:szCs w:val="15"/>
                              </w:rPr>
                            </w:pPr>
                            <w:r w:rsidRPr="003F55F6">
                              <w:rPr>
                                <w:rFonts w:ascii="Segoe UI" w:hAnsi="Segoe UI" w:cs="Segoe UI"/>
                                <w:sz w:val="16"/>
                                <w:szCs w:val="15"/>
                              </w:rPr>
                              <w:t xml:space="preserve">Η </w:t>
                            </w:r>
                            <w:r>
                              <w:rPr>
                                <w:rFonts w:ascii="Segoe UI" w:hAnsi="Segoe UI" w:cs="Segoe UI"/>
                                <w:sz w:val="16"/>
                                <w:szCs w:val="15"/>
                              </w:rPr>
                              <w:t xml:space="preserve">οργανική </w:t>
                            </w:r>
                            <w:r w:rsidRPr="003F55F6">
                              <w:rPr>
                                <w:rFonts w:ascii="Segoe UI" w:hAnsi="Segoe UI" w:cs="Segoe UI"/>
                                <w:sz w:val="16"/>
                                <w:szCs w:val="15"/>
                              </w:rPr>
                              <w:t xml:space="preserve">μείωση των ΜΕΑ διατηρήθηκε κατά το </w:t>
                            </w:r>
                            <w:r>
                              <w:rPr>
                                <w:rFonts w:ascii="Segoe UI" w:hAnsi="Segoe UI" w:cs="Segoe UI"/>
                                <w:sz w:val="16"/>
                                <w:szCs w:val="15"/>
                              </w:rPr>
                              <w:t>Β</w:t>
                            </w:r>
                            <w:r w:rsidRPr="003F55F6">
                              <w:rPr>
                                <w:rFonts w:ascii="Segoe UI" w:hAnsi="Segoe UI" w:cs="Segoe UI"/>
                                <w:sz w:val="16"/>
                                <w:szCs w:val="15"/>
                              </w:rPr>
                              <w:t>’ τρίμηνο 2021</w:t>
                            </w:r>
                            <w:r>
                              <w:rPr>
                                <w:rFonts w:ascii="Segoe UI" w:hAnsi="Segoe UI" w:cs="Segoe UI"/>
                                <w:sz w:val="16"/>
                                <w:szCs w:val="15"/>
                              </w:rPr>
                              <w:t xml:space="preserve"> και ανήλθε συνολικά σε €0,2 δισ. το Α’ εξάμηνο 2021 επιβεβαιώνοντας τον στόχο που έχει θέσει η Τράπεζα για σωρευτική μείωση ΜΕΑ ύψους €0,8 δισ. το 2021-2022</w:t>
                            </w:r>
                          </w:p>
                          <w:p w:rsidR="00DA0337" w:rsidRPr="00325112" w:rsidRDefault="00DA0337" w:rsidP="00325112">
                            <w:pPr>
                              <w:pStyle w:val="ListParagraph"/>
                              <w:numPr>
                                <w:ilvl w:val="0"/>
                                <w:numId w:val="7"/>
                              </w:numPr>
                              <w:spacing w:before="100" w:after="0" w:line="240" w:lineRule="auto"/>
                              <w:jc w:val="left"/>
                              <w:rPr>
                                <w:rFonts w:ascii="Segoe UI" w:hAnsi="Segoe UI" w:cs="Segoe UI"/>
                                <w:sz w:val="16"/>
                                <w:szCs w:val="15"/>
                              </w:rPr>
                            </w:pPr>
                            <w:r w:rsidRPr="008A5E2A">
                              <w:rPr>
                                <w:rFonts w:ascii="Segoe UI" w:hAnsi="Segoe UI" w:cs="Segoe UI"/>
                                <w:sz w:val="16"/>
                                <w:szCs w:val="15"/>
                              </w:rPr>
                              <w:t>Ο δείκτης ΜΕΑ στην Ελλάδα διαμορφώθηκε σε 12,8%</w:t>
                            </w:r>
                            <w:r w:rsidRPr="00950743">
                              <w:rPr>
                                <w:rFonts w:ascii="Segoe UI" w:hAnsi="Segoe UI" w:cs="Segoe UI"/>
                                <w:sz w:val="16"/>
                                <w:szCs w:val="15"/>
                                <w:vertAlign w:val="superscript"/>
                              </w:rPr>
                              <w:t>3</w:t>
                            </w:r>
                            <w:r w:rsidRPr="008A5E2A">
                              <w:rPr>
                                <w:rFonts w:ascii="Segoe UI" w:hAnsi="Segoe UI" w:cs="Segoe UI"/>
                                <w:sz w:val="16"/>
                                <w:szCs w:val="15"/>
                              </w:rPr>
                              <w:t xml:space="preserve"> (μείωση κατά 50μ.β. σε τριμηνιαία βάση) και σε 1</w:t>
                            </w:r>
                            <w:r>
                              <w:rPr>
                                <w:rFonts w:ascii="Segoe UI" w:hAnsi="Segoe UI" w:cs="Segoe UI"/>
                                <w:sz w:val="16"/>
                                <w:szCs w:val="15"/>
                              </w:rPr>
                              <w:t>2</w:t>
                            </w:r>
                            <w:r w:rsidRPr="008A5E2A">
                              <w:rPr>
                                <w:rFonts w:ascii="Segoe UI" w:hAnsi="Segoe UI" w:cs="Segoe UI"/>
                                <w:sz w:val="16"/>
                                <w:szCs w:val="15"/>
                              </w:rPr>
                              <w:t>,7%</w:t>
                            </w:r>
                            <w:r w:rsidRPr="00950743">
                              <w:rPr>
                                <w:rFonts w:ascii="Segoe UI" w:hAnsi="Segoe UI" w:cs="Segoe UI"/>
                                <w:sz w:val="16"/>
                                <w:szCs w:val="15"/>
                                <w:vertAlign w:val="superscript"/>
                              </w:rPr>
                              <w:t>3</w:t>
                            </w:r>
                            <w:r w:rsidRPr="008A5E2A">
                              <w:rPr>
                                <w:rFonts w:ascii="Segoe UI" w:hAnsi="Segoe UI" w:cs="Segoe UI"/>
                                <w:sz w:val="16"/>
                                <w:szCs w:val="15"/>
                              </w:rPr>
                              <w:t xml:space="preserve"> σε επίπεδο Ομίλου. Ο</w:t>
                            </w:r>
                            <w:r>
                              <w:rPr>
                                <w:rFonts w:ascii="Segoe UI" w:hAnsi="Segoe UI" w:cs="Segoe UI"/>
                                <w:sz w:val="16"/>
                                <w:szCs w:val="15"/>
                              </w:rPr>
                              <w:t xml:space="preserve"> </w:t>
                            </w:r>
                            <w:r w:rsidRPr="008A5E2A">
                              <w:rPr>
                                <w:rFonts w:ascii="Segoe UI" w:hAnsi="Segoe UI" w:cs="Segoe UI"/>
                                <w:sz w:val="16"/>
                                <w:szCs w:val="15"/>
                              </w:rPr>
                              <w:t xml:space="preserve">δείκτης κάλυψης ΜΕΑ από σωρευμένες προβλέψεις </w:t>
                            </w:r>
                            <w:r>
                              <w:rPr>
                                <w:rFonts w:ascii="Segoe UI" w:hAnsi="Segoe UI" w:cs="Segoe UI"/>
                                <w:sz w:val="16"/>
                                <w:szCs w:val="15"/>
                              </w:rPr>
                              <w:t>ανήλθε σε 66,4% στην Ελλάδα (66</w:t>
                            </w:r>
                            <w:r w:rsidRPr="008A5E2A">
                              <w:rPr>
                                <w:rFonts w:ascii="Segoe UI" w:hAnsi="Segoe UI" w:cs="Segoe UI"/>
                                <w:sz w:val="16"/>
                                <w:szCs w:val="15"/>
                              </w:rPr>
                              <w:t>,8%</w:t>
                            </w:r>
                            <w:r>
                              <w:rPr>
                                <w:rFonts w:ascii="Segoe UI" w:hAnsi="Segoe UI" w:cs="Segoe UI"/>
                                <w:sz w:val="16"/>
                                <w:szCs w:val="15"/>
                              </w:rPr>
                              <w:t xml:space="preserve"> σε επίπεδο Ομίλου), </w:t>
                            </w:r>
                            <w:r w:rsidRPr="00325112">
                              <w:rPr>
                                <w:rFonts w:ascii="Segoe UI" w:hAnsi="Segoe UI" w:cs="Segoe UI"/>
                                <w:sz w:val="16"/>
                                <w:szCs w:val="15"/>
                              </w:rPr>
                              <w:t xml:space="preserve">ενισχυμένος κατά 360μ.β. περίπου </w:t>
                            </w:r>
                            <w:r>
                              <w:rPr>
                                <w:rFonts w:ascii="Segoe UI" w:hAnsi="Segoe UI" w:cs="Segoe UI"/>
                                <w:sz w:val="16"/>
                                <w:szCs w:val="15"/>
                              </w:rPr>
                              <w:t>από την αρχή του έτους</w:t>
                            </w:r>
                            <w:r w:rsidRPr="00325112">
                              <w:rPr>
                                <w:rFonts w:ascii="Segoe UI" w:hAnsi="Segoe UI" w:cs="Segoe UI"/>
                                <w:sz w:val="16"/>
                                <w:szCs w:val="15"/>
                              </w:rPr>
                              <w:t xml:space="preserve"> </w:t>
                            </w:r>
                          </w:p>
                          <w:p w:rsidR="00DA0337" w:rsidRDefault="00DA0337" w:rsidP="000B53B4">
                            <w:pPr>
                              <w:pStyle w:val="ListParagraph"/>
                              <w:numPr>
                                <w:ilvl w:val="0"/>
                                <w:numId w:val="7"/>
                              </w:numPr>
                              <w:spacing w:before="100" w:after="0" w:line="240" w:lineRule="auto"/>
                              <w:jc w:val="left"/>
                              <w:rPr>
                                <w:rFonts w:ascii="Segoe UI" w:hAnsi="Segoe UI" w:cs="Segoe UI"/>
                                <w:sz w:val="16"/>
                                <w:szCs w:val="15"/>
                              </w:rPr>
                            </w:pPr>
                            <w:r w:rsidRPr="000B53B4">
                              <w:rPr>
                                <w:rFonts w:ascii="Segoe UI" w:hAnsi="Segoe UI" w:cs="Segoe UI"/>
                                <w:sz w:val="16"/>
                                <w:szCs w:val="15"/>
                              </w:rPr>
                              <w:t xml:space="preserve">Η κατάσταση πληρωμών των </w:t>
                            </w:r>
                            <w:r w:rsidRPr="00E072DE">
                              <w:rPr>
                                <w:rFonts w:ascii="Segoe UI" w:hAnsi="Segoe UI" w:cs="Segoe UI"/>
                                <w:sz w:val="16"/>
                                <w:szCs w:val="15"/>
                              </w:rPr>
                              <w:t xml:space="preserve">ενήμερων </w:t>
                            </w:r>
                            <w:r w:rsidRPr="000B53B4">
                              <w:rPr>
                                <w:rFonts w:ascii="Segoe UI" w:hAnsi="Segoe UI" w:cs="Segoe UI"/>
                                <w:sz w:val="16"/>
                                <w:szCs w:val="15"/>
                              </w:rPr>
                              <w:t xml:space="preserve">πελατών που είχαν ενταχθεί σε προγράμματα διευκόλυνσης καταβολής οφειλών </w:t>
                            </w:r>
                            <w:r>
                              <w:rPr>
                                <w:rFonts w:ascii="Segoe UI" w:hAnsi="Segoe UI" w:cs="Segoe UI"/>
                                <w:sz w:val="16"/>
                                <w:szCs w:val="15"/>
                              </w:rPr>
                              <w:t>συνεχίζει να ξεπερνά τις προσδοκίες της Τράπεζας</w:t>
                            </w:r>
                            <w:r w:rsidRPr="000B53B4">
                              <w:rPr>
                                <w:rFonts w:ascii="Segoe UI" w:hAnsi="Segoe UI" w:cs="Segoe UI"/>
                                <w:sz w:val="16"/>
                                <w:szCs w:val="15"/>
                              </w:rPr>
                              <w:t xml:space="preserve">, καθώς </w:t>
                            </w:r>
                            <w:r>
                              <w:rPr>
                                <w:rFonts w:ascii="Segoe UI" w:hAnsi="Segoe UI" w:cs="Segoe UI"/>
                                <w:sz w:val="16"/>
                                <w:szCs w:val="15"/>
                              </w:rPr>
                              <w:t>μόνο το 3%</w:t>
                            </w:r>
                            <w:r w:rsidRPr="000B53B4">
                              <w:rPr>
                                <w:rFonts w:ascii="Segoe UI" w:hAnsi="Segoe UI" w:cs="Segoe UI"/>
                                <w:sz w:val="16"/>
                                <w:szCs w:val="15"/>
                              </w:rPr>
                              <w:t xml:space="preserve"> </w:t>
                            </w:r>
                            <w:r>
                              <w:rPr>
                                <w:rFonts w:ascii="Segoe UI" w:hAnsi="Segoe UI" w:cs="Segoe UI"/>
                                <w:sz w:val="16"/>
                                <w:szCs w:val="15"/>
                              </w:rPr>
                              <w:t>βρίσκετ</w:t>
                            </w:r>
                            <w:r w:rsidRPr="000B53B4">
                              <w:rPr>
                                <w:rFonts w:ascii="Segoe UI" w:hAnsi="Segoe UI" w:cs="Segoe UI"/>
                                <w:sz w:val="16"/>
                                <w:szCs w:val="15"/>
                              </w:rPr>
                              <w:t xml:space="preserve">αι σε καθεστώς αθέτησης πληρωμών (άνω των 90 ημερών) </w:t>
                            </w:r>
                            <w:r>
                              <w:rPr>
                                <w:rFonts w:ascii="Segoe UI" w:hAnsi="Segoe UI" w:cs="Segoe UI"/>
                                <w:sz w:val="16"/>
                                <w:szCs w:val="15"/>
                              </w:rPr>
                              <w:t>τον Ιούλιο 2021, ενώ μόλις το 1</w:t>
                            </w:r>
                            <w:r w:rsidRPr="000B53B4">
                              <w:rPr>
                                <w:rFonts w:ascii="Segoe UI" w:hAnsi="Segoe UI" w:cs="Segoe UI"/>
                                <w:sz w:val="16"/>
                                <w:szCs w:val="15"/>
                              </w:rPr>
                              <w:t xml:space="preserve">% παρουσιάζει μικρή καθυστέρηση (άνω των 30 ημερών) </w:t>
                            </w:r>
                          </w:p>
                          <w:p w:rsidR="00DA0337" w:rsidRDefault="00DA0337" w:rsidP="00250B3E">
                            <w:pPr>
                              <w:pStyle w:val="ListParagraph"/>
                              <w:numPr>
                                <w:ilvl w:val="0"/>
                                <w:numId w:val="7"/>
                              </w:numPr>
                              <w:spacing w:before="80" w:after="0" w:line="240" w:lineRule="auto"/>
                              <w:jc w:val="left"/>
                              <w:rPr>
                                <w:rFonts w:ascii="Segoe UI" w:hAnsi="Segoe UI" w:cs="Segoe UI"/>
                                <w:sz w:val="16"/>
                                <w:szCs w:val="15"/>
                              </w:rPr>
                            </w:pPr>
                            <w:r w:rsidRPr="00E072DE">
                              <w:rPr>
                                <w:rFonts w:ascii="Segoe UI" w:hAnsi="Segoe UI" w:cs="Segoe UI"/>
                                <w:sz w:val="16"/>
                                <w:szCs w:val="15"/>
                              </w:rPr>
                              <w:t xml:space="preserve">Το 60% περίπου των ενήμερων πελατών που είχαν ενταχθεί σε προγράμματα διευκόλυνσης καταβολής οφειλών </w:t>
                            </w:r>
                            <w:r>
                              <w:rPr>
                                <w:rFonts w:ascii="Segoe UI" w:hAnsi="Segoe UI" w:cs="Segoe UI"/>
                                <w:sz w:val="16"/>
                                <w:szCs w:val="15"/>
                              </w:rPr>
                              <w:t>είναι χαμηλού ρίσκου και δεν έχουν</w:t>
                            </w:r>
                            <w:r w:rsidRPr="00E072DE">
                              <w:rPr>
                                <w:rFonts w:ascii="Segoe UI" w:hAnsi="Segoe UI" w:cs="Segoe UI"/>
                                <w:sz w:val="16"/>
                                <w:szCs w:val="15"/>
                              </w:rPr>
                              <w:t xml:space="preserve"> </w:t>
                            </w:r>
                            <w:r>
                              <w:rPr>
                                <w:rFonts w:ascii="Segoe UI" w:hAnsi="Segoe UI" w:cs="Segoe UI"/>
                                <w:sz w:val="16"/>
                                <w:szCs w:val="15"/>
                              </w:rPr>
                              <w:t>ζητήσει</w:t>
                            </w:r>
                            <w:r w:rsidRPr="00E072DE">
                              <w:rPr>
                                <w:rFonts w:ascii="Segoe UI" w:hAnsi="Segoe UI" w:cs="Segoe UI"/>
                                <w:sz w:val="16"/>
                                <w:szCs w:val="15"/>
                              </w:rPr>
                              <w:t xml:space="preserve"> περαιτέρω διευκολύνσεις πληρωμών μετά τη λήξη των εν λόγω προγραμμάτων</w:t>
                            </w:r>
                          </w:p>
                          <w:p w:rsidR="00DA0337" w:rsidRPr="00B27349" w:rsidRDefault="00DA0337" w:rsidP="007A2F4A">
                            <w:pPr>
                              <w:spacing w:before="80"/>
                              <w:ind w:left="644"/>
                              <w:rPr>
                                <w:rFonts w:ascii="Segoe UI" w:hAnsi="Segoe UI" w:cs="Segoe UI"/>
                                <w:sz w:val="6"/>
                                <w:szCs w:val="6"/>
                                <w:highlight w:val="yellow"/>
                              </w:rPr>
                            </w:pPr>
                          </w:p>
                          <w:p w:rsidR="00DA0337" w:rsidRPr="003259FE" w:rsidRDefault="00DA0337" w:rsidP="007A2F4A">
                            <w:pPr>
                              <w:numPr>
                                <w:ilvl w:val="0"/>
                                <w:numId w:val="6"/>
                              </w:numPr>
                              <w:spacing w:before="120"/>
                              <w:rPr>
                                <w:rFonts w:ascii="Segoe UI" w:hAnsi="Segoe UI" w:cs="Segoe UI"/>
                                <w:b/>
                                <w:sz w:val="16"/>
                                <w:szCs w:val="15"/>
                              </w:rPr>
                            </w:pPr>
                            <w:r w:rsidRPr="003259FE">
                              <w:rPr>
                                <w:rFonts w:ascii="Segoe UI" w:hAnsi="Segoe UI" w:cs="Segoe UI"/>
                                <w:b/>
                                <w:sz w:val="16"/>
                                <w:szCs w:val="15"/>
                              </w:rPr>
                              <w:t xml:space="preserve">Δείκτης </w:t>
                            </w:r>
                            <w:r w:rsidRPr="003259FE">
                              <w:rPr>
                                <w:rFonts w:ascii="Segoe UI" w:hAnsi="Segoe UI" w:cs="Segoe UI"/>
                                <w:b/>
                                <w:sz w:val="16"/>
                                <w:szCs w:val="15"/>
                                <w:lang w:val="en-US"/>
                              </w:rPr>
                              <w:t>CET</w:t>
                            </w:r>
                            <w:r>
                              <w:rPr>
                                <w:rFonts w:ascii="Segoe UI" w:hAnsi="Segoe UI" w:cs="Segoe UI"/>
                                <w:b/>
                                <w:sz w:val="16"/>
                                <w:szCs w:val="15"/>
                              </w:rPr>
                              <w:t>1 στο 16,0</w:t>
                            </w:r>
                            <w:r w:rsidRPr="003259FE">
                              <w:rPr>
                                <w:rFonts w:ascii="Segoe UI" w:hAnsi="Segoe UI" w:cs="Segoe UI"/>
                                <w:b/>
                                <w:sz w:val="16"/>
                                <w:szCs w:val="15"/>
                              </w:rPr>
                              <w:t>%</w:t>
                            </w:r>
                            <w:r w:rsidRPr="00950743">
                              <w:rPr>
                                <w:rFonts w:ascii="Segoe UI" w:hAnsi="Segoe UI" w:cs="Segoe UI"/>
                                <w:b/>
                                <w:sz w:val="16"/>
                                <w:szCs w:val="15"/>
                                <w:vertAlign w:val="superscript"/>
                              </w:rPr>
                              <w:t>4</w:t>
                            </w:r>
                            <w:r w:rsidRPr="003259FE">
                              <w:rPr>
                                <w:rFonts w:ascii="Segoe UI" w:hAnsi="Segoe UI" w:cs="Segoe UI"/>
                                <w:b/>
                                <w:sz w:val="16"/>
                                <w:szCs w:val="15"/>
                                <w:vertAlign w:val="superscript"/>
                              </w:rPr>
                              <w:t>,</w:t>
                            </w:r>
                            <w:r>
                              <w:rPr>
                                <w:rFonts w:ascii="Segoe UI" w:hAnsi="Segoe UI" w:cs="Segoe UI"/>
                                <w:b/>
                                <w:sz w:val="16"/>
                                <w:szCs w:val="15"/>
                              </w:rPr>
                              <w:t xml:space="preserve">, </w:t>
                            </w:r>
                            <w:r w:rsidRPr="003259FE">
                              <w:rPr>
                                <w:rFonts w:ascii="Segoe UI" w:hAnsi="Segoe UI" w:cs="Segoe UI"/>
                                <w:b/>
                                <w:sz w:val="16"/>
                                <w:szCs w:val="15"/>
                              </w:rPr>
                              <w:t>με το Συνολικό Δείκτη Κεφαλαιακής Επάρκειας να ανέρχεται σε 17,</w:t>
                            </w:r>
                            <w:r w:rsidRPr="00EA3B59">
                              <w:rPr>
                                <w:rFonts w:ascii="Segoe UI" w:hAnsi="Segoe UI" w:cs="Segoe UI"/>
                                <w:b/>
                                <w:sz w:val="16"/>
                                <w:szCs w:val="15"/>
                              </w:rPr>
                              <w:t>0</w:t>
                            </w:r>
                            <w:r w:rsidRPr="003259FE">
                              <w:rPr>
                                <w:rFonts w:ascii="Segoe UI" w:hAnsi="Segoe UI" w:cs="Segoe UI"/>
                                <w:b/>
                                <w:sz w:val="16"/>
                                <w:szCs w:val="15"/>
                              </w:rPr>
                              <w:t>%</w:t>
                            </w:r>
                            <w:r w:rsidRPr="00950743">
                              <w:rPr>
                                <w:rFonts w:ascii="Segoe UI" w:hAnsi="Segoe UI" w:cs="Segoe UI"/>
                                <w:b/>
                                <w:sz w:val="16"/>
                                <w:szCs w:val="15"/>
                                <w:vertAlign w:val="superscript"/>
                              </w:rPr>
                              <w:t>4</w:t>
                            </w:r>
                          </w:p>
                          <w:p w:rsidR="00DA0337" w:rsidRPr="003259FE" w:rsidRDefault="00DA0337" w:rsidP="007A2F4A">
                            <w:pPr>
                              <w:pStyle w:val="ListParagraph"/>
                              <w:numPr>
                                <w:ilvl w:val="0"/>
                                <w:numId w:val="8"/>
                              </w:numPr>
                              <w:spacing w:before="100" w:after="0" w:line="240" w:lineRule="auto"/>
                              <w:jc w:val="left"/>
                              <w:rPr>
                                <w:rFonts w:ascii="Segoe UI" w:hAnsi="Segoe UI" w:cs="Segoe UI"/>
                                <w:sz w:val="16"/>
                                <w:szCs w:val="15"/>
                              </w:rPr>
                            </w:pPr>
                            <w:r>
                              <w:rPr>
                                <w:rFonts w:ascii="Segoe UI" w:hAnsi="Segoe UI" w:cs="Segoe UI"/>
                                <w:sz w:val="16"/>
                                <w:szCs w:val="15"/>
                              </w:rPr>
                              <w:t>Ο δείκτης CET1 ανήλθε σε 16,0</w:t>
                            </w:r>
                            <w:r w:rsidRPr="003259FE">
                              <w:rPr>
                                <w:rFonts w:ascii="Segoe UI" w:hAnsi="Segoe UI" w:cs="Segoe UI"/>
                                <w:sz w:val="16"/>
                                <w:szCs w:val="15"/>
                              </w:rPr>
                              <w:t>%</w:t>
                            </w:r>
                            <w:r w:rsidRPr="00950743">
                              <w:rPr>
                                <w:rFonts w:ascii="Segoe UI" w:hAnsi="Segoe UI" w:cs="Segoe UI"/>
                                <w:sz w:val="16"/>
                                <w:szCs w:val="15"/>
                                <w:vertAlign w:val="superscript"/>
                              </w:rPr>
                              <w:t>4</w:t>
                            </w:r>
                            <w:r w:rsidRPr="003259FE">
                              <w:rPr>
                                <w:rFonts w:ascii="Segoe UI" w:hAnsi="Segoe UI" w:cs="Segoe UI"/>
                                <w:sz w:val="16"/>
                                <w:szCs w:val="15"/>
                              </w:rPr>
                              <w:t xml:space="preserve">, </w:t>
                            </w:r>
                            <w:r>
                              <w:rPr>
                                <w:rFonts w:ascii="Segoe UI" w:hAnsi="Segoe UI" w:cs="Segoe UI"/>
                                <w:sz w:val="16"/>
                                <w:szCs w:val="15"/>
                              </w:rPr>
                              <w:t>ενισχυμένος κατά 30μ.β. περίπου σε σχέση με την αρχή του έτους</w:t>
                            </w:r>
                            <w:r w:rsidRPr="003259FE">
                              <w:rPr>
                                <w:rFonts w:ascii="Segoe UI" w:hAnsi="Segoe UI" w:cs="Segoe UI"/>
                                <w:sz w:val="16"/>
                                <w:szCs w:val="15"/>
                              </w:rPr>
                              <w:t>. Με πλήρη επίδραση του ΔΠΧΑ 9 (</w:t>
                            </w:r>
                            <w:r w:rsidRPr="003259FE">
                              <w:rPr>
                                <w:rFonts w:ascii="Segoe UI" w:hAnsi="Segoe UI" w:cs="Segoe UI"/>
                                <w:sz w:val="16"/>
                                <w:szCs w:val="15"/>
                                <w:lang w:val="en-US"/>
                              </w:rPr>
                              <w:t>fully</w:t>
                            </w:r>
                            <w:r w:rsidRPr="003259FE">
                              <w:rPr>
                                <w:rFonts w:ascii="Segoe UI" w:hAnsi="Segoe UI" w:cs="Segoe UI"/>
                                <w:sz w:val="16"/>
                                <w:szCs w:val="15"/>
                              </w:rPr>
                              <w:t xml:space="preserve"> </w:t>
                            </w:r>
                            <w:r w:rsidRPr="003259FE">
                              <w:rPr>
                                <w:rFonts w:ascii="Segoe UI" w:hAnsi="Segoe UI" w:cs="Segoe UI"/>
                                <w:sz w:val="16"/>
                                <w:szCs w:val="15"/>
                                <w:lang w:val="en-US"/>
                              </w:rPr>
                              <w:t>loaded</w:t>
                            </w:r>
                            <w:r w:rsidRPr="00314CC6">
                              <w:rPr>
                                <w:rFonts w:ascii="Segoe UI" w:hAnsi="Segoe UI" w:cs="Segoe UI"/>
                                <w:sz w:val="16"/>
                                <w:szCs w:val="15"/>
                              </w:rPr>
                              <w:t xml:space="preserve"> - </w:t>
                            </w:r>
                            <w:r>
                              <w:rPr>
                                <w:rFonts w:ascii="Segoe UI" w:hAnsi="Segoe UI" w:cs="Segoe UI"/>
                                <w:sz w:val="16"/>
                                <w:szCs w:val="15"/>
                                <w:lang w:val="en-US"/>
                              </w:rPr>
                              <w:t>FL</w:t>
                            </w:r>
                            <w:r w:rsidRPr="003259FE">
                              <w:rPr>
                                <w:rFonts w:ascii="Segoe UI" w:hAnsi="Segoe UI" w:cs="Segoe UI"/>
                                <w:sz w:val="16"/>
                                <w:szCs w:val="15"/>
                              </w:rPr>
                              <w:t xml:space="preserve">), ο δείκτης </w:t>
                            </w:r>
                            <w:r w:rsidRPr="003259FE">
                              <w:rPr>
                                <w:rFonts w:ascii="Segoe UI" w:hAnsi="Segoe UI" w:cs="Segoe UI"/>
                                <w:sz w:val="16"/>
                                <w:szCs w:val="15"/>
                                <w:lang w:val="en-US"/>
                              </w:rPr>
                              <w:t>CET</w:t>
                            </w:r>
                            <w:r w:rsidRPr="003259FE">
                              <w:rPr>
                                <w:rFonts w:ascii="Segoe UI" w:hAnsi="Segoe UI" w:cs="Segoe UI"/>
                                <w:sz w:val="16"/>
                                <w:szCs w:val="15"/>
                              </w:rPr>
                              <w:t xml:space="preserve">1 </w:t>
                            </w:r>
                            <w:r>
                              <w:rPr>
                                <w:rFonts w:ascii="Segoe UI" w:hAnsi="Segoe UI" w:cs="Segoe UI"/>
                                <w:sz w:val="16"/>
                                <w:szCs w:val="15"/>
                                <w:lang w:val="en-US"/>
                              </w:rPr>
                              <w:t>FL</w:t>
                            </w:r>
                            <w:r w:rsidRPr="00314CC6">
                              <w:rPr>
                                <w:rFonts w:ascii="Segoe UI" w:hAnsi="Segoe UI" w:cs="Segoe UI"/>
                                <w:sz w:val="16"/>
                                <w:szCs w:val="15"/>
                              </w:rPr>
                              <w:t xml:space="preserve"> </w:t>
                            </w:r>
                            <w:r w:rsidRPr="003259FE">
                              <w:rPr>
                                <w:rFonts w:ascii="Segoe UI" w:hAnsi="Segoe UI" w:cs="Segoe UI"/>
                                <w:sz w:val="16"/>
                                <w:szCs w:val="15"/>
                              </w:rPr>
                              <w:t>διαμορφώθηκε σε 1</w:t>
                            </w:r>
                            <w:r w:rsidRPr="00EA3B59">
                              <w:rPr>
                                <w:rFonts w:ascii="Segoe UI" w:hAnsi="Segoe UI" w:cs="Segoe UI"/>
                                <w:sz w:val="16"/>
                                <w:szCs w:val="15"/>
                              </w:rPr>
                              <w:t>3</w:t>
                            </w:r>
                            <w:r w:rsidRPr="003259FE">
                              <w:rPr>
                                <w:rFonts w:ascii="Segoe UI" w:hAnsi="Segoe UI" w:cs="Segoe UI"/>
                                <w:sz w:val="16"/>
                                <w:szCs w:val="15"/>
                              </w:rPr>
                              <w:t>,</w:t>
                            </w:r>
                            <w:r w:rsidRPr="00EA3B59">
                              <w:rPr>
                                <w:rFonts w:ascii="Segoe UI" w:hAnsi="Segoe UI" w:cs="Segoe UI"/>
                                <w:sz w:val="16"/>
                                <w:szCs w:val="15"/>
                              </w:rPr>
                              <w:t>8</w:t>
                            </w:r>
                            <w:r w:rsidRPr="003259FE">
                              <w:rPr>
                                <w:rFonts w:ascii="Segoe UI" w:hAnsi="Segoe UI" w:cs="Segoe UI"/>
                                <w:sz w:val="16"/>
                                <w:szCs w:val="15"/>
                              </w:rPr>
                              <w:t>%</w:t>
                            </w:r>
                            <w:r w:rsidRPr="00950743">
                              <w:rPr>
                                <w:rFonts w:ascii="Segoe UI" w:hAnsi="Segoe UI" w:cs="Segoe UI"/>
                                <w:sz w:val="16"/>
                                <w:szCs w:val="15"/>
                                <w:vertAlign w:val="superscript"/>
                              </w:rPr>
                              <w:t>4</w:t>
                            </w:r>
                            <w:r>
                              <w:rPr>
                                <w:rFonts w:ascii="Segoe UI" w:hAnsi="Segoe UI" w:cs="Segoe UI"/>
                                <w:sz w:val="16"/>
                                <w:szCs w:val="15"/>
                              </w:rPr>
                              <w:t>, αυξημένος κατά 1</w:t>
                            </w:r>
                            <w:r w:rsidRPr="00AE53D1">
                              <w:rPr>
                                <w:rFonts w:ascii="Segoe UI" w:hAnsi="Segoe UI" w:cs="Segoe UI"/>
                                <w:sz w:val="16"/>
                                <w:szCs w:val="15"/>
                              </w:rPr>
                              <w:t>0</w:t>
                            </w:r>
                            <w:r>
                              <w:rPr>
                                <w:rFonts w:ascii="Segoe UI" w:hAnsi="Segoe UI" w:cs="Segoe UI"/>
                                <w:sz w:val="16"/>
                                <w:szCs w:val="15"/>
                              </w:rPr>
                              <w:t>0μ.β. από την αρχή του έτους</w:t>
                            </w:r>
                          </w:p>
                          <w:p w:rsidR="00DA0337" w:rsidRPr="003259FE" w:rsidRDefault="00DA0337" w:rsidP="007A2F4A">
                            <w:pPr>
                              <w:pStyle w:val="ListParagraph"/>
                              <w:numPr>
                                <w:ilvl w:val="0"/>
                                <w:numId w:val="8"/>
                              </w:numPr>
                              <w:spacing w:before="100" w:after="0" w:line="240" w:lineRule="auto"/>
                              <w:jc w:val="left"/>
                              <w:rPr>
                                <w:rFonts w:ascii="Segoe UI" w:hAnsi="Segoe UI" w:cs="Segoe UI"/>
                                <w:sz w:val="16"/>
                                <w:szCs w:val="15"/>
                              </w:rPr>
                            </w:pPr>
                            <w:r w:rsidRPr="003259FE">
                              <w:rPr>
                                <w:rFonts w:ascii="Segoe UI" w:hAnsi="Segoe UI" w:cs="Segoe UI"/>
                                <w:sz w:val="16"/>
                                <w:szCs w:val="15"/>
                              </w:rPr>
                              <w:t>Ο Συνολικός Δείκτης Κεφαλαιακής Επάρκειας ανήλθε σε 17,</w:t>
                            </w:r>
                            <w:r w:rsidRPr="00EA3B59">
                              <w:rPr>
                                <w:rFonts w:ascii="Segoe UI" w:hAnsi="Segoe UI" w:cs="Segoe UI"/>
                                <w:sz w:val="16"/>
                                <w:szCs w:val="15"/>
                              </w:rPr>
                              <w:t>0</w:t>
                            </w:r>
                            <w:r w:rsidRPr="003259FE">
                              <w:rPr>
                                <w:rFonts w:ascii="Segoe UI" w:hAnsi="Segoe UI" w:cs="Segoe UI"/>
                                <w:sz w:val="16"/>
                                <w:szCs w:val="15"/>
                              </w:rPr>
                              <w:t>%</w:t>
                            </w:r>
                            <w:r w:rsidRPr="00950743">
                              <w:rPr>
                                <w:rFonts w:ascii="Segoe UI" w:hAnsi="Segoe UI" w:cs="Segoe UI"/>
                                <w:sz w:val="16"/>
                                <w:szCs w:val="15"/>
                                <w:vertAlign w:val="superscript"/>
                              </w:rPr>
                              <w:t>4</w:t>
                            </w:r>
                            <w:r w:rsidRPr="003259FE">
                              <w:rPr>
                                <w:rFonts w:ascii="Segoe UI" w:hAnsi="Segoe UI" w:cs="Segoe UI"/>
                                <w:sz w:val="16"/>
                                <w:szCs w:val="15"/>
                              </w:rPr>
                              <w:t xml:space="preserve"> και υπερβαίνει τις κεφαλαιακές απαιτήσεις</w:t>
                            </w:r>
                            <w:r w:rsidRPr="003D57D5">
                              <w:rPr>
                                <w:rFonts w:ascii="Segoe UI" w:hAnsi="Segoe UI" w:cs="Segoe UI"/>
                                <w:sz w:val="16"/>
                                <w:szCs w:val="15"/>
                                <w:vertAlign w:val="superscript"/>
                              </w:rPr>
                              <w:t>5</w:t>
                            </w:r>
                            <w:r w:rsidRPr="003259FE">
                              <w:rPr>
                                <w:rFonts w:ascii="Segoe UI" w:hAnsi="Segoe UI" w:cs="Segoe UI"/>
                                <w:sz w:val="16"/>
                                <w:szCs w:val="15"/>
                              </w:rPr>
                              <w:t xml:space="preserve"> για το 2021 κατά </w:t>
                            </w:r>
                            <w:r>
                              <w:rPr>
                                <w:rFonts w:ascii="Segoe UI" w:hAnsi="Segoe UI" w:cs="Segoe UI"/>
                                <w:sz w:val="16"/>
                                <w:szCs w:val="15"/>
                              </w:rPr>
                              <w:t>περίπου</w:t>
                            </w:r>
                            <w:r w:rsidRPr="003259FE">
                              <w:rPr>
                                <w:rFonts w:ascii="Segoe UI" w:hAnsi="Segoe UI" w:cs="Segoe UI"/>
                                <w:sz w:val="16"/>
                                <w:szCs w:val="15"/>
                              </w:rPr>
                              <w:t xml:space="preserve"> 600μ.β. </w:t>
                            </w:r>
                          </w:p>
                          <w:p w:rsidR="00DA0337" w:rsidRDefault="00DA0337" w:rsidP="00C843F9">
                            <w:pPr>
                              <w:pStyle w:val="ListParagraph"/>
                              <w:numPr>
                                <w:ilvl w:val="0"/>
                                <w:numId w:val="8"/>
                              </w:numPr>
                              <w:spacing w:before="100" w:after="0" w:line="240" w:lineRule="auto"/>
                              <w:jc w:val="left"/>
                              <w:rPr>
                                <w:rFonts w:ascii="Segoe UI" w:hAnsi="Segoe UI" w:cs="Segoe UI"/>
                                <w:sz w:val="16"/>
                                <w:szCs w:val="15"/>
                              </w:rPr>
                            </w:pPr>
                            <w:r w:rsidRPr="003259FE">
                              <w:rPr>
                                <w:rFonts w:ascii="Segoe UI" w:hAnsi="Segoe UI" w:cs="Segoe UI"/>
                                <w:sz w:val="16"/>
                                <w:szCs w:val="15"/>
                              </w:rPr>
                              <w:t>Η ολοκλήρωση της συναλλαγής Frontier και της πώλησης της Εθνικής Ασφαλιστικής θα ενισχύσει τον Συνολικό Δείκτη Κεφαλαιακής Επάρκειας της Τράπεζας κατά περίπου 170μ.β. σε</w:t>
                            </w:r>
                            <w:r w:rsidRPr="00F51F5C">
                              <w:rPr>
                                <w:rFonts w:ascii="Segoe UI" w:hAnsi="Segoe UI" w:cs="Segoe UI"/>
                                <w:sz w:val="16"/>
                                <w:szCs w:val="15"/>
                              </w:rPr>
                              <w:t xml:space="preserve"> </w:t>
                            </w:r>
                            <w:r w:rsidRPr="00C843F9">
                              <w:rPr>
                                <w:rFonts w:ascii="Segoe UI" w:hAnsi="Segoe UI" w:cs="Segoe UI"/>
                                <w:sz w:val="16"/>
                                <w:szCs w:val="15"/>
                              </w:rPr>
                              <w:t>~</w:t>
                            </w:r>
                            <w:r>
                              <w:rPr>
                                <w:rFonts w:ascii="Segoe UI" w:hAnsi="Segoe UI" w:cs="Segoe UI"/>
                                <w:sz w:val="16"/>
                                <w:szCs w:val="15"/>
                              </w:rPr>
                              <w:t>18,8%</w:t>
                            </w:r>
                          </w:p>
                          <w:p w:rsidR="00DA0337" w:rsidRDefault="00DA0337" w:rsidP="002D0FC1">
                            <w:pPr>
                              <w:pStyle w:val="ListParagraph"/>
                              <w:numPr>
                                <w:ilvl w:val="0"/>
                                <w:numId w:val="8"/>
                              </w:numPr>
                              <w:spacing w:before="100" w:after="0" w:line="240" w:lineRule="auto"/>
                              <w:jc w:val="left"/>
                              <w:rPr>
                                <w:rFonts w:ascii="Segoe UI" w:hAnsi="Segoe UI" w:cs="Segoe UI"/>
                                <w:sz w:val="16"/>
                                <w:szCs w:val="15"/>
                              </w:rPr>
                            </w:pPr>
                            <w:r w:rsidRPr="00BB2EDF">
                              <w:rPr>
                                <w:rFonts w:ascii="Segoe UI" w:hAnsi="Segoe UI" w:cs="Segoe UI"/>
                                <w:sz w:val="16"/>
                                <w:szCs w:val="15"/>
                              </w:rPr>
                              <w:t xml:space="preserve">Η </w:t>
                            </w:r>
                            <w:r>
                              <w:rPr>
                                <w:rFonts w:ascii="Segoe UI" w:hAnsi="Segoe UI" w:cs="Segoe UI"/>
                                <w:sz w:val="16"/>
                                <w:szCs w:val="15"/>
                                <w:lang w:val="en-US"/>
                              </w:rPr>
                              <w:t>ETE</w:t>
                            </w:r>
                            <w:r w:rsidRPr="00BB2EDF">
                              <w:rPr>
                                <w:rFonts w:ascii="Segoe UI" w:hAnsi="Segoe UI" w:cs="Segoe UI"/>
                                <w:sz w:val="16"/>
                                <w:szCs w:val="15"/>
                              </w:rPr>
                              <w:t xml:space="preserve"> ολοκλήρωσε με επιτυχία την Άσκηση Προσομοίωσης Ακραίων Συνθηκών του 2021,</w:t>
                            </w:r>
                            <w:r>
                              <w:rPr>
                                <w:rFonts w:ascii="Segoe UI" w:hAnsi="Segoe UI" w:cs="Segoe UI"/>
                                <w:sz w:val="16"/>
                                <w:szCs w:val="15"/>
                              </w:rPr>
                              <w:t xml:space="preserve"> με τον δείκτη </w:t>
                            </w:r>
                            <w:r>
                              <w:rPr>
                                <w:rFonts w:ascii="Segoe UI" w:hAnsi="Segoe UI" w:cs="Segoe UI"/>
                                <w:sz w:val="16"/>
                                <w:szCs w:val="15"/>
                                <w:lang w:val="en-US"/>
                              </w:rPr>
                              <w:t>CET</w:t>
                            </w:r>
                            <w:r w:rsidRPr="00BB2EDF">
                              <w:rPr>
                                <w:rFonts w:ascii="Segoe UI" w:hAnsi="Segoe UI" w:cs="Segoe UI"/>
                                <w:sz w:val="16"/>
                                <w:szCs w:val="15"/>
                              </w:rPr>
                              <w:t xml:space="preserve">1 </w:t>
                            </w:r>
                            <w:r>
                              <w:rPr>
                                <w:rFonts w:ascii="Segoe UI" w:hAnsi="Segoe UI" w:cs="Segoe UI"/>
                                <w:sz w:val="16"/>
                                <w:szCs w:val="15"/>
                                <w:lang w:val="en-US"/>
                              </w:rPr>
                              <w:t>FL</w:t>
                            </w:r>
                            <w:r w:rsidRPr="00BB2EDF">
                              <w:rPr>
                                <w:rFonts w:ascii="Segoe UI" w:hAnsi="Segoe UI" w:cs="Segoe UI"/>
                                <w:sz w:val="16"/>
                                <w:szCs w:val="15"/>
                              </w:rPr>
                              <w:t xml:space="preserve"> </w:t>
                            </w:r>
                            <w:r>
                              <w:rPr>
                                <w:rFonts w:ascii="Segoe UI" w:hAnsi="Segoe UI" w:cs="Segoe UI"/>
                                <w:sz w:val="16"/>
                                <w:szCs w:val="15"/>
                              </w:rPr>
                              <w:t>να διαμορφώνεται σε 15,5% το 2023 υπό το Βασικό σενάριο (+270μ.β. το 2021-23)</w:t>
                            </w:r>
                            <w:r w:rsidRPr="002D0FC1">
                              <w:rPr>
                                <w:rFonts w:ascii="Segoe UI" w:hAnsi="Segoe UI" w:cs="Segoe UI"/>
                                <w:sz w:val="16"/>
                                <w:szCs w:val="15"/>
                              </w:rPr>
                              <w:t xml:space="preserve">, </w:t>
                            </w:r>
                            <w:r>
                              <w:rPr>
                                <w:rFonts w:ascii="Segoe UI" w:hAnsi="Segoe UI" w:cs="Segoe UI"/>
                                <w:sz w:val="16"/>
                                <w:szCs w:val="15"/>
                              </w:rPr>
                              <w:t>ενώ υπό το Δυσμενές</w:t>
                            </w:r>
                            <w:r w:rsidRPr="00404DE1">
                              <w:rPr>
                                <w:rFonts w:ascii="Segoe UI" w:hAnsi="Segoe UI" w:cs="Segoe UI"/>
                                <w:sz w:val="16"/>
                                <w:szCs w:val="15"/>
                              </w:rPr>
                              <w:t xml:space="preserve"> </w:t>
                            </w:r>
                            <w:r>
                              <w:rPr>
                                <w:rFonts w:ascii="Segoe UI" w:hAnsi="Segoe UI" w:cs="Segoe UI"/>
                                <w:sz w:val="16"/>
                                <w:szCs w:val="15"/>
                              </w:rPr>
                              <w:t xml:space="preserve">σενάριο </w:t>
                            </w:r>
                            <w:r w:rsidRPr="002D0FC1">
                              <w:rPr>
                                <w:rFonts w:ascii="Segoe UI" w:hAnsi="Segoe UI" w:cs="Segoe UI"/>
                                <w:sz w:val="16"/>
                                <w:szCs w:val="15"/>
                              </w:rPr>
                              <w:t>σημειώθηκε μέγιστη αρνητική επίπτωση 6</w:t>
                            </w:r>
                            <w:r w:rsidRPr="008D1FE4">
                              <w:rPr>
                                <w:rFonts w:ascii="Segoe UI" w:hAnsi="Segoe UI" w:cs="Segoe UI"/>
                                <w:sz w:val="16"/>
                                <w:szCs w:val="15"/>
                              </w:rPr>
                              <w:t>,</w:t>
                            </w:r>
                            <w:r w:rsidRPr="002D0FC1">
                              <w:rPr>
                                <w:rFonts w:ascii="Segoe UI" w:hAnsi="Segoe UI" w:cs="Segoe UI"/>
                                <w:sz w:val="16"/>
                                <w:szCs w:val="15"/>
                              </w:rPr>
                              <w:t>4</w:t>
                            </w:r>
                            <w:r>
                              <w:rPr>
                                <w:rFonts w:ascii="Segoe UI" w:hAnsi="Segoe UI" w:cs="Segoe UI"/>
                                <w:sz w:val="16"/>
                                <w:szCs w:val="15"/>
                              </w:rPr>
                              <w:t>π.μ.</w:t>
                            </w:r>
                            <w:r w:rsidRPr="002D0FC1">
                              <w:rPr>
                                <w:rFonts w:ascii="Segoe UI" w:hAnsi="Segoe UI" w:cs="Segoe UI"/>
                                <w:sz w:val="16"/>
                                <w:szCs w:val="15"/>
                              </w:rPr>
                              <w:t xml:space="preserve"> στο δείκτη CET1 FL</w:t>
                            </w:r>
                            <w:r>
                              <w:rPr>
                                <w:rFonts w:ascii="Segoe UI" w:hAnsi="Segoe UI" w:cs="Segoe UI"/>
                                <w:sz w:val="16"/>
                                <w:szCs w:val="15"/>
                              </w:rPr>
                              <w:t xml:space="preserve">. Λαμβάνοντας υπόψιν τα κέρδη μετά φόρων του Α’ εξαμήνου 2021 και την </w:t>
                            </w:r>
                            <w:r w:rsidRPr="00BB2EDF">
                              <w:rPr>
                                <w:rFonts w:ascii="Segoe UI" w:hAnsi="Segoe UI" w:cs="Segoe UI"/>
                                <w:sz w:val="16"/>
                                <w:szCs w:val="15"/>
                              </w:rPr>
                              <w:t>ολοκλήρωση της συναλλαγής Frontier και της πώλησης της Εθνικής Ασφαλιστικής</w:t>
                            </w:r>
                            <w:r>
                              <w:rPr>
                                <w:rFonts w:ascii="Segoe UI" w:hAnsi="Segoe UI" w:cs="Segoe UI"/>
                                <w:sz w:val="16"/>
                                <w:szCs w:val="15"/>
                              </w:rPr>
                              <w:t xml:space="preserve">, ο </w:t>
                            </w:r>
                            <w:r w:rsidRPr="00BB2EDF">
                              <w:rPr>
                                <w:rFonts w:ascii="Segoe UI" w:hAnsi="Segoe UI" w:cs="Segoe UI"/>
                                <w:sz w:val="16"/>
                                <w:szCs w:val="15"/>
                              </w:rPr>
                              <w:t>Συνολικός Δείκτης Κεφαλαιακής Επάρκειας αυξάνεται κατά σχεδόν 300μ.β</w:t>
                            </w:r>
                            <w:r>
                              <w:rPr>
                                <w:rFonts w:ascii="Segoe UI" w:hAnsi="Segoe UI" w:cs="Segoe UI"/>
                                <w:sz w:val="16"/>
                                <w:szCs w:val="15"/>
                              </w:rPr>
                              <w:t>.</w:t>
                            </w:r>
                          </w:p>
                          <w:p w:rsidR="00DA0337" w:rsidRPr="003259FE" w:rsidRDefault="00DA0337" w:rsidP="00D029F5">
                            <w:pPr>
                              <w:pStyle w:val="ListParagraph"/>
                              <w:spacing w:before="100" w:after="0" w:line="240" w:lineRule="auto"/>
                              <w:ind w:left="644"/>
                              <w:jc w:val="left"/>
                              <w:rPr>
                                <w:rFonts w:ascii="Segoe UI" w:hAnsi="Segoe UI" w:cs="Segoe UI"/>
                                <w:sz w:val="16"/>
                                <w:szCs w:val="15"/>
                              </w:rPr>
                            </w:pPr>
                          </w:p>
                          <w:p w:rsidR="00DA0337" w:rsidRPr="00357575" w:rsidRDefault="00DA0337" w:rsidP="00251E02">
                            <w:pPr>
                              <w:rPr>
                                <w:rFonts w:ascii="Segoe UI" w:hAnsi="Segoe UI" w:cs="Segoe UI"/>
                                <w:sz w:val="4"/>
                                <w:szCs w:val="16"/>
                                <w:vertAlign w:val="superscript"/>
                              </w:rPr>
                            </w:pPr>
                          </w:p>
                          <w:p w:rsidR="00DA0337" w:rsidRPr="00357575" w:rsidRDefault="00DA0337" w:rsidP="00251E02">
                            <w:pPr>
                              <w:rPr>
                                <w:rFonts w:ascii="Segoe UI" w:hAnsi="Segoe UI" w:cs="Segoe UI"/>
                                <w:sz w:val="14"/>
                                <w:szCs w:val="15"/>
                              </w:rPr>
                            </w:pPr>
                            <w:r w:rsidRPr="00357575">
                              <w:rPr>
                                <w:rFonts w:ascii="Segoe UI" w:hAnsi="Segoe UI" w:cs="Segoe UI"/>
                                <w:sz w:val="8"/>
                                <w:szCs w:val="16"/>
                                <w:vertAlign w:val="superscript"/>
                              </w:rPr>
                              <w:t xml:space="preserve">1 </w:t>
                            </w:r>
                            <w:r w:rsidRPr="00357575">
                              <w:rPr>
                                <w:rFonts w:ascii="Segoe UI" w:hAnsi="Segoe UI" w:cs="Segoe UI"/>
                                <w:sz w:val="8"/>
                                <w:szCs w:val="16"/>
                              </w:rPr>
                              <w:t xml:space="preserve">Εξαιρεί τα έσοδα από χρηματοοικονομικές πράξεις και λοιπά έσοδα και τις προβλέψεις σχετιζόμενες με την πανδημία του κορωνοϊού (€0,4 δισ.) το Α’ εξάμηνο 2020 / </w:t>
                            </w:r>
                            <w:r w:rsidRPr="00357575">
                              <w:rPr>
                                <w:rFonts w:ascii="Segoe UI" w:hAnsi="Segoe UI" w:cs="Segoe UI"/>
                                <w:sz w:val="8"/>
                                <w:szCs w:val="16"/>
                                <w:vertAlign w:val="superscript"/>
                              </w:rPr>
                              <w:t>2</w:t>
                            </w:r>
                            <w:r w:rsidRPr="00357575">
                              <w:rPr>
                                <w:rFonts w:ascii="Segoe UI" w:hAnsi="Segoe UI" w:cs="Segoe UI"/>
                                <w:sz w:val="8"/>
                                <w:szCs w:val="16"/>
                              </w:rPr>
                              <w:t xml:space="preserve"> Αντανακλά την ταξινόμηση του χαρτοφυλακίου Frontier ως περιουσιακό στοιχείο προοριζόμενο προς πώληση</w:t>
                            </w:r>
                            <w:r>
                              <w:rPr>
                                <w:rFonts w:ascii="Segoe UI" w:hAnsi="Segoe UI" w:cs="Segoe UI"/>
                                <w:sz w:val="8"/>
                                <w:szCs w:val="16"/>
                              </w:rPr>
                              <w:t xml:space="preserve">, υπό την αίρεση της ολοκλήρωσης της συναλλαγής / </w:t>
                            </w:r>
                            <w:r w:rsidRPr="00357575">
                              <w:rPr>
                                <w:rFonts w:ascii="Segoe UI" w:hAnsi="Segoe UI" w:cs="Segoe UI"/>
                                <w:sz w:val="8"/>
                                <w:szCs w:val="16"/>
                                <w:vertAlign w:val="superscript"/>
                              </w:rPr>
                              <w:t xml:space="preserve">3 </w:t>
                            </w:r>
                            <w:r w:rsidRPr="00357575">
                              <w:rPr>
                                <w:rFonts w:ascii="Segoe UI" w:hAnsi="Segoe UI" w:cs="Segoe UI"/>
                                <w:sz w:val="8"/>
                                <w:szCs w:val="16"/>
                              </w:rPr>
                              <w:t xml:space="preserve">Περιλαμβάνει τα ομόλογα υψηλής διαβάθμισης ύψους περίπου €3,0 δισ. της συναλλαγής Frontier / </w:t>
                            </w:r>
                            <w:r>
                              <w:rPr>
                                <w:rFonts w:ascii="Segoe UI" w:hAnsi="Segoe UI" w:cs="Segoe UI"/>
                                <w:sz w:val="8"/>
                                <w:szCs w:val="16"/>
                                <w:vertAlign w:val="superscript"/>
                              </w:rPr>
                              <w:t>4</w:t>
                            </w:r>
                            <w:r w:rsidRPr="00357575">
                              <w:rPr>
                                <w:rFonts w:ascii="Segoe UI" w:hAnsi="Segoe UI" w:cs="Segoe UI"/>
                                <w:sz w:val="8"/>
                                <w:szCs w:val="16"/>
                              </w:rPr>
                              <w:t xml:space="preserve"> Περιλαμβάνουν τα κέρδη της περιόδου / </w:t>
                            </w:r>
                            <w:r>
                              <w:rPr>
                                <w:rFonts w:ascii="Segoe UI" w:hAnsi="Segoe UI" w:cs="Segoe UI"/>
                                <w:sz w:val="8"/>
                                <w:szCs w:val="16"/>
                                <w:vertAlign w:val="superscript"/>
                              </w:rPr>
                              <w:t>5</w:t>
                            </w:r>
                            <w:r w:rsidRPr="00357575">
                              <w:rPr>
                                <w:rFonts w:ascii="Segoe UI" w:hAnsi="Segoe UI" w:cs="Segoe UI"/>
                                <w:sz w:val="8"/>
                                <w:szCs w:val="16"/>
                              </w:rPr>
                              <w:t xml:space="preserve"> Οι Συνολικές Κεφαλαιακές Απαιτήσεις (OCR) ύψους 11,00% εξαιρούν το απόθεμα Ασφαλείας των Λοιπών Συστημικά Σημαντικών Πιστωτικών Ιδρυμάτων (O-SII) ύψους 0,50%, υπό την αίρεση της έγκρισης της ΤτΕ</w:t>
                            </w:r>
                          </w:p>
                        </w:txbxContent>
                      </wps:txbx>
                      <wps:bodyPr rot="0" vert="horz" wrap="square" lIns="91440" tIns="45720" rIns="91440" bIns="45720" anchor="t" anchorCtr="0" upright="1">
                        <a:noAutofit/>
                      </wps:bodyPr>
                    </wps:wsp>
                  </a:graphicData>
                </a:graphic>
              </wp:inline>
            </w:drawing>
          </mc:Choice>
          <mc:Fallback>
            <w:pict>
              <v:shape id="Text Box 3" o:spid="_x0000_s1029" type="#_x0000_t202" style="width:509.6pt;height:5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" fillcolor="#f1f1f1" stroked="f">
                <v:fill opacity="58853f"/>
                <v:textbox>
                  <w:txbxContent>
                    <w:p w:rsidR="00DA0337" w:rsidRPr="00834F3F" w:rsidRDefault="00DA0337" w:rsidP="007573A7">
                      <w:pPr>
                        <w:numPr>
                          <w:ilvl w:val="0"/>
                          <w:numId w:val="6"/>
                        </w:numPr>
                        <w:spacing w:before="120"/>
                        <w:rPr>
                          <w:rFonts w:ascii="Segoe UI" w:hAnsi="Segoe UI" w:cs="Segoe UI"/>
                          <w:b/>
                          <w:sz w:val="16"/>
                          <w:szCs w:val="15"/>
                        </w:rPr>
                      </w:pPr>
                      <w:r w:rsidRPr="00834F3F">
                        <w:rPr>
                          <w:rFonts w:ascii="Segoe UI" w:hAnsi="Segoe UI" w:cs="Segoe UI"/>
                          <w:b/>
                          <w:sz w:val="16"/>
                          <w:szCs w:val="15"/>
                        </w:rPr>
                        <w:t>Τα κέρδη μετά από φόρους από συνεχιζόμενες δραστηριότητες σε επίπεδο Ομίλου ανήλθαν σε €62</w:t>
                      </w:r>
                      <w:r w:rsidRPr="0059052F">
                        <w:rPr>
                          <w:rFonts w:ascii="Segoe UI" w:hAnsi="Segoe UI" w:cs="Segoe UI"/>
                          <w:b/>
                          <w:sz w:val="16"/>
                          <w:szCs w:val="15"/>
                        </w:rPr>
                        <w:t>2</w:t>
                      </w:r>
                      <w:r w:rsidRPr="00834F3F">
                        <w:rPr>
                          <w:rFonts w:ascii="Segoe UI" w:hAnsi="Segoe UI" w:cs="Segoe UI"/>
                          <w:b/>
                          <w:sz w:val="16"/>
                          <w:szCs w:val="15"/>
                        </w:rPr>
                        <w:t xml:space="preserve"> εκατ. το Α’ εξάμηνο 2021, σημειώνοντας αύξηση κατά 34% σε ετήσια βάση </w:t>
                      </w:r>
                    </w:p>
                    <w:p w:rsidR="00DA0337" w:rsidRPr="008351A0" w:rsidRDefault="00DA0337" w:rsidP="00EC26E8">
                      <w:pPr>
                        <w:numPr>
                          <w:ilvl w:val="1"/>
                          <w:numId w:val="6"/>
                        </w:numPr>
                        <w:spacing w:before="80"/>
                        <w:rPr>
                          <w:rFonts w:ascii="Segoe UI" w:hAnsi="Segoe UI" w:cs="Segoe UI"/>
                          <w:sz w:val="16"/>
                          <w:szCs w:val="15"/>
                        </w:rPr>
                      </w:pPr>
                      <w:r w:rsidRPr="008351A0">
                        <w:rPr>
                          <w:rFonts w:ascii="Segoe UI" w:hAnsi="Segoe UI" w:cs="Segoe UI"/>
                          <w:sz w:val="16"/>
                          <w:szCs w:val="15"/>
                        </w:rPr>
                        <w:t>Τα καθαρά έσοδα από τόκους αυξήθηκαν κατά 7% σε ετήσια βάση, σε €591 εκατ</w:t>
                      </w:r>
                      <w:r>
                        <w:rPr>
                          <w:rFonts w:ascii="Segoe UI" w:hAnsi="Segoe UI" w:cs="Segoe UI"/>
                          <w:sz w:val="16"/>
                          <w:szCs w:val="15"/>
                        </w:rPr>
                        <w:t>.</w:t>
                      </w:r>
                      <w:r w:rsidRPr="00EC26E8">
                        <w:rPr>
                          <w:rFonts w:ascii="Segoe UI" w:hAnsi="Segoe UI" w:cs="Segoe UI"/>
                          <w:sz w:val="16"/>
                          <w:szCs w:val="15"/>
                        </w:rPr>
                        <w:t xml:space="preserve"> το Α’ εξάμηνο 2021</w:t>
                      </w:r>
                      <w:r w:rsidRPr="008351A0">
                        <w:rPr>
                          <w:rFonts w:ascii="Segoe UI" w:hAnsi="Segoe UI" w:cs="Segoe UI"/>
                          <w:sz w:val="16"/>
                          <w:szCs w:val="15"/>
                        </w:rPr>
                        <w:t xml:space="preserve">, αντανακλώντας το όφελος από την συνεχιζόμενη ανατιμολόγηση των καταθέσεων προθεσμίας </w:t>
                      </w:r>
                      <w:r>
                        <w:rPr>
                          <w:rFonts w:ascii="Segoe UI" w:hAnsi="Segoe UI" w:cs="Segoe UI"/>
                          <w:sz w:val="16"/>
                          <w:szCs w:val="15"/>
                        </w:rPr>
                        <w:t xml:space="preserve">και τη </w:t>
                      </w:r>
                      <w:r w:rsidRPr="008351A0">
                        <w:rPr>
                          <w:rFonts w:ascii="Segoe UI" w:hAnsi="Segoe UI" w:cs="Segoe UI"/>
                          <w:sz w:val="16"/>
                          <w:szCs w:val="15"/>
                        </w:rPr>
                        <w:t xml:space="preserve">συμμετοχή της ΕΤΕ στο Πρόγραμμα Συναλλαγών Μακροχρόνιας Αναχρηματοδότησης (TLTRO III) </w:t>
                      </w:r>
                    </w:p>
                    <w:p w:rsidR="00DA0337" w:rsidRPr="0089283A" w:rsidRDefault="00DA0337" w:rsidP="0089283A">
                      <w:pPr>
                        <w:numPr>
                          <w:ilvl w:val="1"/>
                          <w:numId w:val="6"/>
                        </w:numPr>
                        <w:spacing w:before="80"/>
                        <w:rPr>
                          <w:rFonts w:ascii="Segoe UI" w:hAnsi="Segoe UI" w:cs="Segoe UI"/>
                          <w:sz w:val="16"/>
                          <w:szCs w:val="15"/>
                        </w:rPr>
                      </w:pPr>
                      <w:r w:rsidRPr="0089283A">
                        <w:rPr>
                          <w:rFonts w:ascii="Segoe UI" w:hAnsi="Segoe UI" w:cs="Segoe UI"/>
                          <w:sz w:val="16"/>
                          <w:szCs w:val="15"/>
                        </w:rPr>
                        <w:t xml:space="preserve">Ελλείψει περιοριστικών μέτρων, τα καθαρά έσοδα από προμήθειες ανέκαμψαν το Β’ τρίμηνο 2021 (+4% σε τριμηνιαία βάση), </w:t>
                      </w:r>
                      <w:r>
                        <w:rPr>
                          <w:rFonts w:ascii="Segoe UI" w:hAnsi="Segoe UI" w:cs="Segoe UI"/>
                          <w:sz w:val="16"/>
                          <w:szCs w:val="15"/>
                        </w:rPr>
                        <w:t>οδηγώντας</w:t>
                      </w:r>
                      <w:r w:rsidRPr="0089283A">
                        <w:rPr>
                          <w:rFonts w:ascii="Segoe UI" w:hAnsi="Segoe UI" w:cs="Segoe UI"/>
                          <w:sz w:val="16"/>
                          <w:szCs w:val="15"/>
                        </w:rPr>
                        <w:t xml:space="preserve"> στην αύξηση των καθαρών εσόδων από προμήθειες κατά 10% σε ετήσια βάση</w:t>
                      </w:r>
                      <w:r>
                        <w:rPr>
                          <w:rFonts w:ascii="Segoe UI" w:hAnsi="Segoe UI" w:cs="Segoe UI"/>
                          <w:sz w:val="16"/>
                          <w:szCs w:val="15"/>
                        </w:rPr>
                        <w:t>,</w:t>
                      </w:r>
                      <w:r w:rsidRPr="0089283A">
                        <w:rPr>
                          <w:rFonts w:ascii="Segoe UI" w:hAnsi="Segoe UI" w:cs="Segoe UI"/>
                          <w:sz w:val="16"/>
                          <w:szCs w:val="15"/>
                        </w:rPr>
                        <w:t xml:space="preserve"> σ</w:t>
                      </w:r>
                      <w:r>
                        <w:rPr>
                          <w:rFonts w:ascii="Segoe UI" w:hAnsi="Segoe UI" w:cs="Segoe UI"/>
                          <w:sz w:val="16"/>
                          <w:szCs w:val="15"/>
                        </w:rPr>
                        <w:t>ε</w:t>
                      </w:r>
                      <w:r w:rsidRPr="0089283A">
                        <w:rPr>
                          <w:rFonts w:ascii="Segoe UI" w:hAnsi="Segoe UI" w:cs="Segoe UI"/>
                          <w:sz w:val="16"/>
                          <w:szCs w:val="15"/>
                        </w:rPr>
                        <w:t xml:space="preserve"> €136 εκατ.</w:t>
                      </w:r>
                      <w:r>
                        <w:rPr>
                          <w:rFonts w:ascii="Segoe UI" w:hAnsi="Segoe UI" w:cs="Segoe UI"/>
                          <w:sz w:val="16"/>
                          <w:szCs w:val="15"/>
                        </w:rPr>
                        <w:t xml:space="preserve"> το Α΄ εξάμηνο 2021</w:t>
                      </w:r>
                    </w:p>
                    <w:p w:rsidR="00DA0337" w:rsidRPr="00E47CE3" w:rsidRDefault="00DA0337" w:rsidP="00E47CE3">
                      <w:pPr>
                        <w:numPr>
                          <w:ilvl w:val="1"/>
                          <w:numId w:val="6"/>
                        </w:numPr>
                        <w:spacing w:before="80"/>
                        <w:rPr>
                          <w:rFonts w:ascii="Segoe UI" w:hAnsi="Segoe UI" w:cs="Segoe UI"/>
                          <w:sz w:val="16"/>
                          <w:szCs w:val="15"/>
                        </w:rPr>
                      </w:pPr>
                      <w:r w:rsidRPr="00E47CE3">
                        <w:rPr>
                          <w:rFonts w:ascii="Segoe UI" w:hAnsi="Segoe UI" w:cs="Segoe UI"/>
                          <w:sz w:val="16"/>
                          <w:szCs w:val="15"/>
                        </w:rPr>
                        <w:t>Η σημαντική περιστολή των δαπανών προσωπικού στην Ελλάδα (-15</w:t>
                      </w:r>
                      <w:r>
                        <w:rPr>
                          <w:rFonts w:ascii="Segoe UI" w:hAnsi="Segoe UI" w:cs="Segoe UI"/>
                          <w:sz w:val="16"/>
                          <w:szCs w:val="15"/>
                        </w:rPr>
                        <w:t xml:space="preserve">% σε ετήσια βάση) οδήγησε στη δραστική </w:t>
                      </w:r>
                      <w:r w:rsidRPr="00E47CE3">
                        <w:rPr>
                          <w:rFonts w:ascii="Segoe UI" w:hAnsi="Segoe UI" w:cs="Segoe UI"/>
                          <w:sz w:val="16"/>
                          <w:szCs w:val="15"/>
                        </w:rPr>
                        <w:t>αποκλιμάκωση των λειτουργικών δαπανών κατά 8% σε ετήσια βάση</w:t>
                      </w:r>
                      <w:r>
                        <w:rPr>
                          <w:rFonts w:ascii="Segoe UI" w:hAnsi="Segoe UI" w:cs="Segoe UI"/>
                          <w:sz w:val="16"/>
                          <w:szCs w:val="15"/>
                        </w:rPr>
                        <w:t xml:space="preserve"> το </w:t>
                      </w:r>
                      <w:r w:rsidRPr="00E47CE3">
                        <w:rPr>
                          <w:rFonts w:ascii="Segoe UI" w:hAnsi="Segoe UI" w:cs="Segoe UI"/>
                          <w:sz w:val="16"/>
                          <w:szCs w:val="15"/>
                        </w:rPr>
                        <w:t xml:space="preserve">Α’ εξάμηνο 2021. Ο δείκτης κόστους προς οργανικά έσοδα </w:t>
                      </w:r>
                      <w:r>
                        <w:rPr>
                          <w:rFonts w:ascii="Segoe UI" w:hAnsi="Segoe UI" w:cs="Segoe UI"/>
                          <w:sz w:val="16"/>
                          <w:szCs w:val="15"/>
                        </w:rPr>
                        <w:t xml:space="preserve">στην Ελλάδα </w:t>
                      </w:r>
                      <w:r w:rsidRPr="00E47CE3">
                        <w:rPr>
                          <w:rFonts w:ascii="Segoe UI" w:hAnsi="Segoe UI" w:cs="Segoe UI"/>
                          <w:sz w:val="16"/>
                          <w:szCs w:val="15"/>
                        </w:rPr>
                        <w:t xml:space="preserve">σημείωσε εντυπωσιακή βελτίωση κατά 9 ποσοστιαίες μονάδες σε </w:t>
                      </w:r>
                      <w:r>
                        <w:rPr>
                          <w:rFonts w:ascii="Segoe UI" w:hAnsi="Segoe UI" w:cs="Segoe UI"/>
                          <w:sz w:val="16"/>
                          <w:szCs w:val="15"/>
                        </w:rPr>
                        <w:t>ετήσια βάση</w:t>
                      </w:r>
                      <w:r w:rsidRPr="00E47CE3">
                        <w:rPr>
                          <w:rFonts w:ascii="Segoe UI" w:hAnsi="Segoe UI" w:cs="Segoe UI"/>
                          <w:sz w:val="16"/>
                          <w:szCs w:val="15"/>
                        </w:rPr>
                        <w:t xml:space="preserve"> και διαμορφώθηκε στο 5</w:t>
                      </w:r>
                      <w:r>
                        <w:rPr>
                          <w:rFonts w:ascii="Segoe UI" w:hAnsi="Segoe UI" w:cs="Segoe UI"/>
                          <w:sz w:val="16"/>
                          <w:szCs w:val="15"/>
                        </w:rPr>
                        <w:t>1</w:t>
                      </w:r>
                      <w:r w:rsidRPr="00E47CE3">
                        <w:rPr>
                          <w:rFonts w:ascii="Segoe UI" w:hAnsi="Segoe UI" w:cs="Segoe UI"/>
                          <w:sz w:val="16"/>
                          <w:szCs w:val="15"/>
                        </w:rPr>
                        <w:t>,</w:t>
                      </w:r>
                      <w:r>
                        <w:rPr>
                          <w:rFonts w:ascii="Segoe UI" w:hAnsi="Segoe UI" w:cs="Segoe UI"/>
                          <w:sz w:val="16"/>
                          <w:szCs w:val="15"/>
                        </w:rPr>
                        <w:t>0</w:t>
                      </w:r>
                      <w:r w:rsidRPr="00E47CE3">
                        <w:rPr>
                          <w:rFonts w:ascii="Segoe UI" w:hAnsi="Segoe UI" w:cs="Segoe UI"/>
                          <w:sz w:val="16"/>
                          <w:szCs w:val="15"/>
                        </w:rPr>
                        <w:t xml:space="preserve">% κατά το Α’ </w:t>
                      </w:r>
                      <w:r>
                        <w:rPr>
                          <w:rFonts w:ascii="Segoe UI" w:hAnsi="Segoe UI" w:cs="Segoe UI"/>
                          <w:sz w:val="16"/>
                          <w:szCs w:val="15"/>
                        </w:rPr>
                        <w:t>εξάμηνο</w:t>
                      </w:r>
                      <w:r w:rsidRPr="00E47CE3">
                        <w:rPr>
                          <w:rFonts w:ascii="Segoe UI" w:hAnsi="Segoe UI" w:cs="Segoe UI"/>
                          <w:sz w:val="16"/>
                          <w:szCs w:val="15"/>
                        </w:rPr>
                        <w:t xml:space="preserve"> 2021</w:t>
                      </w:r>
                    </w:p>
                    <w:p w:rsidR="00DA0337" w:rsidRPr="00A63216" w:rsidRDefault="00DA0337" w:rsidP="00FE6F2C">
                      <w:pPr>
                        <w:numPr>
                          <w:ilvl w:val="1"/>
                          <w:numId w:val="6"/>
                        </w:numPr>
                        <w:spacing w:before="80"/>
                        <w:rPr>
                          <w:rFonts w:ascii="Segoe UI" w:hAnsi="Segoe UI" w:cs="Segoe UI"/>
                          <w:sz w:val="16"/>
                          <w:szCs w:val="15"/>
                        </w:rPr>
                      </w:pPr>
                      <w:r w:rsidRPr="00A63216">
                        <w:rPr>
                          <w:rFonts w:ascii="Segoe UI" w:hAnsi="Segoe UI" w:cs="Segoe UI"/>
                          <w:sz w:val="16"/>
                          <w:szCs w:val="15"/>
                        </w:rPr>
                        <w:t>Τα κέρδη από χρηματοοικονομικές πράξεις και λοιπά έσοδα διαμορφώθηκαν σε €4</w:t>
                      </w:r>
                      <w:r>
                        <w:rPr>
                          <w:rFonts w:ascii="Segoe UI" w:hAnsi="Segoe UI" w:cs="Segoe UI"/>
                          <w:sz w:val="16"/>
                          <w:szCs w:val="15"/>
                        </w:rPr>
                        <w:t>49</w:t>
                      </w:r>
                      <w:r w:rsidRPr="00A63216">
                        <w:rPr>
                          <w:rFonts w:ascii="Segoe UI" w:hAnsi="Segoe UI" w:cs="Segoe UI"/>
                          <w:sz w:val="16"/>
                          <w:szCs w:val="15"/>
                        </w:rPr>
                        <w:t xml:space="preserve"> εκατ. το Α’ </w:t>
                      </w:r>
                      <w:r w:rsidRPr="00FE6F2C">
                        <w:rPr>
                          <w:rFonts w:ascii="Segoe UI" w:hAnsi="Segoe UI" w:cs="Segoe UI"/>
                          <w:sz w:val="16"/>
                          <w:szCs w:val="15"/>
                        </w:rPr>
                        <w:t xml:space="preserve">εξάμηνο </w:t>
                      </w:r>
                      <w:r w:rsidRPr="00A63216">
                        <w:rPr>
                          <w:rFonts w:ascii="Segoe UI" w:hAnsi="Segoe UI" w:cs="Segoe UI"/>
                          <w:sz w:val="16"/>
                          <w:szCs w:val="15"/>
                        </w:rPr>
                        <w:t xml:space="preserve">2021, ενσωματώνοντας υψηλά κέρδη σχετιζόμενα με συναλλαγές χρεογράφων (κυρίως </w:t>
                      </w:r>
                      <w:r>
                        <w:rPr>
                          <w:rFonts w:ascii="Segoe UI" w:hAnsi="Segoe UI" w:cs="Segoe UI"/>
                          <w:sz w:val="16"/>
                          <w:szCs w:val="15"/>
                        </w:rPr>
                        <w:t>Ομολόγων Ελληνικού Δημοσίου</w:t>
                      </w:r>
                      <w:r w:rsidRPr="00A63216">
                        <w:rPr>
                          <w:rFonts w:ascii="Segoe UI" w:hAnsi="Segoe UI" w:cs="Segoe UI"/>
                          <w:sz w:val="16"/>
                          <w:szCs w:val="15"/>
                        </w:rPr>
                        <w:t>)</w:t>
                      </w:r>
                    </w:p>
                    <w:p w:rsidR="00DA0337" w:rsidRPr="00510FD8" w:rsidRDefault="00DA0337" w:rsidP="00510FD8">
                      <w:pPr>
                        <w:numPr>
                          <w:ilvl w:val="1"/>
                          <w:numId w:val="6"/>
                        </w:numPr>
                        <w:spacing w:before="80"/>
                        <w:rPr>
                          <w:rFonts w:ascii="Segoe UI" w:hAnsi="Segoe UI" w:cs="Segoe UI"/>
                          <w:sz w:val="16"/>
                          <w:szCs w:val="15"/>
                        </w:rPr>
                      </w:pPr>
                      <w:r w:rsidRPr="00510FD8">
                        <w:rPr>
                          <w:rFonts w:ascii="Segoe UI" w:hAnsi="Segoe UI" w:cs="Segoe UI"/>
                          <w:sz w:val="16"/>
                          <w:szCs w:val="15"/>
                        </w:rPr>
                        <w:t>Προβλέψεις απομείωσης ύψους €7</w:t>
                      </w:r>
                      <w:r>
                        <w:rPr>
                          <w:rFonts w:ascii="Segoe UI" w:hAnsi="Segoe UI" w:cs="Segoe UI"/>
                          <w:sz w:val="16"/>
                          <w:szCs w:val="15"/>
                        </w:rPr>
                        <w:t>0</w:t>
                      </w:r>
                      <w:r w:rsidRPr="00510FD8">
                        <w:rPr>
                          <w:rFonts w:ascii="Segoe UI" w:hAnsi="Segoe UI" w:cs="Segoe UI"/>
                          <w:sz w:val="16"/>
                          <w:szCs w:val="15"/>
                        </w:rPr>
                        <w:t xml:space="preserve"> εκατ. το </w:t>
                      </w:r>
                      <w:r>
                        <w:rPr>
                          <w:rFonts w:ascii="Segoe UI" w:hAnsi="Segoe UI" w:cs="Segoe UI"/>
                          <w:sz w:val="16"/>
                          <w:szCs w:val="15"/>
                        </w:rPr>
                        <w:t xml:space="preserve">Β’ τρίμηνο 2021 και €147 εκατ. </w:t>
                      </w:r>
                      <w:r w:rsidRPr="00510FD8">
                        <w:rPr>
                          <w:rFonts w:ascii="Segoe UI" w:hAnsi="Segoe UI" w:cs="Segoe UI"/>
                          <w:sz w:val="16"/>
                          <w:szCs w:val="15"/>
                        </w:rPr>
                        <w:t>το Α’ εξάμηνο 2021</w:t>
                      </w:r>
                      <w:r>
                        <w:rPr>
                          <w:rFonts w:ascii="Segoe UI" w:hAnsi="Segoe UI" w:cs="Segoe UI"/>
                          <w:sz w:val="16"/>
                          <w:szCs w:val="15"/>
                        </w:rPr>
                        <w:t xml:space="preserve">, </w:t>
                      </w:r>
                      <w:r w:rsidRPr="00510FD8">
                        <w:rPr>
                          <w:rFonts w:ascii="Segoe UI" w:hAnsi="Segoe UI" w:cs="Segoe UI"/>
                          <w:sz w:val="16"/>
                          <w:szCs w:val="15"/>
                        </w:rPr>
                        <w:t>ήτοι 1</w:t>
                      </w:r>
                      <w:r>
                        <w:rPr>
                          <w:rFonts w:ascii="Segoe UI" w:hAnsi="Segoe UI" w:cs="Segoe UI"/>
                          <w:sz w:val="16"/>
                          <w:szCs w:val="15"/>
                        </w:rPr>
                        <w:t>09</w:t>
                      </w:r>
                      <w:r w:rsidRPr="00510FD8">
                        <w:rPr>
                          <w:rFonts w:ascii="Segoe UI" w:hAnsi="Segoe UI" w:cs="Segoe UI"/>
                          <w:sz w:val="16"/>
                          <w:szCs w:val="15"/>
                        </w:rPr>
                        <w:t>μ.β. επί του μέσου όρ</w:t>
                      </w:r>
                      <w:r>
                        <w:rPr>
                          <w:rFonts w:ascii="Segoe UI" w:hAnsi="Segoe UI" w:cs="Segoe UI"/>
                          <w:sz w:val="16"/>
                          <w:szCs w:val="15"/>
                        </w:rPr>
                        <w:t>ου δανείων μετά από προβλέψεις</w:t>
                      </w:r>
                    </w:p>
                    <w:p w:rsidR="00DA0337" w:rsidRPr="00510FD8" w:rsidRDefault="00DA0337" w:rsidP="00142637">
                      <w:pPr>
                        <w:numPr>
                          <w:ilvl w:val="1"/>
                          <w:numId w:val="6"/>
                        </w:numPr>
                        <w:spacing w:before="80"/>
                        <w:rPr>
                          <w:rFonts w:ascii="Segoe UI" w:hAnsi="Segoe UI" w:cs="Segoe UI"/>
                          <w:sz w:val="16"/>
                          <w:szCs w:val="15"/>
                        </w:rPr>
                      </w:pPr>
                      <w:r w:rsidRPr="00510FD8">
                        <w:rPr>
                          <w:rFonts w:ascii="Segoe UI" w:hAnsi="Segoe UI" w:cs="Segoe UI"/>
                          <w:sz w:val="16"/>
                          <w:szCs w:val="15"/>
                        </w:rPr>
                        <w:t>Τα ο</w:t>
                      </w:r>
                      <w:r>
                        <w:rPr>
                          <w:rFonts w:ascii="Segoe UI" w:hAnsi="Segoe UI" w:cs="Segoe UI"/>
                          <w:sz w:val="16"/>
                          <w:szCs w:val="15"/>
                        </w:rPr>
                        <w:t>ργανικά κέρδη</w:t>
                      </w:r>
                      <w:r w:rsidRPr="00357575">
                        <w:rPr>
                          <w:rFonts w:ascii="Segoe UI" w:hAnsi="Segoe UI" w:cs="Segoe UI"/>
                          <w:sz w:val="16"/>
                          <w:szCs w:val="15"/>
                          <w:vertAlign w:val="superscript"/>
                        </w:rPr>
                        <w:t>1</w:t>
                      </w:r>
                      <w:r>
                        <w:rPr>
                          <w:rFonts w:ascii="Segoe UI" w:hAnsi="Segoe UI" w:cs="Segoe UI"/>
                          <w:sz w:val="16"/>
                          <w:szCs w:val="15"/>
                        </w:rPr>
                        <w:t xml:space="preserve"> ενισχύθηκαν κατά 58%</w:t>
                      </w:r>
                      <w:r w:rsidRPr="00510FD8">
                        <w:rPr>
                          <w:rFonts w:ascii="Segoe UI" w:hAnsi="Segoe UI" w:cs="Segoe UI"/>
                          <w:sz w:val="16"/>
                          <w:szCs w:val="15"/>
                        </w:rPr>
                        <w:t xml:space="preserve"> σε ετήσια βάση, σε €</w:t>
                      </w:r>
                      <w:r>
                        <w:rPr>
                          <w:rFonts w:ascii="Segoe UI" w:hAnsi="Segoe UI" w:cs="Segoe UI"/>
                          <w:sz w:val="16"/>
                          <w:szCs w:val="15"/>
                        </w:rPr>
                        <w:t>208</w:t>
                      </w:r>
                      <w:r w:rsidRPr="00510FD8">
                        <w:rPr>
                          <w:rFonts w:ascii="Segoe UI" w:hAnsi="Segoe UI" w:cs="Segoe UI"/>
                          <w:sz w:val="16"/>
                          <w:szCs w:val="15"/>
                        </w:rPr>
                        <w:t xml:space="preserve"> εκατ., </w:t>
                      </w:r>
                      <w:r>
                        <w:rPr>
                          <w:rFonts w:ascii="Segoe UI" w:hAnsi="Segoe UI" w:cs="Segoe UI"/>
                          <w:sz w:val="16"/>
                          <w:szCs w:val="15"/>
                        </w:rPr>
                        <w:t>αντανακλώντας την ανάκαμψη των οργανικών εσόδων και την περαιτέρω βελτιστοποίηση του λειτουργικού κόστους της Τράπεζας</w:t>
                      </w:r>
                    </w:p>
                    <w:p w:rsidR="00DA0337" w:rsidRPr="00B27349" w:rsidRDefault="00DA0337" w:rsidP="007627B4">
                      <w:pPr>
                        <w:spacing w:before="80"/>
                        <w:ind w:left="644"/>
                        <w:rPr>
                          <w:rFonts w:ascii="Segoe UI" w:hAnsi="Segoe UI" w:cs="Segoe UI"/>
                          <w:sz w:val="6"/>
                          <w:szCs w:val="6"/>
                          <w:highlight w:val="yellow"/>
                        </w:rPr>
                      </w:pPr>
                    </w:p>
                    <w:p w:rsidR="00DA0337" w:rsidRPr="00840C16" w:rsidRDefault="00DA0337" w:rsidP="007627B4">
                      <w:pPr>
                        <w:numPr>
                          <w:ilvl w:val="0"/>
                          <w:numId w:val="6"/>
                        </w:numPr>
                        <w:spacing w:before="120"/>
                        <w:rPr>
                          <w:rFonts w:ascii="Segoe UI" w:hAnsi="Segoe UI" w:cs="Segoe UI"/>
                          <w:b/>
                          <w:sz w:val="16"/>
                          <w:szCs w:val="15"/>
                        </w:rPr>
                      </w:pPr>
                      <w:r w:rsidRPr="00840C16">
                        <w:rPr>
                          <w:rFonts w:ascii="Segoe UI" w:hAnsi="Segoe UI" w:cs="Segoe UI"/>
                          <w:b/>
                          <w:sz w:val="16"/>
                          <w:szCs w:val="15"/>
                          <w:lang w:val="en-US"/>
                        </w:rPr>
                        <w:t>T</w:t>
                      </w:r>
                      <w:r w:rsidRPr="00840C16">
                        <w:rPr>
                          <w:rFonts w:ascii="Segoe UI" w:hAnsi="Segoe UI" w:cs="Segoe UI"/>
                          <w:b/>
                          <w:sz w:val="16"/>
                          <w:szCs w:val="15"/>
                        </w:rPr>
                        <w:t>ο υπόλοιπο Μ</w:t>
                      </w:r>
                      <w:r>
                        <w:rPr>
                          <w:rFonts w:ascii="Segoe UI" w:hAnsi="Segoe UI" w:cs="Segoe UI"/>
                          <w:b/>
                          <w:sz w:val="16"/>
                          <w:szCs w:val="15"/>
                        </w:rPr>
                        <w:t xml:space="preserve">η </w:t>
                      </w:r>
                      <w:r w:rsidRPr="00840C16">
                        <w:rPr>
                          <w:rFonts w:ascii="Segoe UI" w:hAnsi="Segoe UI" w:cs="Segoe UI"/>
                          <w:b/>
                          <w:sz w:val="16"/>
                          <w:szCs w:val="15"/>
                        </w:rPr>
                        <w:t>Ε</w:t>
                      </w:r>
                      <w:r>
                        <w:rPr>
                          <w:rFonts w:ascii="Segoe UI" w:hAnsi="Segoe UI" w:cs="Segoe UI"/>
                          <w:b/>
                          <w:sz w:val="16"/>
                          <w:szCs w:val="15"/>
                        </w:rPr>
                        <w:t xml:space="preserve">ξυπηρετούμενων </w:t>
                      </w:r>
                      <w:r w:rsidRPr="00840C16">
                        <w:rPr>
                          <w:rFonts w:ascii="Segoe UI" w:hAnsi="Segoe UI" w:cs="Segoe UI"/>
                          <w:b/>
                          <w:sz w:val="16"/>
                          <w:szCs w:val="15"/>
                        </w:rPr>
                        <w:t>Α</w:t>
                      </w:r>
                      <w:r>
                        <w:rPr>
                          <w:rFonts w:ascii="Segoe UI" w:hAnsi="Segoe UI" w:cs="Segoe UI"/>
                          <w:b/>
                          <w:sz w:val="16"/>
                          <w:szCs w:val="15"/>
                        </w:rPr>
                        <w:t>νοιγμάτων (ΜΕΑ)</w:t>
                      </w:r>
                      <w:r w:rsidRPr="00840C16">
                        <w:rPr>
                          <w:rFonts w:ascii="Segoe UI" w:hAnsi="Segoe UI" w:cs="Segoe UI"/>
                          <w:b/>
                          <w:sz w:val="16"/>
                          <w:szCs w:val="15"/>
                        </w:rPr>
                        <w:t xml:space="preserve"> στην Ελλάδα </w:t>
                      </w:r>
                      <w:r>
                        <w:rPr>
                          <w:rFonts w:ascii="Segoe UI" w:hAnsi="Segoe UI" w:cs="Segoe UI"/>
                          <w:b/>
                          <w:sz w:val="16"/>
                          <w:szCs w:val="15"/>
                        </w:rPr>
                        <w:t>μειώθηκε</w:t>
                      </w:r>
                      <w:r w:rsidRPr="00840C16">
                        <w:rPr>
                          <w:rFonts w:ascii="Segoe UI" w:hAnsi="Segoe UI" w:cs="Segoe UI"/>
                          <w:b/>
                          <w:sz w:val="16"/>
                          <w:szCs w:val="15"/>
                        </w:rPr>
                        <w:t xml:space="preserve"> σε €4</w:t>
                      </w:r>
                      <w:r>
                        <w:rPr>
                          <w:rFonts w:ascii="Segoe UI" w:hAnsi="Segoe UI" w:cs="Segoe UI"/>
                          <w:b/>
                          <w:sz w:val="16"/>
                          <w:szCs w:val="15"/>
                        </w:rPr>
                        <w:t>,0</w:t>
                      </w:r>
                      <w:r w:rsidRPr="00950743">
                        <w:rPr>
                          <w:rFonts w:ascii="Segoe UI" w:hAnsi="Segoe UI" w:cs="Segoe UI"/>
                          <w:b/>
                          <w:sz w:val="16"/>
                          <w:szCs w:val="15"/>
                          <w:vertAlign w:val="superscript"/>
                        </w:rPr>
                        <w:t>2</w:t>
                      </w:r>
                      <w:r w:rsidRPr="00840C16">
                        <w:rPr>
                          <w:rFonts w:ascii="Segoe UI" w:hAnsi="Segoe UI" w:cs="Segoe UI"/>
                          <w:b/>
                          <w:sz w:val="16"/>
                          <w:szCs w:val="15"/>
                        </w:rPr>
                        <w:t xml:space="preserve"> δισ.</w:t>
                      </w:r>
                    </w:p>
                    <w:p w:rsidR="00DA0337" w:rsidRPr="00034E14" w:rsidRDefault="00DA0337" w:rsidP="00A143AF">
                      <w:pPr>
                        <w:pStyle w:val="a7"/>
                        <w:numPr>
                          <w:ilvl w:val="0"/>
                          <w:numId w:val="7"/>
                        </w:numPr>
                        <w:spacing w:before="100" w:after="0" w:line="240" w:lineRule="auto"/>
                        <w:jc w:val="left"/>
                        <w:rPr>
                          <w:rFonts w:ascii="Segoe UI" w:hAnsi="Segoe UI" w:cs="Segoe UI"/>
                          <w:sz w:val="16"/>
                          <w:szCs w:val="15"/>
                        </w:rPr>
                      </w:pPr>
                      <w:r w:rsidRPr="00034E14">
                        <w:rPr>
                          <w:rFonts w:ascii="Segoe UI" w:hAnsi="Segoe UI" w:cs="Segoe UI"/>
                          <w:sz w:val="16"/>
                          <w:szCs w:val="15"/>
                        </w:rPr>
                        <w:t xml:space="preserve">Στην Ελλάδα, τα ΜΕΑ </w:t>
                      </w:r>
                      <w:r>
                        <w:rPr>
                          <w:rFonts w:ascii="Segoe UI" w:hAnsi="Segoe UI" w:cs="Segoe UI"/>
                          <w:sz w:val="16"/>
                          <w:szCs w:val="15"/>
                        </w:rPr>
                        <w:t xml:space="preserve">διαμορφώθηκαν </w:t>
                      </w:r>
                      <w:r w:rsidRPr="00034E14">
                        <w:rPr>
                          <w:rFonts w:ascii="Segoe UI" w:hAnsi="Segoe UI" w:cs="Segoe UI"/>
                          <w:sz w:val="16"/>
                          <w:szCs w:val="15"/>
                        </w:rPr>
                        <w:t xml:space="preserve">σε €4,0 δισ. </w:t>
                      </w:r>
                      <w:r>
                        <w:rPr>
                          <w:rFonts w:ascii="Segoe UI" w:hAnsi="Segoe UI" w:cs="Segoe UI"/>
                          <w:sz w:val="16"/>
                          <w:szCs w:val="15"/>
                        </w:rPr>
                        <w:t xml:space="preserve">το Β’ τρίμηνο 2021 </w:t>
                      </w:r>
                      <w:r w:rsidRPr="00034E14">
                        <w:rPr>
                          <w:rFonts w:ascii="Segoe UI" w:hAnsi="Segoe UI" w:cs="Segoe UI"/>
                          <w:sz w:val="16"/>
                          <w:szCs w:val="15"/>
                        </w:rPr>
                        <w:t xml:space="preserve">ή €1,4 δισ. </w:t>
                      </w:r>
                      <w:r w:rsidRPr="00A143AF">
                        <w:rPr>
                          <w:rFonts w:ascii="Segoe UI" w:hAnsi="Segoe UI" w:cs="Segoe UI"/>
                          <w:sz w:val="16"/>
                          <w:szCs w:val="15"/>
                        </w:rPr>
                        <w:t>μετά από προβλέψεις</w:t>
                      </w:r>
                      <w:r w:rsidRPr="00034E14">
                        <w:rPr>
                          <w:rFonts w:ascii="Segoe UI" w:hAnsi="Segoe UI" w:cs="Segoe UI"/>
                          <w:sz w:val="16"/>
                          <w:szCs w:val="15"/>
                        </w:rPr>
                        <w:t>, εκ των οποίων τα ρυθμισμένα ΜΕΑ που παρουσιάζουν καθυστέρηση κάτω των 30 ημερών ανέρχονται σε €1,</w:t>
                      </w:r>
                      <w:r>
                        <w:rPr>
                          <w:rFonts w:ascii="Segoe UI" w:hAnsi="Segoe UI" w:cs="Segoe UI"/>
                          <w:sz w:val="16"/>
                          <w:szCs w:val="15"/>
                        </w:rPr>
                        <w:t>4</w:t>
                      </w:r>
                      <w:r w:rsidRPr="00034E14">
                        <w:rPr>
                          <w:rFonts w:ascii="Segoe UI" w:hAnsi="Segoe UI" w:cs="Segoe UI"/>
                          <w:sz w:val="16"/>
                          <w:szCs w:val="15"/>
                        </w:rPr>
                        <w:t xml:space="preserve"> δισ. (</w:t>
                      </w:r>
                      <w:r>
                        <w:rPr>
                          <w:rFonts w:ascii="Segoe UI" w:hAnsi="Segoe UI" w:cs="Segoe UI"/>
                          <w:sz w:val="16"/>
                          <w:szCs w:val="15"/>
                        </w:rPr>
                        <w:t>περίπου 35</w:t>
                      </w:r>
                      <w:r w:rsidRPr="00034E14">
                        <w:rPr>
                          <w:rFonts w:ascii="Segoe UI" w:hAnsi="Segoe UI" w:cs="Segoe UI"/>
                          <w:sz w:val="16"/>
                          <w:szCs w:val="15"/>
                        </w:rPr>
                        <w:t>% του συνόλου)</w:t>
                      </w:r>
                    </w:p>
                    <w:p w:rsidR="00DA0337" w:rsidRDefault="00DA0337" w:rsidP="003F55F6">
                      <w:pPr>
                        <w:pStyle w:val="a7"/>
                        <w:numPr>
                          <w:ilvl w:val="0"/>
                          <w:numId w:val="7"/>
                        </w:numPr>
                        <w:spacing w:before="100" w:after="0" w:line="240" w:lineRule="auto"/>
                        <w:jc w:val="left"/>
                        <w:rPr>
                          <w:rFonts w:ascii="Segoe UI" w:hAnsi="Segoe UI" w:cs="Segoe UI"/>
                          <w:sz w:val="16"/>
                          <w:szCs w:val="15"/>
                        </w:rPr>
                      </w:pPr>
                      <w:r w:rsidRPr="003F55F6">
                        <w:rPr>
                          <w:rFonts w:ascii="Segoe UI" w:hAnsi="Segoe UI" w:cs="Segoe UI"/>
                          <w:sz w:val="16"/>
                          <w:szCs w:val="15"/>
                        </w:rPr>
                        <w:t xml:space="preserve">Η </w:t>
                      </w:r>
                      <w:r>
                        <w:rPr>
                          <w:rFonts w:ascii="Segoe UI" w:hAnsi="Segoe UI" w:cs="Segoe UI"/>
                          <w:sz w:val="16"/>
                          <w:szCs w:val="15"/>
                        </w:rPr>
                        <w:t xml:space="preserve">οργανική </w:t>
                      </w:r>
                      <w:r w:rsidRPr="003F55F6">
                        <w:rPr>
                          <w:rFonts w:ascii="Segoe UI" w:hAnsi="Segoe UI" w:cs="Segoe UI"/>
                          <w:sz w:val="16"/>
                          <w:szCs w:val="15"/>
                        </w:rPr>
                        <w:t xml:space="preserve">μείωση των ΜΕΑ διατηρήθηκε κατά το </w:t>
                      </w:r>
                      <w:r>
                        <w:rPr>
                          <w:rFonts w:ascii="Segoe UI" w:hAnsi="Segoe UI" w:cs="Segoe UI"/>
                          <w:sz w:val="16"/>
                          <w:szCs w:val="15"/>
                        </w:rPr>
                        <w:t>Β</w:t>
                      </w:r>
                      <w:r w:rsidRPr="003F55F6">
                        <w:rPr>
                          <w:rFonts w:ascii="Segoe UI" w:hAnsi="Segoe UI" w:cs="Segoe UI"/>
                          <w:sz w:val="16"/>
                          <w:szCs w:val="15"/>
                        </w:rPr>
                        <w:t>’ τρίμηνο 2021</w:t>
                      </w:r>
                      <w:r>
                        <w:rPr>
                          <w:rFonts w:ascii="Segoe UI" w:hAnsi="Segoe UI" w:cs="Segoe UI"/>
                          <w:sz w:val="16"/>
                          <w:szCs w:val="15"/>
                        </w:rPr>
                        <w:t xml:space="preserve"> και ανήλθε συνολικά σε €0,2 δισ. το Α’ εξάμηνο 2021 επιβεβαιώνοντας τον στόχο που έχει θέσει η Τράπεζα για σωρευτική μείωση ΜΕΑ ύψους €0,8 δισ. το 2021-2022</w:t>
                      </w:r>
                    </w:p>
                    <w:p w:rsidR="00DA0337" w:rsidRPr="00325112" w:rsidRDefault="00DA0337" w:rsidP="00325112">
                      <w:pPr>
                        <w:pStyle w:val="a7"/>
                        <w:numPr>
                          <w:ilvl w:val="0"/>
                          <w:numId w:val="7"/>
                        </w:numPr>
                        <w:spacing w:before="100" w:after="0" w:line="240" w:lineRule="auto"/>
                        <w:jc w:val="left"/>
                        <w:rPr>
                          <w:rFonts w:ascii="Segoe UI" w:hAnsi="Segoe UI" w:cs="Segoe UI"/>
                          <w:sz w:val="16"/>
                          <w:szCs w:val="15"/>
                        </w:rPr>
                      </w:pPr>
                      <w:r w:rsidRPr="008A5E2A">
                        <w:rPr>
                          <w:rFonts w:ascii="Segoe UI" w:hAnsi="Segoe UI" w:cs="Segoe UI"/>
                          <w:sz w:val="16"/>
                          <w:szCs w:val="15"/>
                        </w:rPr>
                        <w:t>Ο δείκτης ΜΕΑ στην Ελλάδα διαμορφώθηκε σε 12,8%</w:t>
                      </w:r>
                      <w:r w:rsidRPr="00950743">
                        <w:rPr>
                          <w:rFonts w:ascii="Segoe UI" w:hAnsi="Segoe UI" w:cs="Segoe UI"/>
                          <w:sz w:val="16"/>
                          <w:szCs w:val="15"/>
                          <w:vertAlign w:val="superscript"/>
                        </w:rPr>
                        <w:t>3</w:t>
                      </w:r>
                      <w:r w:rsidRPr="008A5E2A">
                        <w:rPr>
                          <w:rFonts w:ascii="Segoe UI" w:hAnsi="Segoe UI" w:cs="Segoe UI"/>
                          <w:sz w:val="16"/>
                          <w:szCs w:val="15"/>
                        </w:rPr>
                        <w:t xml:space="preserve"> (μείωση κατά 50μ.β. σε τριμηνιαία βάση) και σε 1</w:t>
                      </w:r>
                      <w:r>
                        <w:rPr>
                          <w:rFonts w:ascii="Segoe UI" w:hAnsi="Segoe UI" w:cs="Segoe UI"/>
                          <w:sz w:val="16"/>
                          <w:szCs w:val="15"/>
                        </w:rPr>
                        <w:t>2</w:t>
                      </w:r>
                      <w:r w:rsidRPr="008A5E2A">
                        <w:rPr>
                          <w:rFonts w:ascii="Segoe UI" w:hAnsi="Segoe UI" w:cs="Segoe UI"/>
                          <w:sz w:val="16"/>
                          <w:szCs w:val="15"/>
                        </w:rPr>
                        <w:t>,7%</w:t>
                      </w:r>
                      <w:r w:rsidRPr="00950743">
                        <w:rPr>
                          <w:rFonts w:ascii="Segoe UI" w:hAnsi="Segoe UI" w:cs="Segoe UI"/>
                          <w:sz w:val="16"/>
                          <w:szCs w:val="15"/>
                          <w:vertAlign w:val="superscript"/>
                        </w:rPr>
                        <w:t>3</w:t>
                      </w:r>
                      <w:r w:rsidRPr="008A5E2A">
                        <w:rPr>
                          <w:rFonts w:ascii="Segoe UI" w:hAnsi="Segoe UI" w:cs="Segoe UI"/>
                          <w:sz w:val="16"/>
                          <w:szCs w:val="15"/>
                        </w:rPr>
                        <w:t xml:space="preserve"> σε επίπεδο Ομίλου. Ο</w:t>
                      </w:r>
                      <w:r>
                        <w:rPr>
                          <w:rFonts w:ascii="Segoe UI" w:hAnsi="Segoe UI" w:cs="Segoe UI"/>
                          <w:sz w:val="16"/>
                          <w:szCs w:val="15"/>
                        </w:rPr>
                        <w:t xml:space="preserve"> </w:t>
                      </w:r>
                      <w:r w:rsidRPr="008A5E2A">
                        <w:rPr>
                          <w:rFonts w:ascii="Segoe UI" w:hAnsi="Segoe UI" w:cs="Segoe UI"/>
                          <w:sz w:val="16"/>
                          <w:szCs w:val="15"/>
                        </w:rPr>
                        <w:t xml:space="preserve">δείκτης κάλυψης ΜΕΑ από σωρευμένες προβλέψεις </w:t>
                      </w:r>
                      <w:r>
                        <w:rPr>
                          <w:rFonts w:ascii="Segoe UI" w:hAnsi="Segoe UI" w:cs="Segoe UI"/>
                          <w:sz w:val="16"/>
                          <w:szCs w:val="15"/>
                        </w:rPr>
                        <w:t>ανήλθε σε 66,4% στην Ελλάδα (66</w:t>
                      </w:r>
                      <w:r w:rsidRPr="008A5E2A">
                        <w:rPr>
                          <w:rFonts w:ascii="Segoe UI" w:hAnsi="Segoe UI" w:cs="Segoe UI"/>
                          <w:sz w:val="16"/>
                          <w:szCs w:val="15"/>
                        </w:rPr>
                        <w:t>,8%</w:t>
                      </w:r>
                      <w:r>
                        <w:rPr>
                          <w:rFonts w:ascii="Segoe UI" w:hAnsi="Segoe UI" w:cs="Segoe UI"/>
                          <w:sz w:val="16"/>
                          <w:szCs w:val="15"/>
                        </w:rPr>
                        <w:t xml:space="preserve"> σε επίπεδο Ομίλου), </w:t>
                      </w:r>
                      <w:r w:rsidRPr="00325112">
                        <w:rPr>
                          <w:rFonts w:ascii="Segoe UI" w:hAnsi="Segoe UI" w:cs="Segoe UI"/>
                          <w:sz w:val="16"/>
                          <w:szCs w:val="15"/>
                        </w:rPr>
                        <w:t xml:space="preserve">ενισχυμένος κατά 360μ.β. περίπου </w:t>
                      </w:r>
                      <w:r>
                        <w:rPr>
                          <w:rFonts w:ascii="Segoe UI" w:hAnsi="Segoe UI" w:cs="Segoe UI"/>
                          <w:sz w:val="16"/>
                          <w:szCs w:val="15"/>
                        </w:rPr>
                        <w:t>από την αρχή του έτους</w:t>
                      </w:r>
                      <w:r w:rsidRPr="00325112">
                        <w:rPr>
                          <w:rFonts w:ascii="Segoe UI" w:hAnsi="Segoe UI" w:cs="Segoe UI"/>
                          <w:sz w:val="16"/>
                          <w:szCs w:val="15"/>
                        </w:rPr>
                        <w:t xml:space="preserve"> </w:t>
                      </w:r>
                    </w:p>
                    <w:p w:rsidR="00DA0337" w:rsidRDefault="00DA0337" w:rsidP="000B53B4">
                      <w:pPr>
                        <w:pStyle w:val="a7"/>
                        <w:numPr>
                          <w:ilvl w:val="0"/>
                          <w:numId w:val="7"/>
                        </w:numPr>
                        <w:spacing w:before="100" w:after="0" w:line="240" w:lineRule="auto"/>
                        <w:jc w:val="left"/>
                        <w:rPr>
                          <w:rFonts w:ascii="Segoe UI" w:hAnsi="Segoe UI" w:cs="Segoe UI"/>
                          <w:sz w:val="16"/>
                          <w:szCs w:val="15"/>
                        </w:rPr>
                      </w:pPr>
                      <w:r w:rsidRPr="000B53B4">
                        <w:rPr>
                          <w:rFonts w:ascii="Segoe UI" w:hAnsi="Segoe UI" w:cs="Segoe UI"/>
                          <w:sz w:val="16"/>
                          <w:szCs w:val="15"/>
                        </w:rPr>
                        <w:t xml:space="preserve">Η κατάσταση πληρωμών των </w:t>
                      </w:r>
                      <w:r w:rsidRPr="00E072DE">
                        <w:rPr>
                          <w:rFonts w:ascii="Segoe UI" w:hAnsi="Segoe UI" w:cs="Segoe UI"/>
                          <w:sz w:val="16"/>
                          <w:szCs w:val="15"/>
                        </w:rPr>
                        <w:t xml:space="preserve">ενήμερων </w:t>
                      </w:r>
                      <w:r w:rsidRPr="000B53B4">
                        <w:rPr>
                          <w:rFonts w:ascii="Segoe UI" w:hAnsi="Segoe UI" w:cs="Segoe UI"/>
                          <w:sz w:val="16"/>
                          <w:szCs w:val="15"/>
                        </w:rPr>
                        <w:t xml:space="preserve">πελατών που είχαν ενταχθεί σε προγράμματα διευκόλυνσης καταβολής οφειλών </w:t>
                      </w:r>
                      <w:r>
                        <w:rPr>
                          <w:rFonts w:ascii="Segoe UI" w:hAnsi="Segoe UI" w:cs="Segoe UI"/>
                          <w:sz w:val="16"/>
                          <w:szCs w:val="15"/>
                        </w:rPr>
                        <w:t>συνεχίζει να ξεπερνά τις προσδοκίες της Τράπεζας</w:t>
                      </w:r>
                      <w:r w:rsidRPr="000B53B4">
                        <w:rPr>
                          <w:rFonts w:ascii="Segoe UI" w:hAnsi="Segoe UI" w:cs="Segoe UI"/>
                          <w:sz w:val="16"/>
                          <w:szCs w:val="15"/>
                        </w:rPr>
                        <w:t xml:space="preserve">, καθώς </w:t>
                      </w:r>
                      <w:r>
                        <w:rPr>
                          <w:rFonts w:ascii="Segoe UI" w:hAnsi="Segoe UI" w:cs="Segoe UI"/>
                          <w:sz w:val="16"/>
                          <w:szCs w:val="15"/>
                        </w:rPr>
                        <w:t>μόνο το 3%</w:t>
                      </w:r>
                      <w:r w:rsidRPr="000B53B4">
                        <w:rPr>
                          <w:rFonts w:ascii="Segoe UI" w:hAnsi="Segoe UI" w:cs="Segoe UI"/>
                          <w:sz w:val="16"/>
                          <w:szCs w:val="15"/>
                        </w:rPr>
                        <w:t xml:space="preserve"> </w:t>
                      </w:r>
                      <w:r>
                        <w:rPr>
                          <w:rFonts w:ascii="Segoe UI" w:hAnsi="Segoe UI" w:cs="Segoe UI"/>
                          <w:sz w:val="16"/>
                          <w:szCs w:val="15"/>
                        </w:rPr>
                        <w:t>βρίσκετ</w:t>
                      </w:r>
                      <w:r w:rsidRPr="000B53B4">
                        <w:rPr>
                          <w:rFonts w:ascii="Segoe UI" w:hAnsi="Segoe UI" w:cs="Segoe UI"/>
                          <w:sz w:val="16"/>
                          <w:szCs w:val="15"/>
                        </w:rPr>
                        <w:t xml:space="preserve">αι σε καθεστώς αθέτησης πληρωμών (άνω των 90 ημερών) </w:t>
                      </w:r>
                      <w:r>
                        <w:rPr>
                          <w:rFonts w:ascii="Segoe UI" w:hAnsi="Segoe UI" w:cs="Segoe UI"/>
                          <w:sz w:val="16"/>
                          <w:szCs w:val="15"/>
                        </w:rPr>
                        <w:t>τον Ιούλιο 2021, ενώ μόλις το 1</w:t>
                      </w:r>
                      <w:r w:rsidRPr="000B53B4">
                        <w:rPr>
                          <w:rFonts w:ascii="Segoe UI" w:hAnsi="Segoe UI" w:cs="Segoe UI"/>
                          <w:sz w:val="16"/>
                          <w:szCs w:val="15"/>
                        </w:rPr>
                        <w:t xml:space="preserve">% παρουσιάζει μικρή καθυστέρηση (άνω των 30 ημερών) </w:t>
                      </w:r>
                    </w:p>
                    <w:p w:rsidR="00DA0337" w:rsidRDefault="00DA0337" w:rsidP="00250B3E">
                      <w:pPr>
                        <w:pStyle w:val="a7"/>
                        <w:numPr>
                          <w:ilvl w:val="0"/>
                          <w:numId w:val="7"/>
                        </w:numPr>
                        <w:spacing w:before="80" w:after="0" w:line="240" w:lineRule="auto"/>
                        <w:jc w:val="left"/>
                        <w:rPr>
                          <w:rFonts w:ascii="Segoe UI" w:hAnsi="Segoe UI" w:cs="Segoe UI"/>
                          <w:sz w:val="16"/>
                          <w:szCs w:val="15"/>
                        </w:rPr>
                      </w:pPr>
                      <w:r w:rsidRPr="00E072DE">
                        <w:rPr>
                          <w:rFonts w:ascii="Segoe UI" w:hAnsi="Segoe UI" w:cs="Segoe UI"/>
                          <w:sz w:val="16"/>
                          <w:szCs w:val="15"/>
                        </w:rPr>
                        <w:t xml:space="preserve">Το 60% περίπου των ενήμερων πελατών που είχαν ενταχθεί σε προγράμματα διευκόλυνσης καταβολής οφειλών </w:t>
                      </w:r>
                      <w:r>
                        <w:rPr>
                          <w:rFonts w:ascii="Segoe UI" w:hAnsi="Segoe UI" w:cs="Segoe UI"/>
                          <w:sz w:val="16"/>
                          <w:szCs w:val="15"/>
                        </w:rPr>
                        <w:t>είναι χαμηλού ρίσκου και δεν έχουν</w:t>
                      </w:r>
                      <w:r w:rsidRPr="00E072DE">
                        <w:rPr>
                          <w:rFonts w:ascii="Segoe UI" w:hAnsi="Segoe UI" w:cs="Segoe UI"/>
                          <w:sz w:val="16"/>
                          <w:szCs w:val="15"/>
                        </w:rPr>
                        <w:t xml:space="preserve"> </w:t>
                      </w:r>
                      <w:r>
                        <w:rPr>
                          <w:rFonts w:ascii="Segoe UI" w:hAnsi="Segoe UI" w:cs="Segoe UI"/>
                          <w:sz w:val="16"/>
                          <w:szCs w:val="15"/>
                        </w:rPr>
                        <w:t>ζητήσει</w:t>
                      </w:r>
                      <w:r w:rsidRPr="00E072DE">
                        <w:rPr>
                          <w:rFonts w:ascii="Segoe UI" w:hAnsi="Segoe UI" w:cs="Segoe UI"/>
                          <w:sz w:val="16"/>
                          <w:szCs w:val="15"/>
                        </w:rPr>
                        <w:t xml:space="preserve"> περαιτέρω διευκολύνσεις πληρωμών μετά τη λήξη των εν λόγω προγραμμάτων</w:t>
                      </w:r>
                    </w:p>
                    <w:p w:rsidR="00DA0337" w:rsidRPr="00B27349" w:rsidRDefault="00DA0337" w:rsidP="007A2F4A">
                      <w:pPr>
                        <w:spacing w:before="80"/>
                        <w:ind w:left="644"/>
                        <w:rPr>
                          <w:rFonts w:ascii="Segoe UI" w:hAnsi="Segoe UI" w:cs="Segoe UI"/>
                          <w:sz w:val="6"/>
                          <w:szCs w:val="6"/>
                          <w:highlight w:val="yellow"/>
                        </w:rPr>
                      </w:pPr>
                    </w:p>
                    <w:p w:rsidR="00DA0337" w:rsidRPr="003259FE" w:rsidRDefault="00DA0337" w:rsidP="007A2F4A">
                      <w:pPr>
                        <w:numPr>
                          <w:ilvl w:val="0"/>
                          <w:numId w:val="6"/>
                        </w:numPr>
                        <w:spacing w:before="120"/>
                        <w:rPr>
                          <w:rFonts w:ascii="Segoe UI" w:hAnsi="Segoe UI" w:cs="Segoe UI"/>
                          <w:b/>
                          <w:sz w:val="16"/>
                          <w:szCs w:val="15"/>
                        </w:rPr>
                      </w:pPr>
                      <w:r w:rsidRPr="003259FE">
                        <w:rPr>
                          <w:rFonts w:ascii="Segoe UI" w:hAnsi="Segoe UI" w:cs="Segoe UI"/>
                          <w:b/>
                          <w:sz w:val="16"/>
                          <w:szCs w:val="15"/>
                        </w:rPr>
                        <w:t xml:space="preserve">Δείκτης </w:t>
                      </w:r>
                      <w:r w:rsidRPr="003259FE">
                        <w:rPr>
                          <w:rFonts w:ascii="Segoe UI" w:hAnsi="Segoe UI" w:cs="Segoe UI"/>
                          <w:b/>
                          <w:sz w:val="16"/>
                          <w:szCs w:val="15"/>
                          <w:lang w:val="en-US"/>
                        </w:rPr>
                        <w:t>CET</w:t>
                      </w:r>
                      <w:r>
                        <w:rPr>
                          <w:rFonts w:ascii="Segoe UI" w:hAnsi="Segoe UI" w:cs="Segoe UI"/>
                          <w:b/>
                          <w:sz w:val="16"/>
                          <w:szCs w:val="15"/>
                        </w:rPr>
                        <w:t>1 στο 16,0</w:t>
                      </w:r>
                      <w:r w:rsidRPr="003259FE">
                        <w:rPr>
                          <w:rFonts w:ascii="Segoe UI" w:hAnsi="Segoe UI" w:cs="Segoe UI"/>
                          <w:b/>
                          <w:sz w:val="16"/>
                          <w:szCs w:val="15"/>
                        </w:rPr>
                        <w:t>%</w:t>
                      </w:r>
                      <w:r w:rsidRPr="00950743">
                        <w:rPr>
                          <w:rFonts w:ascii="Segoe UI" w:hAnsi="Segoe UI" w:cs="Segoe UI"/>
                          <w:b/>
                          <w:sz w:val="16"/>
                          <w:szCs w:val="15"/>
                          <w:vertAlign w:val="superscript"/>
                        </w:rPr>
                        <w:t>4</w:t>
                      </w:r>
                      <w:r w:rsidRPr="003259FE">
                        <w:rPr>
                          <w:rFonts w:ascii="Segoe UI" w:hAnsi="Segoe UI" w:cs="Segoe UI"/>
                          <w:b/>
                          <w:sz w:val="16"/>
                          <w:szCs w:val="15"/>
                          <w:vertAlign w:val="superscript"/>
                        </w:rPr>
                        <w:t>,</w:t>
                      </w:r>
                      <w:r>
                        <w:rPr>
                          <w:rFonts w:ascii="Segoe UI" w:hAnsi="Segoe UI" w:cs="Segoe UI"/>
                          <w:b/>
                          <w:sz w:val="16"/>
                          <w:szCs w:val="15"/>
                        </w:rPr>
                        <w:t xml:space="preserve">, </w:t>
                      </w:r>
                      <w:r w:rsidRPr="003259FE">
                        <w:rPr>
                          <w:rFonts w:ascii="Segoe UI" w:hAnsi="Segoe UI" w:cs="Segoe UI"/>
                          <w:b/>
                          <w:sz w:val="16"/>
                          <w:szCs w:val="15"/>
                        </w:rPr>
                        <w:t>με το Συνολικό Δείκτη Κεφαλαιακής Επάρκειας να ανέρχεται σε 17,</w:t>
                      </w:r>
                      <w:r w:rsidRPr="00EA3B59">
                        <w:rPr>
                          <w:rFonts w:ascii="Segoe UI" w:hAnsi="Segoe UI" w:cs="Segoe UI"/>
                          <w:b/>
                          <w:sz w:val="16"/>
                          <w:szCs w:val="15"/>
                        </w:rPr>
                        <w:t>0</w:t>
                      </w:r>
                      <w:r w:rsidRPr="003259FE">
                        <w:rPr>
                          <w:rFonts w:ascii="Segoe UI" w:hAnsi="Segoe UI" w:cs="Segoe UI"/>
                          <w:b/>
                          <w:sz w:val="16"/>
                          <w:szCs w:val="15"/>
                        </w:rPr>
                        <w:t>%</w:t>
                      </w:r>
                      <w:r w:rsidRPr="00950743">
                        <w:rPr>
                          <w:rFonts w:ascii="Segoe UI" w:hAnsi="Segoe UI" w:cs="Segoe UI"/>
                          <w:b/>
                          <w:sz w:val="16"/>
                          <w:szCs w:val="15"/>
                          <w:vertAlign w:val="superscript"/>
                        </w:rPr>
                        <w:t>4</w:t>
                      </w:r>
                    </w:p>
                    <w:p w:rsidR="00DA0337" w:rsidRPr="003259FE" w:rsidRDefault="00DA0337" w:rsidP="007A2F4A">
                      <w:pPr>
                        <w:pStyle w:val="a7"/>
                        <w:numPr>
                          <w:ilvl w:val="0"/>
                          <w:numId w:val="8"/>
                        </w:numPr>
                        <w:spacing w:before="100" w:after="0" w:line="240" w:lineRule="auto"/>
                        <w:jc w:val="left"/>
                        <w:rPr>
                          <w:rFonts w:ascii="Segoe UI" w:hAnsi="Segoe UI" w:cs="Segoe UI"/>
                          <w:sz w:val="16"/>
                          <w:szCs w:val="15"/>
                        </w:rPr>
                      </w:pPr>
                      <w:r>
                        <w:rPr>
                          <w:rFonts w:ascii="Segoe UI" w:hAnsi="Segoe UI" w:cs="Segoe UI"/>
                          <w:sz w:val="16"/>
                          <w:szCs w:val="15"/>
                        </w:rPr>
                        <w:t>Ο δείκτης CET1 ανήλθε σε 16,0</w:t>
                      </w:r>
                      <w:r w:rsidRPr="003259FE">
                        <w:rPr>
                          <w:rFonts w:ascii="Segoe UI" w:hAnsi="Segoe UI" w:cs="Segoe UI"/>
                          <w:sz w:val="16"/>
                          <w:szCs w:val="15"/>
                        </w:rPr>
                        <w:t>%</w:t>
                      </w:r>
                      <w:r w:rsidRPr="00950743">
                        <w:rPr>
                          <w:rFonts w:ascii="Segoe UI" w:hAnsi="Segoe UI" w:cs="Segoe UI"/>
                          <w:sz w:val="16"/>
                          <w:szCs w:val="15"/>
                          <w:vertAlign w:val="superscript"/>
                        </w:rPr>
                        <w:t>4</w:t>
                      </w:r>
                      <w:r w:rsidRPr="003259FE">
                        <w:rPr>
                          <w:rFonts w:ascii="Segoe UI" w:hAnsi="Segoe UI" w:cs="Segoe UI"/>
                          <w:sz w:val="16"/>
                          <w:szCs w:val="15"/>
                        </w:rPr>
                        <w:t xml:space="preserve">, </w:t>
                      </w:r>
                      <w:r>
                        <w:rPr>
                          <w:rFonts w:ascii="Segoe UI" w:hAnsi="Segoe UI" w:cs="Segoe UI"/>
                          <w:sz w:val="16"/>
                          <w:szCs w:val="15"/>
                        </w:rPr>
                        <w:t>ενισχυμένος κατά 30μ.β. περίπου σε σχέση με την αρχή του έτους</w:t>
                      </w:r>
                      <w:r w:rsidRPr="003259FE">
                        <w:rPr>
                          <w:rFonts w:ascii="Segoe UI" w:hAnsi="Segoe UI" w:cs="Segoe UI"/>
                          <w:sz w:val="16"/>
                          <w:szCs w:val="15"/>
                        </w:rPr>
                        <w:t>. Με πλήρη επίδραση του ΔΠΧΑ 9 (</w:t>
                      </w:r>
                      <w:r w:rsidRPr="003259FE">
                        <w:rPr>
                          <w:rFonts w:ascii="Segoe UI" w:hAnsi="Segoe UI" w:cs="Segoe UI"/>
                          <w:sz w:val="16"/>
                          <w:szCs w:val="15"/>
                          <w:lang w:val="en-US"/>
                        </w:rPr>
                        <w:t>fully</w:t>
                      </w:r>
                      <w:r w:rsidRPr="003259FE">
                        <w:rPr>
                          <w:rFonts w:ascii="Segoe UI" w:hAnsi="Segoe UI" w:cs="Segoe UI"/>
                          <w:sz w:val="16"/>
                          <w:szCs w:val="15"/>
                        </w:rPr>
                        <w:t xml:space="preserve"> </w:t>
                      </w:r>
                      <w:r w:rsidRPr="003259FE">
                        <w:rPr>
                          <w:rFonts w:ascii="Segoe UI" w:hAnsi="Segoe UI" w:cs="Segoe UI"/>
                          <w:sz w:val="16"/>
                          <w:szCs w:val="15"/>
                          <w:lang w:val="en-US"/>
                        </w:rPr>
                        <w:t>loaded</w:t>
                      </w:r>
                      <w:r w:rsidRPr="00314CC6">
                        <w:rPr>
                          <w:rFonts w:ascii="Segoe UI" w:hAnsi="Segoe UI" w:cs="Segoe UI"/>
                          <w:sz w:val="16"/>
                          <w:szCs w:val="15"/>
                        </w:rPr>
                        <w:t xml:space="preserve"> - </w:t>
                      </w:r>
                      <w:r>
                        <w:rPr>
                          <w:rFonts w:ascii="Segoe UI" w:hAnsi="Segoe UI" w:cs="Segoe UI"/>
                          <w:sz w:val="16"/>
                          <w:szCs w:val="15"/>
                          <w:lang w:val="en-US"/>
                        </w:rPr>
                        <w:t>FL</w:t>
                      </w:r>
                      <w:r w:rsidRPr="003259FE">
                        <w:rPr>
                          <w:rFonts w:ascii="Segoe UI" w:hAnsi="Segoe UI" w:cs="Segoe UI"/>
                          <w:sz w:val="16"/>
                          <w:szCs w:val="15"/>
                        </w:rPr>
                        <w:t xml:space="preserve">), ο δείκτης </w:t>
                      </w:r>
                      <w:r w:rsidRPr="003259FE">
                        <w:rPr>
                          <w:rFonts w:ascii="Segoe UI" w:hAnsi="Segoe UI" w:cs="Segoe UI"/>
                          <w:sz w:val="16"/>
                          <w:szCs w:val="15"/>
                          <w:lang w:val="en-US"/>
                        </w:rPr>
                        <w:t>CET</w:t>
                      </w:r>
                      <w:r w:rsidRPr="003259FE">
                        <w:rPr>
                          <w:rFonts w:ascii="Segoe UI" w:hAnsi="Segoe UI" w:cs="Segoe UI"/>
                          <w:sz w:val="16"/>
                          <w:szCs w:val="15"/>
                        </w:rPr>
                        <w:t xml:space="preserve">1 </w:t>
                      </w:r>
                      <w:r>
                        <w:rPr>
                          <w:rFonts w:ascii="Segoe UI" w:hAnsi="Segoe UI" w:cs="Segoe UI"/>
                          <w:sz w:val="16"/>
                          <w:szCs w:val="15"/>
                          <w:lang w:val="en-US"/>
                        </w:rPr>
                        <w:t>FL</w:t>
                      </w:r>
                      <w:r w:rsidRPr="00314CC6">
                        <w:rPr>
                          <w:rFonts w:ascii="Segoe UI" w:hAnsi="Segoe UI" w:cs="Segoe UI"/>
                          <w:sz w:val="16"/>
                          <w:szCs w:val="15"/>
                        </w:rPr>
                        <w:t xml:space="preserve"> </w:t>
                      </w:r>
                      <w:r w:rsidRPr="003259FE">
                        <w:rPr>
                          <w:rFonts w:ascii="Segoe UI" w:hAnsi="Segoe UI" w:cs="Segoe UI"/>
                          <w:sz w:val="16"/>
                          <w:szCs w:val="15"/>
                        </w:rPr>
                        <w:t>διαμορφώθηκε σε 1</w:t>
                      </w:r>
                      <w:r w:rsidRPr="00EA3B59">
                        <w:rPr>
                          <w:rFonts w:ascii="Segoe UI" w:hAnsi="Segoe UI" w:cs="Segoe UI"/>
                          <w:sz w:val="16"/>
                          <w:szCs w:val="15"/>
                        </w:rPr>
                        <w:t>3</w:t>
                      </w:r>
                      <w:r w:rsidRPr="003259FE">
                        <w:rPr>
                          <w:rFonts w:ascii="Segoe UI" w:hAnsi="Segoe UI" w:cs="Segoe UI"/>
                          <w:sz w:val="16"/>
                          <w:szCs w:val="15"/>
                        </w:rPr>
                        <w:t>,</w:t>
                      </w:r>
                      <w:r w:rsidRPr="00EA3B59">
                        <w:rPr>
                          <w:rFonts w:ascii="Segoe UI" w:hAnsi="Segoe UI" w:cs="Segoe UI"/>
                          <w:sz w:val="16"/>
                          <w:szCs w:val="15"/>
                        </w:rPr>
                        <w:t>8</w:t>
                      </w:r>
                      <w:r w:rsidRPr="003259FE">
                        <w:rPr>
                          <w:rFonts w:ascii="Segoe UI" w:hAnsi="Segoe UI" w:cs="Segoe UI"/>
                          <w:sz w:val="16"/>
                          <w:szCs w:val="15"/>
                        </w:rPr>
                        <w:t>%</w:t>
                      </w:r>
                      <w:r w:rsidRPr="00950743">
                        <w:rPr>
                          <w:rFonts w:ascii="Segoe UI" w:hAnsi="Segoe UI" w:cs="Segoe UI"/>
                          <w:sz w:val="16"/>
                          <w:szCs w:val="15"/>
                          <w:vertAlign w:val="superscript"/>
                        </w:rPr>
                        <w:t>4</w:t>
                      </w:r>
                      <w:r>
                        <w:rPr>
                          <w:rFonts w:ascii="Segoe UI" w:hAnsi="Segoe UI" w:cs="Segoe UI"/>
                          <w:sz w:val="16"/>
                          <w:szCs w:val="15"/>
                        </w:rPr>
                        <w:t>, αυξημένος κατά 1</w:t>
                      </w:r>
                      <w:r w:rsidRPr="00AE53D1">
                        <w:rPr>
                          <w:rFonts w:ascii="Segoe UI" w:hAnsi="Segoe UI" w:cs="Segoe UI"/>
                          <w:sz w:val="16"/>
                          <w:szCs w:val="15"/>
                        </w:rPr>
                        <w:t>0</w:t>
                      </w:r>
                      <w:r>
                        <w:rPr>
                          <w:rFonts w:ascii="Segoe UI" w:hAnsi="Segoe UI" w:cs="Segoe UI"/>
                          <w:sz w:val="16"/>
                          <w:szCs w:val="15"/>
                        </w:rPr>
                        <w:t>0μ.β. από την αρχή του έτους</w:t>
                      </w:r>
                    </w:p>
                    <w:p w:rsidR="00DA0337" w:rsidRPr="003259FE" w:rsidRDefault="00DA0337" w:rsidP="007A2F4A">
                      <w:pPr>
                        <w:pStyle w:val="a7"/>
                        <w:numPr>
                          <w:ilvl w:val="0"/>
                          <w:numId w:val="8"/>
                        </w:numPr>
                        <w:spacing w:before="100" w:after="0" w:line="240" w:lineRule="auto"/>
                        <w:jc w:val="left"/>
                        <w:rPr>
                          <w:rFonts w:ascii="Segoe UI" w:hAnsi="Segoe UI" w:cs="Segoe UI"/>
                          <w:sz w:val="16"/>
                          <w:szCs w:val="15"/>
                        </w:rPr>
                      </w:pPr>
                      <w:r w:rsidRPr="003259FE">
                        <w:rPr>
                          <w:rFonts w:ascii="Segoe UI" w:hAnsi="Segoe UI" w:cs="Segoe UI"/>
                          <w:sz w:val="16"/>
                          <w:szCs w:val="15"/>
                        </w:rPr>
                        <w:t>Ο Συνολικός Δείκτης Κεφαλαιακής Επάρκειας ανήλθε σε 17,</w:t>
                      </w:r>
                      <w:r w:rsidRPr="00EA3B59">
                        <w:rPr>
                          <w:rFonts w:ascii="Segoe UI" w:hAnsi="Segoe UI" w:cs="Segoe UI"/>
                          <w:sz w:val="16"/>
                          <w:szCs w:val="15"/>
                        </w:rPr>
                        <w:t>0</w:t>
                      </w:r>
                      <w:r w:rsidRPr="003259FE">
                        <w:rPr>
                          <w:rFonts w:ascii="Segoe UI" w:hAnsi="Segoe UI" w:cs="Segoe UI"/>
                          <w:sz w:val="16"/>
                          <w:szCs w:val="15"/>
                        </w:rPr>
                        <w:t>%</w:t>
                      </w:r>
                      <w:r w:rsidRPr="00950743">
                        <w:rPr>
                          <w:rFonts w:ascii="Segoe UI" w:hAnsi="Segoe UI" w:cs="Segoe UI"/>
                          <w:sz w:val="16"/>
                          <w:szCs w:val="15"/>
                          <w:vertAlign w:val="superscript"/>
                        </w:rPr>
                        <w:t>4</w:t>
                      </w:r>
                      <w:r w:rsidRPr="003259FE">
                        <w:rPr>
                          <w:rFonts w:ascii="Segoe UI" w:hAnsi="Segoe UI" w:cs="Segoe UI"/>
                          <w:sz w:val="16"/>
                          <w:szCs w:val="15"/>
                        </w:rPr>
                        <w:t xml:space="preserve"> και υπερβαίνει τις κεφαλαιακές απαιτήσεις</w:t>
                      </w:r>
                      <w:r w:rsidRPr="003D57D5">
                        <w:rPr>
                          <w:rFonts w:ascii="Segoe UI" w:hAnsi="Segoe UI" w:cs="Segoe UI"/>
                          <w:sz w:val="16"/>
                          <w:szCs w:val="15"/>
                          <w:vertAlign w:val="superscript"/>
                        </w:rPr>
                        <w:t>5</w:t>
                      </w:r>
                      <w:r w:rsidRPr="003259FE">
                        <w:rPr>
                          <w:rFonts w:ascii="Segoe UI" w:hAnsi="Segoe UI" w:cs="Segoe UI"/>
                          <w:sz w:val="16"/>
                          <w:szCs w:val="15"/>
                        </w:rPr>
                        <w:t xml:space="preserve"> για το 2021 κατά </w:t>
                      </w:r>
                      <w:r>
                        <w:rPr>
                          <w:rFonts w:ascii="Segoe UI" w:hAnsi="Segoe UI" w:cs="Segoe UI"/>
                          <w:sz w:val="16"/>
                          <w:szCs w:val="15"/>
                        </w:rPr>
                        <w:t>περίπου</w:t>
                      </w:r>
                      <w:r w:rsidRPr="003259FE">
                        <w:rPr>
                          <w:rFonts w:ascii="Segoe UI" w:hAnsi="Segoe UI" w:cs="Segoe UI"/>
                          <w:sz w:val="16"/>
                          <w:szCs w:val="15"/>
                        </w:rPr>
                        <w:t xml:space="preserve"> 600μ.β. </w:t>
                      </w:r>
                    </w:p>
                    <w:p w:rsidR="00DA0337" w:rsidRDefault="00DA0337" w:rsidP="00C843F9">
                      <w:pPr>
                        <w:pStyle w:val="a7"/>
                        <w:numPr>
                          <w:ilvl w:val="0"/>
                          <w:numId w:val="8"/>
                        </w:numPr>
                        <w:spacing w:before="100" w:after="0" w:line="240" w:lineRule="auto"/>
                        <w:jc w:val="left"/>
                        <w:rPr>
                          <w:rFonts w:ascii="Segoe UI" w:hAnsi="Segoe UI" w:cs="Segoe UI"/>
                          <w:sz w:val="16"/>
                          <w:szCs w:val="15"/>
                        </w:rPr>
                      </w:pPr>
                      <w:r w:rsidRPr="003259FE">
                        <w:rPr>
                          <w:rFonts w:ascii="Segoe UI" w:hAnsi="Segoe UI" w:cs="Segoe UI"/>
                          <w:sz w:val="16"/>
                          <w:szCs w:val="15"/>
                        </w:rPr>
                        <w:t>Η ολοκλήρωση της συναλλαγής Frontier και της πώλησης της Εθνικής Ασφαλιστικής θα ενισχύσει τον Συνολικό Δείκτη Κεφαλαιακής Επάρκειας της Τράπεζας κατά περίπου 170μ.β. σε</w:t>
                      </w:r>
                      <w:r w:rsidRPr="00F51F5C">
                        <w:rPr>
                          <w:rFonts w:ascii="Segoe UI" w:hAnsi="Segoe UI" w:cs="Segoe UI"/>
                          <w:sz w:val="16"/>
                          <w:szCs w:val="15"/>
                        </w:rPr>
                        <w:t xml:space="preserve"> </w:t>
                      </w:r>
                      <w:r w:rsidRPr="00C843F9">
                        <w:rPr>
                          <w:rFonts w:ascii="Segoe UI" w:hAnsi="Segoe UI" w:cs="Segoe UI"/>
                          <w:sz w:val="16"/>
                          <w:szCs w:val="15"/>
                        </w:rPr>
                        <w:t>~</w:t>
                      </w:r>
                      <w:r>
                        <w:rPr>
                          <w:rFonts w:ascii="Segoe UI" w:hAnsi="Segoe UI" w:cs="Segoe UI"/>
                          <w:sz w:val="16"/>
                          <w:szCs w:val="15"/>
                        </w:rPr>
                        <w:t>18,8%</w:t>
                      </w:r>
                    </w:p>
                    <w:p w:rsidR="00DA0337" w:rsidRDefault="00DA0337" w:rsidP="002D0FC1">
                      <w:pPr>
                        <w:pStyle w:val="a7"/>
                        <w:numPr>
                          <w:ilvl w:val="0"/>
                          <w:numId w:val="8"/>
                        </w:numPr>
                        <w:spacing w:before="100" w:after="0" w:line="240" w:lineRule="auto"/>
                        <w:jc w:val="left"/>
                        <w:rPr>
                          <w:rFonts w:ascii="Segoe UI" w:hAnsi="Segoe UI" w:cs="Segoe UI"/>
                          <w:sz w:val="16"/>
                          <w:szCs w:val="15"/>
                        </w:rPr>
                      </w:pPr>
                      <w:r w:rsidRPr="00BB2EDF">
                        <w:rPr>
                          <w:rFonts w:ascii="Segoe UI" w:hAnsi="Segoe UI" w:cs="Segoe UI"/>
                          <w:sz w:val="16"/>
                          <w:szCs w:val="15"/>
                        </w:rPr>
                        <w:t xml:space="preserve">Η </w:t>
                      </w:r>
                      <w:r>
                        <w:rPr>
                          <w:rFonts w:ascii="Segoe UI" w:hAnsi="Segoe UI" w:cs="Segoe UI"/>
                          <w:sz w:val="16"/>
                          <w:szCs w:val="15"/>
                          <w:lang w:val="en-US"/>
                        </w:rPr>
                        <w:t>ETE</w:t>
                      </w:r>
                      <w:r w:rsidRPr="00BB2EDF">
                        <w:rPr>
                          <w:rFonts w:ascii="Segoe UI" w:hAnsi="Segoe UI" w:cs="Segoe UI"/>
                          <w:sz w:val="16"/>
                          <w:szCs w:val="15"/>
                        </w:rPr>
                        <w:t xml:space="preserve"> ολοκλήρωσε με επιτυχία την Άσκηση Προσομοίωσης Ακραίων Συνθηκών του 2021,</w:t>
                      </w:r>
                      <w:r>
                        <w:rPr>
                          <w:rFonts w:ascii="Segoe UI" w:hAnsi="Segoe UI" w:cs="Segoe UI"/>
                          <w:sz w:val="16"/>
                          <w:szCs w:val="15"/>
                        </w:rPr>
                        <w:t xml:space="preserve"> με τον δείκτη </w:t>
                      </w:r>
                      <w:r>
                        <w:rPr>
                          <w:rFonts w:ascii="Segoe UI" w:hAnsi="Segoe UI" w:cs="Segoe UI"/>
                          <w:sz w:val="16"/>
                          <w:szCs w:val="15"/>
                          <w:lang w:val="en-US"/>
                        </w:rPr>
                        <w:t>CET</w:t>
                      </w:r>
                      <w:r w:rsidRPr="00BB2EDF">
                        <w:rPr>
                          <w:rFonts w:ascii="Segoe UI" w:hAnsi="Segoe UI" w:cs="Segoe UI"/>
                          <w:sz w:val="16"/>
                          <w:szCs w:val="15"/>
                        </w:rPr>
                        <w:t xml:space="preserve">1 </w:t>
                      </w:r>
                      <w:r>
                        <w:rPr>
                          <w:rFonts w:ascii="Segoe UI" w:hAnsi="Segoe UI" w:cs="Segoe UI"/>
                          <w:sz w:val="16"/>
                          <w:szCs w:val="15"/>
                          <w:lang w:val="en-US"/>
                        </w:rPr>
                        <w:t>FL</w:t>
                      </w:r>
                      <w:r w:rsidRPr="00BB2EDF">
                        <w:rPr>
                          <w:rFonts w:ascii="Segoe UI" w:hAnsi="Segoe UI" w:cs="Segoe UI"/>
                          <w:sz w:val="16"/>
                          <w:szCs w:val="15"/>
                        </w:rPr>
                        <w:t xml:space="preserve"> </w:t>
                      </w:r>
                      <w:r>
                        <w:rPr>
                          <w:rFonts w:ascii="Segoe UI" w:hAnsi="Segoe UI" w:cs="Segoe UI"/>
                          <w:sz w:val="16"/>
                          <w:szCs w:val="15"/>
                        </w:rPr>
                        <w:t>να διαμορφώνεται σε 15,5% το 2023 υπό το Βασικό σενάριο (+270μ.β. το 2021-23)</w:t>
                      </w:r>
                      <w:r w:rsidRPr="002D0FC1">
                        <w:rPr>
                          <w:rFonts w:ascii="Segoe UI" w:hAnsi="Segoe UI" w:cs="Segoe UI"/>
                          <w:sz w:val="16"/>
                          <w:szCs w:val="15"/>
                        </w:rPr>
                        <w:t xml:space="preserve">, </w:t>
                      </w:r>
                      <w:r>
                        <w:rPr>
                          <w:rFonts w:ascii="Segoe UI" w:hAnsi="Segoe UI" w:cs="Segoe UI"/>
                          <w:sz w:val="16"/>
                          <w:szCs w:val="15"/>
                        </w:rPr>
                        <w:t>ενώ υπό το Δυσμενές</w:t>
                      </w:r>
                      <w:r w:rsidRPr="00404DE1">
                        <w:rPr>
                          <w:rFonts w:ascii="Segoe UI" w:hAnsi="Segoe UI" w:cs="Segoe UI"/>
                          <w:sz w:val="16"/>
                          <w:szCs w:val="15"/>
                        </w:rPr>
                        <w:t xml:space="preserve"> </w:t>
                      </w:r>
                      <w:r>
                        <w:rPr>
                          <w:rFonts w:ascii="Segoe UI" w:hAnsi="Segoe UI" w:cs="Segoe UI"/>
                          <w:sz w:val="16"/>
                          <w:szCs w:val="15"/>
                        </w:rPr>
                        <w:t xml:space="preserve">σενάριο </w:t>
                      </w:r>
                      <w:r w:rsidRPr="002D0FC1">
                        <w:rPr>
                          <w:rFonts w:ascii="Segoe UI" w:hAnsi="Segoe UI" w:cs="Segoe UI"/>
                          <w:sz w:val="16"/>
                          <w:szCs w:val="15"/>
                        </w:rPr>
                        <w:t>σημειώθηκε μέγιστη αρνητική επίπτωση 6</w:t>
                      </w:r>
                      <w:r w:rsidRPr="008D1FE4">
                        <w:rPr>
                          <w:rFonts w:ascii="Segoe UI" w:hAnsi="Segoe UI" w:cs="Segoe UI"/>
                          <w:sz w:val="16"/>
                          <w:szCs w:val="15"/>
                        </w:rPr>
                        <w:t>,</w:t>
                      </w:r>
                      <w:r w:rsidRPr="002D0FC1">
                        <w:rPr>
                          <w:rFonts w:ascii="Segoe UI" w:hAnsi="Segoe UI" w:cs="Segoe UI"/>
                          <w:sz w:val="16"/>
                          <w:szCs w:val="15"/>
                        </w:rPr>
                        <w:t>4</w:t>
                      </w:r>
                      <w:r>
                        <w:rPr>
                          <w:rFonts w:ascii="Segoe UI" w:hAnsi="Segoe UI" w:cs="Segoe UI"/>
                          <w:sz w:val="16"/>
                          <w:szCs w:val="15"/>
                        </w:rPr>
                        <w:t>π.μ.</w:t>
                      </w:r>
                      <w:r w:rsidRPr="002D0FC1">
                        <w:rPr>
                          <w:rFonts w:ascii="Segoe UI" w:hAnsi="Segoe UI" w:cs="Segoe UI"/>
                          <w:sz w:val="16"/>
                          <w:szCs w:val="15"/>
                        </w:rPr>
                        <w:t xml:space="preserve"> στο δείκτη CET1 FL</w:t>
                      </w:r>
                      <w:r>
                        <w:rPr>
                          <w:rFonts w:ascii="Segoe UI" w:hAnsi="Segoe UI" w:cs="Segoe UI"/>
                          <w:sz w:val="16"/>
                          <w:szCs w:val="15"/>
                        </w:rPr>
                        <w:t xml:space="preserve">. Λαμβάνοντας υπόψιν τα κέρδη μετά φόρων του Α’ εξαμήνου 2021 και την </w:t>
                      </w:r>
                      <w:r w:rsidRPr="00BB2EDF">
                        <w:rPr>
                          <w:rFonts w:ascii="Segoe UI" w:hAnsi="Segoe UI" w:cs="Segoe UI"/>
                          <w:sz w:val="16"/>
                          <w:szCs w:val="15"/>
                        </w:rPr>
                        <w:t>ολοκλήρωση της συναλλαγής Frontier και της πώλησης της Εθνικής Ασφαλιστικής</w:t>
                      </w:r>
                      <w:r>
                        <w:rPr>
                          <w:rFonts w:ascii="Segoe UI" w:hAnsi="Segoe UI" w:cs="Segoe UI"/>
                          <w:sz w:val="16"/>
                          <w:szCs w:val="15"/>
                        </w:rPr>
                        <w:t xml:space="preserve">, ο </w:t>
                      </w:r>
                      <w:r w:rsidRPr="00BB2EDF">
                        <w:rPr>
                          <w:rFonts w:ascii="Segoe UI" w:hAnsi="Segoe UI" w:cs="Segoe UI"/>
                          <w:sz w:val="16"/>
                          <w:szCs w:val="15"/>
                        </w:rPr>
                        <w:t>Συνολικός Δείκτης Κεφαλαιακής Επάρκειας αυξάνεται κατά σχεδόν 300μ.β</w:t>
                      </w:r>
                      <w:r>
                        <w:rPr>
                          <w:rFonts w:ascii="Segoe UI" w:hAnsi="Segoe UI" w:cs="Segoe UI"/>
                          <w:sz w:val="16"/>
                          <w:szCs w:val="15"/>
                        </w:rPr>
                        <w:t>.</w:t>
                      </w:r>
                    </w:p>
                    <w:p w:rsidR="00DA0337" w:rsidRPr="003259FE" w:rsidRDefault="00DA0337" w:rsidP="00D029F5">
                      <w:pPr>
                        <w:pStyle w:val="a7"/>
                        <w:spacing w:before="100" w:after="0" w:line="240" w:lineRule="auto"/>
                        <w:ind w:left="644"/>
                        <w:jc w:val="left"/>
                        <w:rPr>
                          <w:rFonts w:ascii="Segoe UI" w:hAnsi="Segoe UI" w:cs="Segoe UI"/>
                          <w:sz w:val="16"/>
                          <w:szCs w:val="15"/>
                        </w:rPr>
                      </w:pPr>
                    </w:p>
                    <w:p w:rsidR="00DA0337" w:rsidRPr="00357575" w:rsidRDefault="00DA0337" w:rsidP="00251E02">
                      <w:pPr>
                        <w:rPr>
                          <w:rFonts w:ascii="Segoe UI" w:hAnsi="Segoe UI" w:cs="Segoe UI"/>
                          <w:sz w:val="4"/>
                          <w:szCs w:val="16"/>
                          <w:vertAlign w:val="superscript"/>
                        </w:rPr>
                      </w:pPr>
                    </w:p>
                    <w:p w:rsidR="00DA0337" w:rsidRPr="00357575" w:rsidRDefault="00DA0337" w:rsidP="00251E02">
                      <w:pPr>
                        <w:rPr>
                          <w:rFonts w:ascii="Segoe UI" w:hAnsi="Segoe UI" w:cs="Segoe UI"/>
                          <w:sz w:val="14"/>
                          <w:szCs w:val="15"/>
                        </w:rPr>
                      </w:pPr>
                      <w:r w:rsidRPr="00357575">
                        <w:rPr>
                          <w:rFonts w:ascii="Segoe UI" w:hAnsi="Segoe UI" w:cs="Segoe UI"/>
                          <w:sz w:val="8"/>
                          <w:szCs w:val="16"/>
                          <w:vertAlign w:val="superscript"/>
                        </w:rPr>
                        <w:t xml:space="preserve">1 </w:t>
                      </w:r>
                      <w:r w:rsidRPr="00357575">
                        <w:rPr>
                          <w:rFonts w:ascii="Segoe UI" w:hAnsi="Segoe UI" w:cs="Segoe UI"/>
                          <w:sz w:val="8"/>
                          <w:szCs w:val="16"/>
                        </w:rPr>
                        <w:t xml:space="preserve">Εξαιρεί τα έσοδα από χρηματοοικονομικές πράξεις και λοιπά έσοδα και τις προβλέψεις σχετιζόμενες με την πανδημία του κορωνοϊού (€0,4 δισ.) το Α’ εξάμηνο 2020 / </w:t>
                      </w:r>
                      <w:r w:rsidRPr="00357575">
                        <w:rPr>
                          <w:rFonts w:ascii="Segoe UI" w:hAnsi="Segoe UI" w:cs="Segoe UI"/>
                          <w:sz w:val="8"/>
                          <w:szCs w:val="16"/>
                          <w:vertAlign w:val="superscript"/>
                        </w:rPr>
                        <w:t>2</w:t>
                      </w:r>
                      <w:r w:rsidRPr="00357575">
                        <w:rPr>
                          <w:rFonts w:ascii="Segoe UI" w:hAnsi="Segoe UI" w:cs="Segoe UI"/>
                          <w:sz w:val="8"/>
                          <w:szCs w:val="16"/>
                        </w:rPr>
                        <w:t xml:space="preserve"> Αντανακλά την ταξινόμηση του χαρτοφυλακίου Frontier ως περιουσιακό στοιχείο προοριζόμενο προς πώληση</w:t>
                      </w:r>
                      <w:r>
                        <w:rPr>
                          <w:rFonts w:ascii="Segoe UI" w:hAnsi="Segoe UI" w:cs="Segoe UI"/>
                          <w:sz w:val="8"/>
                          <w:szCs w:val="16"/>
                        </w:rPr>
                        <w:t xml:space="preserve">, υπό την αίρεση της ολοκλήρωσης της συναλλαγής / </w:t>
                      </w:r>
                      <w:r w:rsidRPr="00357575">
                        <w:rPr>
                          <w:rFonts w:ascii="Segoe UI" w:hAnsi="Segoe UI" w:cs="Segoe UI"/>
                          <w:sz w:val="8"/>
                          <w:szCs w:val="16"/>
                          <w:vertAlign w:val="superscript"/>
                        </w:rPr>
                        <w:t xml:space="preserve">3 </w:t>
                      </w:r>
                      <w:r w:rsidRPr="00357575">
                        <w:rPr>
                          <w:rFonts w:ascii="Segoe UI" w:hAnsi="Segoe UI" w:cs="Segoe UI"/>
                          <w:sz w:val="8"/>
                          <w:szCs w:val="16"/>
                        </w:rPr>
                        <w:t xml:space="preserve">Περιλαμβάνει τα ομόλογα υψηλής διαβάθμισης ύψους περίπου €3,0 δισ. της συναλλαγής Frontier / </w:t>
                      </w:r>
                      <w:r>
                        <w:rPr>
                          <w:rFonts w:ascii="Segoe UI" w:hAnsi="Segoe UI" w:cs="Segoe UI"/>
                          <w:sz w:val="8"/>
                          <w:szCs w:val="16"/>
                          <w:vertAlign w:val="superscript"/>
                        </w:rPr>
                        <w:t>4</w:t>
                      </w:r>
                      <w:r w:rsidRPr="00357575">
                        <w:rPr>
                          <w:rFonts w:ascii="Segoe UI" w:hAnsi="Segoe UI" w:cs="Segoe UI"/>
                          <w:sz w:val="8"/>
                          <w:szCs w:val="16"/>
                        </w:rPr>
                        <w:t xml:space="preserve"> Περιλαμβάνουν τα κέρδη της περιόδου / </w:t>
                      </w:r>
                      <w:r>
                        <w:rPr>
                          <w:rFonts w:ascii="Segoe UI" w:hAnsi="Segoe UI" w:cs="Segoe UI"/>
                          <w:sz w:val="8"/>
                          <w:szCs w:val="16"/>
                          <w:vertAlign w:val="superscript"/>
                        </w:rPr>
                        <w:t>5</w:t>
                      </w:r>
                      <w:r w:rsidRPr="00357575">
                        <w:rPr>
                          <w:rFonts w:ascii="Segoe UI" w:hAnsi="Segoe UI" w:cs="Segoe UI"/>
                          <w:sz w:val="8"/>
                          <w:szCs w:val="16"/>
                        </w:rPr>
                        <w:t xml:space="preserve"> Οι Συνολικές Κεφαλαιακές Απαιτήσεις (OCR) ύψους 11,00% εξαιρούν το απόθεμα Ασφαλείας των Λοιπών Συστημικά Σημαντικών Πιστωτικών Ιδρυμάτων (O-SII) ύψους 0,50%, υπό την αίρεση της έγκρισης της ΤτΕ</w:t>
                      </w:r>
                    </w:p>
                  </w:txbxContent>
                </v:textbox>
                <w10:anchorlock/>
              </v:shape>
            </w:pict>
          </mc:Fallback>
        </mc:AlternateContent>
      </w:r>
    </w:p>
    <w:p w:rsidR="0061399D" w:rsidRDefault="009F7797" w:rsidP="00D11BCD">
      <w:pPr>
        <w:pStyle w:val="body"/>
        <w:rPr>
          <w:rFonts w:ascii="Segoe UI" w:hAnsi="Segoe UI" w:cs="Segoe UI"/>
        </w:rPr>
      </w:pPr>
      <w:r>
        <w:rPr>
          <w:rFonts w:ascii="Segoe UI" w:hAnsi="Segoe UI" w:cs="Segoe UI"/>
          <w:noProof/>
          <w:color w:val="auto"/>
          <w:sz w:val="24"/>
          <w:szCs w:val="24"/>
          <w:lang w:eastAsia="el-GR"/>
        </w:rPr>
        <w:lastRenderedPageBreak/>
        <mc:AlternateContent>
          <mc:Choice Requires="wps">
            <w:drawing>
              <wp:inline distT="0" distB="0" distL="0" distR="0">
                <wp:extent cx="6471920" cy="9232900"/>
                <wp:effectExtent l="6985" t="5715" r="7620" b="635"/>
                <wp:docPr id="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920" cy="9232900"/>
                        </a:xfrm>
                        <a:prstGeom prst="rect">
                          <a:avLst/>
                        </a:prstGeom>
                        <a:solidFill>
                          <a:srgbClr val="F1F1F1">
                            <a:alpha val="89803"/>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0337" w:rsidRPr="00F37369" w:rsidRDefault="00DA0337" w:rsidP="00AB308C">
                            <w:pPr>
                              <w:numPr>
                                <w:ilvl w:val="0"/>
                                <w:numId w:val="6"/>
                              </w:numPr>
                              <w:spacing w:before="120"/>
                              <w:rPr>
                                <w:rFonts w:ascii="Segoe UI" w:hAnsi="Segoe UI" w:cs="Segoe UI"/>
                                <w:b/>
                                <w:sz w:val="16"/>
                                <w:szCs w:val="15"/>
                              </w:rPr>
                            </w:pPr>
                            <w:r w:rsidRPr="00F37369">
                              <w:rPr>
                                <w:rFonts w:ascii="Segoe UI" w:hAnsi="Segoe UI" w:cs="Segoe UI"/>
                                <w:b/>
                                <w:sz w:val="16"/>
                                <w:szCs w:val="15"/>
                              </w:rPr>
                              <w:t>Οι εκταμιεύσεις δανείων στην Ελλάδα ανήλθαν σε €2</w:t>
                            </w:r>
                            <w:r>
                              <w:rPr>
                                <w:rFonts w:ascii="Segoe UI" w:hAnsi="Segoe UI" w:cs="Segoe UI"/>
                                <w:b/>
                                <w:sz w:val="16"/>
                                <w:szCs w:val="15"/>
                              </w:rPr>
                              <w:t>,0</w:t>
                            </w:r>
                            <w:r w:rsidRPr="00F37369">
                              <w:rPr>
                                <w:rFonts w:ascii="Segoe UI" w:hAnsi="Segoe UI" w:cs="Segoe UI"/>
                                <w:b/>
                                <w:sz w:val="16"/>
                                <w:szCs w:val="15"/>
                              </w:rPr>
                              <w:t xml:space="preserve"> δισ. το Α’ εξάμηνο 2021, ενισχυμένες κατά 9% σε ετήσια βάση, αντανακλώντας τις εκταμιεύσεις δανείων Εταιρικής Τραπεζικής</w:t>
                            </w:r>
                          </w:p>
                          <w:p w:rsidR="00DA0337" w:rsidRPr="00C735EE" w:rsidRDefault="00DA0337" w:rsidP="009337EF">
                            <w:pPr>
                              <w:numPr>
                                <w:ilvl w:val="0"/>
                                <w:numId w:val="7"/>
                              </w:numPr>
                              <w:spacing w:before="100"/>
                              <w:rPr>
                                <w:rFonts w:ascii="Segoe UI" w:hAnsi="Segoe UI" w:cs="Segoe UI"/>
                                <w:sz w:val="16"/>
                                <w:szCs w:val="15"/>
                              </w:rPr>
                            </w:pPr>
                            <w:r w:rsidRPr="00C735EE">
                              <w:rPr>
                                <w:rFonts w:ascii="Segoe UI" w:hAnsi="Segoe UI" w:cs="Segoe UI"/>
                                <w:sz w:val="16"/>
                                <w:szCs w:val="15"/>
                              </w:rPr>
                              <w:t xml:space="preserve">Τα εξυπηρετούμενα δάνεια στην Ελλάδα ενισχύθηκαν κατά €1,2 δισ. σε ετήσια βάση, </w:t>
                            </w:r>
                            <w:r>
                              <w:rPr>
                                <w:rFonts w:ascii="Segoe UI" w:hAnsi="Segoe UI" w:cs="Segoe UI"/>
                                <w:sz w:val="16"/>
                                <w:szCs w:val="15"/>
                              </w:rPr>
                              <w:t>ως αποτέλεσμα</w:t>
                            </w:r>
                            <w:r w:rsidRPr="00C735EE">
                              <w:rPr>
                                <w:rFonts w:ascii="Segoe UI" w:hAnsi="Segoe UI" w:cs="Segoe UI"/>
                                <w:sz w:val="16"/>
                                <w:szCs w:val="15"/>
                              </w:rPr>
                              <w:t xml:space="preserve"> τη</w:t>
                            </w:r>
                            <w:r>
                              <w:rPr>
                                <w:rFonts w:ascii="Segoe UI" w:hAnsi="Segoe UI" w:cs="Segoe UI"/>
                                <w:sz w:val="16"/>
                                <w:szCs w:val="15"/>
                              </w:rPr>
                              <w:t>ς</w:t>
                            </w:r>
                            <w:r w:rsidRPr="00C735EE">
                              <w:rPr>
                                <w:rFonts w:ascii="Segoe UI" w:hAnsi="Segoe UI" w:cs="Segoe UI"/>
                                <w:sz w:val="16"/>
                                <w:szCs w:val="15"/>
                              </w:rPr>
                              <w:t xml:space="preserve"> αύξηση</w:t>
                            </w:r>
                            <w:r>
                              <w:rPr>
                                <w:rFonts w:ascii="Segoe UI" w:hAnsi="Segoe UI" w:cs="Segoe UI"/>
                                <w:sz w:val="16"/>
                                <w:szCs w:val="15"/>
                              </w:rPr>
                              <w:t>ς</w:t>
                            </w:r>
                            <w:r w:rsidRPr="00C735EE">
                              <w:rPr>
                                <w:rFonts w:ascii="Segoe UI" w:hAnsi="Segoe UI" w:cs="Segoe UI"/>
                                <w:sz w:val="16"/>
                                <w:szCs w:val="15"/>
                              </w:rPr>
                              <w:t xml:space="preserve"> στα εξυπηρετούμενα δάνεια Εταιρικής Τραπεζικής (+€1,5 δι</w:t>
                            </w:r>
                            <w:r>
                              <w:rPr>
                                <w:rFonts w:ascii="Segoe UI" w:hAnsi="Segoe UI" w:cs="Segoe UI"/>
                                <w:sz w:val="16"/>
                                <w:szCs w:val="15"/>
                              </w:rPr>
                              <w:t>σ.</w:t>
                            </w:r>
                            <w:r w:rsidRPr="00C735EE">
                              <w:rPr>
                                <w:rFonts w:ascii="Segoe UI" w:hAnsi="Segoe UI" w:cs="Segoe UI"/>
                                <w:sz w:val="16"/>
                                <w:szCs w:val="15"/>
                              </w:rPr>
                              <w:t>, σε ετήσια βάση), ενώ η απομόχλευση των εξυπηρετούμενων δανείων Λιανικής Τραπεζικής εμφανίζει τάσεις</w:t>
                            </w:r>
                            <w:r w:rsidRPr="00607739">
                              <w:rPr>
                                <w:rFonts w:ascii="Segoe UI" w:hAnsi="Segoe UI" w:cs="Segoe UI"/>
                                <w:sz w:val="16"/>
                                <w:szCs w:val="15"/>
                              </w:rPr>
                              <w:t xml:space="preserve"> </w:t>
                            </w:r>
                            <w:r w:rsidRPr="00C735EE">
                              <w:rPr>
                                <w:rFonts w:ascii="Segoe UI" w:hAnsi="Segoe UI" w:cs="Segoe UI"/>
                                <w:sz w:val="16"/>
                                <w:szCs w:val="15"/>
                              </w:rPr>
                              <w:t>επιβρ</w:t>
                            </w:r>
                            <w:r>
                              <w:rPr>
                                <w:rFonts w:ascii="Segoe UI" w:hAnsi="Segoe UI" w:cs="Segoe UI"/>
                                <w:sz w:val="16"/>
                                <w:szCs w:val="15"/>
                              </w:rPr>
                              <w:t>ά</w:t>
                            </w:r>
                            <w:r w:rsidRPr="00C735EE">
                              <w:rPr>
                                <w:rFonts w:ascii="Segoe UI" w:hAnsi="Segoe UI" w:cs="Segoe UI"/>
                                <w:sz w:val="16"/>
                                <w:szCs w:val="15"/>
                              </w:rPr>
                              <w:t>δυν</w:t>
                            </w:r>
                            <w:r>
                              <w:rPr>
                                <w:rFonts w:ascii="Segoe UI" w:hAnsi="Segoe UI" w:cs="Segoe UI"/>
                                <w:sz w:val="16"/>
                                <w:szCs w:val="15"/>
                              </w:rPr>
                              <w:t>σης</w:t>
                            </w:r>
                          </w:p>
                          <w:p w:rsidR="00DA0337" w:rsidRPr="00D435C6" w:rsidRDefault="00DA0337" w:rsidP="00D7049E">
                            <w:pPr>
                              <w:pStyle w:val="ListParagraph"/>
                              <w:numPr>
                                <w:ilvl w:val="0"/>
                                <w:numId w:val="7"/>
                              </w:numPr>
                              <w:spacing w:before="100" w:after="0" w:line="240" w:lineRule="auto"/>
                              <w:jc w:val="left"/>
                              <w:rPr>
                                <w:rFonts w:ascii="Segoe UI" w:hAnsi="Segoe UI" w:cs="Segoe UI"/>
                                <w:sz w:val="16"/>
                                <w:szCs w:val="15"/>
                              </w:rPr>
                            </w:pPr>
                            <w:r w:rsidRPr="00D435C6">
                              <w:rPr>
                                <w:rFonts w:ascii="Segoe UI" w:hAnsi="Segoe UI" w:cs="Segoe UI"/>
                                <w:sz w:val="16"/>
                                <w:szCs w:val="15"/>
                              </w:rPr>
                              <w:t xml:space="preserve">Οι εγχώριες καταθέσεις διαμορφώθηκαν σε €49,6 δισ. το Α’ εξάμηνο 2021, αυξημένες κατά €6,3 δισ. ή 14,5% σε ετήσια βάση, </w:t>
                            </w:r>
                            <w:r>
                              <w:rPr>
                                <w:rFonts w:ascii="Segoe UI" w:hAnsi="Segoe UI" w:cs="Segoe UI"/>
                                <w:sz w:val="16"/>
                                <w:szCs w:val="15"/>
                              </w:rPr>
                              <w:t xml:space="preserve">αντανακλώντας τις </w:t>
                            </w:r>
                            <w:r w:rsidRPr="00D435C6">
                              <w:rPr>
                                <w:rFonts w:ascii="Segoe UI" w:hAnsi="Segoe UI" w:cs="Segoe UI"/>
                                <w:sz w:val="16"/>
                                <w:szCs w:val="15"/>
                              </w:rPr>
                              <w:t>εισρο</w:t>
                            </w:r>
                            <w:r>
                              <w:rPr>
                                <w:rFonts w:ascii="Segoe UI" w:hAnsi="Segoe UI" w:cs="Segoe UI"/>
                                <w:sz w:val="16"/>
                                <w:szCs w:val="15"/>
                              </w:rPr>
                              <w:t>ές</w:t>
                            </w:r>
                            <w:r w:rsidRPr="00D435C6">
                              <w:rPr>
                                <w:rFonts w:ascii="Segoe UI" w:hAnsi="Segoe UI" w:cs="Segoe UI"/>
                                <w:sz w:val="16"/>
                                <w:szCs w:val="15"/>
                              </w:rPr>
                              <w:t xml:space="preserve"> καταθέσεων όψεως και ταμιευτηρίου, οι οποίες </w:t>
                            </w:r>
                            <w:r>
                              <w:rPr>
                                <w:rFonts w:ascii="Segoe UI" w:hAnsi="Segoe UI" w:cs="Segoe UI"/>
                                <w:sz w:val="16"/>
                                <w:szCs w:val="15"/>
                              </w:rPr>
                              <w:t xml:space="preserve">υπερβαίνουν </w:t>
                            </w:r>
                            <w:r w:rsidRPr="00D435C6">
                              <w:rPr>
                                <w:rFonts w:ascii="Segoe UI" w:hAnsi="Segoe UI" w:cs="Segoe UI"/>
                                <w:sz w:val="16"/>
                                <w:szCs w:val="15"/>
                              </w:rPr>
                              <w:t xml:space="preserve">πλέον </w:t>
                            </w:r>
                            <w:r>
                              <w:rPr>
                                <w:rFonts w:ascii="Segoe UI" w:hAnsi="Segoe UI" w:cs="Segoe UI"/>
                                <w:sz w:val="16"/>
                                <w:szCs w:val="15"/>
                              </w:rPr>
                              <w:t xml:space="preserve">το </w:t>
                            </w:r>
                            <w:r w:rsidRPr="00D435C6">
                              <w:rPr>
                                <w:rFonts w:ascii="Segoe UI" w:hAnsi="Segoe UI" w:cs="Segoe UI"/>
                                <w:sz w:val="16"/>
                                <w:szCs w:val="15"/>
                              </w:rPr>
                              <w:t xml:space="preserve">80% των συνολικών καταθέσεων </w:t>
                            </w:r>
                            <w:r>
                              <w:rPr>
                                <w:rFonts w:ascii="Segoe UI" w:hAnsi="Segoe UI" w:cs="Segoe UI"/>
                                <w:sz w:val="16"/>
                                <w:szCs w:val="15"/>
                              </w:rPr>
                              <w:t xml:space="preserve">της ΕΤΕ </w:t>
                            </w:r>
                            <w:r w:rsidRPr="00D435C6">
                              <w:rPr>
                                <w:rFonts w:ascii="Segoe UI" w:hAnsi="Segoe UI" w:cs="Segoe UI"/>
                                <w:sz w:val="16"/>
                                <w:szCs w:val="15"/>
                              </w:rPr>
                              <w:t>στην Ελλάδα</w:t>
                            </w:r>
                          </w:p>
                          <w:p w:rsidR="00DA0337" w:rsidRPr="00D435C6" w:rsidRDefault="00DA0337" w:rsidP="00D7049E">
                            <w:pPr>
                              <w:pStyle w:val="ListParagraph"/>
                              <w:numPr>
                                <w:ilvl w:val="0"/>
                                <w:numId w:val="7"/>
                              </w:numPr>
                              <w:spacing w:before="100" w:after="0" w:line="240" w:lineRule="auto"/>
                              <w:jc w:val="left"/>
                              <w:rPr>
                                <w:rFonts w:ascii="Segoe UI" w:hAnsi="Segoe UI" w:cs="Segoe UI"/>
                                <w:sz w:val="16"/>
                                <w:szCs w:val="15"/>
                              </w:rPr>
                            </w:pPr>
                            <w:r w:rsidRPr="00D435C6">
                              <w:rPr>
                                <w:rFonts w:ascii="Segoe UI" w:hAnsi="Segoe UI" w:cs="Segoe UI"/>
                                <w:sz w:val="16"/>
                                <w:szCs w:val="15"/>
                              </w:rPr>
                              <w:t xml:space="preserve">Η χρηματοδότηση από το Ευρωσύστημα (TLTRO </w:t>
                            </w:r>
                            <w:r w:rsidRPr="00D435C6">
                              <w:rPr>
                                <w:rFonts w:ascii="Segoe UI" w:hAnsi="Segoe UI" w:cs="Segoe UI"/>
                                <w:sz w:val="16"/>
                                <w:szCs w:val="15"/>
                                <w:lang w:val="en-US"/>
                              </w:rPr>
                              <w:t>III</w:t>
                            </w:r>
                            <w:r w:rsidRPr="00D435C6">
                              <w:rPr>
                                <w:rFonts w:ascii="Segoe UI" w:hAnsi="Segoe UI" w:cs="Segoe UI"/>
                                <w:sz w:val="16"/>
                                <w:szCs w:val="15"/>
                              </w:rPr>
                              <w:t xml:space="preserve">) </w:t>
                            </w:r>
                            <w:r>
                              <w:rPr>
                                <w:rFonts w:ascii="Segoe UI" w:hAnsi="Segoe UI" w:cs="Segoe UI"/>
                                <w:sz w:val="16"/>
                                <w:szCs w:val="15"/>
                              </w:rPr>
                              <w:t xml:space="preserve">διατηρείται σε </w:t>
                            </w:r>
                            <w:r w:rsidRPr="00D435C6">
                              <w:rPr>
                                <w:rFonts w:ascii="Segoe UI" w:hAnsi="Segoe UI" w:cs="Segoe UI"/>
                                <w:sz w:val="16"/>
                                <w:szCs w:val="15"/>
                              </w:rPr>
                              <w:t xml:space="preserve">€11,6 δισ., ενισχύοντας τα καθαρά έσοδα από τόκους και το καθαρό επιτοκιακό περιθώριο </w:t>
                            </w:r>
                          </w:p>
                          <w:p w:rsidR="00DA0337" w:rsidRPr="00883047" w:rsidRDefault="00DA0337" w:rsidP="00D92D17">
                            <w:pPr>
                              <w:pStyle w:val="ListParagraph"/>
                              <w:spacing w:before="100" w:after="0" w:line="240" w:lineRule="auto"/>
                              <w:ind w:left="644"/>
                              <w:jc w:val="left"/>
                              <w:rPr>
                                <w:rFonts w:ascii="Segoe UI" w:hAnsi="Segoe UI" w:cs="Segoe UI"/>
                                <w:sz w:val="16"/>
                                <w:szCs w:val="15"/>
                              </w:rPr>
                            </w:pPr>
                          </w:p>
                          <w:p w:rsidR="00DA0337" w:rsidRPr="00883047" w:rsidRDefault="00DA0337" w:rsidP="007A2F4A">
                            <w:pPr>
                              <w:numPr>
                                <w:ilvl w:val="0"/>
                                <w:numId w:val="6"/>
                              </w:numPr>
                              <w:spacing w:before="120"/>
                              <w:rPr>
                                <w:rFonts w:ascii="Segoe UI" w:hAnsi="Segoe UI" w:cs="Segoe UI"/>
                                <w:b/>
                                <w:sz w:val="16"/>
                                <w:szCs w:val="15"/>
                              </w:rPr>
                            </w:pPr>
                            <w:r w:rsidRPr="00883047">
                              <w:rPr>
                                <w:rFonts w:ascii="Segoe UI" w:hAnsi="Segoe UI" w:cs="Segoe UI"/>
                                <w:b/>
                                <w:sz w:val="16"/>
                                <w:szCs w:val="15"/>
                              </w:rPr>
                              <w:t>Ενεργή στήριξη των πελατών μας εν όψει της ανάκαμψης της ελληνικής οικονομίας</w:t>
                            </w:r>
                          </w:p>
                          <w:p w:rsidR="00DA0337" w:rsidRPr="00DD459A" w:rsidRDefault="00DA0337" w:rsidP="00DD459A">
                            <w:pPr>
                              <w:numPr>
                                <w:ilvl w:val="0"/>
                                <w:numId w:val="7"/>
                              </w:numPr>
                              <w:spacing w:before="100"/>
                              <w:rPr>
                                <w:rFonts w:ascii="Segoe UI" w:hAnsi="Segoe UI" w:cs="Segoe UI"/>
                                <w:sz w:val="16"/>
                                <w:szCs w:val="15"/>
                              </w:rPr>
                            </w:pPr>
                            <w:r w:rsidRPr="00DD459A">
                              <w:rPr>
                                <w:rFonts w:ascii="Segoe UI" w:hAnsi="Segoe UI" w:cs="Segoe UI"/>
                                <w:sz w:val="16"/>
                                <w:szCs w:val="15"/>
                              </w:rPr>
                              <w:t xml:space="preserve">Αναφορικά με τα κρατικά προγράμματα επιδότησης δόσης δανείου </w:t>
                            </w:r>
                            <w:r w:rsidRPr="000570C0">
                              <w:rPr>
                                <w:rFonts w:ascii="Segoe UI" w:hAnsi="Segoe UI" w:cs="Segoe UI"/>
                                <w:sz w:val="16"/>
                                <w:szCs w:val="15"/>
                              </w:rPr>
                              <w:t>(Γέφυρα Ι &amp; ΙΙ)</w:t>
                            </w:r>
                            <w:r w:rsidRPr="00DD459A">
                              <w:rPr>
                                <w:rFonts w:ascii="Segoe UI" w:hAnsi="Segoe UI" w:cs="Segoe UI"/>
                                <w:sz w:val="16"/>
                                <w:szCs w:val="15"/>
                              </w:rPr>
                              <w:t xml:space="preserve">, τα υπόλοιπα στεγαστικών δανείων </w:t>
                            </w:r>
                            <w:r>
                              <w:rPr>
                                <w:rFonts w:ascii="Segoe UI" w:hAnsi="Segoe UI" w:cs="Segoe UI"/>
                                <w:sz w:val="16"/>
                                <w:szCs w:val="15"/>
                              </w:rPr>
                              <w:t xml:space="preserve">ανέρχονται σε </w:t>
                            </w:r>
                            <w:r w:rsidRPr="00DD459A">
                              <w:rPr>
                                <w:rFonts w:ascii="Segoe UI" w:hAnsi="Segoe UI" w:cs="Segoe UI"/>
                                <w:sz w:val="16"/>
                                <w:szCs w:val="15"/>
                              </w:rPr>
                              <w:t>περίπου €1,4 δισ.</w:t>
                            </w:r>
                            <w:r w:rsidR="00E1032A">
                              <w:rPr>
                                <w:rFonts w:ascii="Segoe UI" w:hAnsi="Segoe UI" w:cs="Segoe UI"/>
                                <w:sz w:val="16"/>
                                <w:szCs w:val="15"/>
                              </w:rPr>
                              <w:t xml:space="preserve"> (</w:t>
                            </w:r>
                            <w:r>
                              <w:rPr>
                                <w:rFonts w:ascii="Segoe UI" w:hAnsi="Segoe UI" w:cs="Segoe UI"/>
                                <w:sz w:val="16"/>
                                <w:szCs w:val="15"/>
                              </w:rPr>
                              <w:t xml:space="preserve">σχεδόν </w:t>
                            </w:r>
                            <w:r w:rsidRPr="00DD459A">
                              <w:rPr>
                                <w:rFonts w:ascii="Segoe UI" w:hAnsi="Segoe UI" w:cs="Segoe UI"/>
                                <w:sz w:val="16"/>
                                <w:szCs w:val="15"/>
                              </w:rPr>
                              <w:t>το 40% είχε ενταχθεί σε πρόγραμμα διευκόλ</w:t>
                            </w:r>
                            <w:r>
                              <w:rPr>
                                <w:rFonts w:ascii="Segoe UI" w:hAnsi="Segoe UI" w:cs="Segoe UI"/>
                                <w:sz w:val="16"/>
                                <w:szCs w:val="15"/>
                              </w:rPr>
                              <w:t xml:space="preserve">υνσης καταβολής οφειλών </w:t>
                            </w:r>
                            <w:r w:rsidR="00E1032A">
                              <w:rPr>
                                <w:rFonts w:ascii="Segoe UI" w:hAnsi="Segoe UI" w:cs="Segoe UI"/>
                                <w:sz w:val="16"/>
                                <w:szCs w:val="15"/>
                              </w:rPr>
                              <w:t>-</w:t>
                            </w:r>
                            <w:r w:rsidRPr="00DD459A">
                              <w:rPr>
                                <w:rFonts w:ascii="Segoe UI" w:hAnsi="Segoe UI" w:cs="Segoe UI"/>
                                <w:sz w:val="16"/>
                                <w:szCs w:val="15"/>
                              </w:rPr>
                              <w:t>moratoria</w:t>
                            </w:r>
                            <w:r w:rsidR="00E1032A">
                              <w:rPr>
                                <w:rFonts w:ascii="Segoe UI" w:hAnsi="Segoe UI" w:cs="Segoe UI"/>
                                <w:sz w:val="16"/>
                                <w:szCs w:val="15"/>
                              </w:rPr>
                              <w:t>-</w:t>
                            </w:r>
                            <w:r>
                              <w:rPr>
                                <w:rFonts w:ascii="Segoe UI" w:hAnsi="Segoe UI" w:cs="Segoe UI"/>
                                <w:sz w:val="16"/>
                                <w:szCs w:val="15"/>
                              </w:rPr>
                              <w:t xml:space="preserve"> </w:t>
                            </w:r>
                            <w:r w:rsidRPr="00DD459A">
                              <w:rPr>
                                <w:rFonts w:ascii="Segoe UI" w:hAnsi="Segoe UI" w:cs="Segoe UI"/>
                                <w:sz w:val="16"/>
                                <w:szCs w:val="15"/>
                              </w:rPr>
                              <w:t>μέχρι 31.12.2020</w:t>
                            </w:r>
                            <w:r w:rsidR="00E1032A">
                              <w:rPr>
                                <w:rFonts w:ascii="Segoe UI" w:hAnsi="Segoe UI" w:cs="Segoe UI"/>
                                <w:sz w:val="16"/>
                                <w:szCs w:val="15"/>
                              </w:rPr>
                              <w:t>)</w:t>
                            </w:r>
                            <w:r w:rsidR="005D23D5">
                              <w:rPr>
                                <w:rFonts w:ascii="Segoe UI" w:hAnsi="Segoe UI" w:cs="Segoe UI"/>
                                <w:sz w:val="16"/>
                                <w:szCs w:val="15"/>
                              </w:rPr>
                              <w:t xml:space="preserve">, με τα </w:t>
                            </w:r>
                            <w:r>
                              <w:rPr>
                                <w:rFonts w:ascii="Segoe UI" w:hAnsi="Segoe UI" w:cs="Segoe UI"/>
                                <w:sz w:val="16"/>
                                <w:szCs w:val="15"/>
                              </w:rPr>
                              <w:t xml:space="preserve">επιλέξιμα </w:t>
                            </w:r>
                            <w:r w:rsidRPr="00DD459A">
                              <w:rPr>
                                <w:rFonts w:ascii="Segoe UI" w:hAnsi="Segoe UI" w:cs="Segoe UI"/>
                                <w:sz w:val="16"/>
                                <w:szCs w:val="15"/>
                              </w:rPr>
                              <w:t>υπόλοιπα δανείων μικρών και μικρομεσαίων επιχειρ</w:t>
                            </w:r>
                            <w:r>
                              <w:rPr>
                                <w:rFonts w:ascii="Segoe UI" w:hAnsi="Segoe UI" w:cs="Segoe UI"/>
                                <w:sz w:val="16"/>
                                <w:szCs w:val="15"/>
                              </w:rPr>
                              <w:t xml:space="preserve">ήσεων </w:t>
                            </w:r>
                            <w:r w:rsidR="005D23D5">
                              <w:rPr>
                                <w:rFonts w:ascii="Segoe UI" w:hAnsi="Segoe UI" w:cs="Segoe UI"/>
                                <w:sz w:val="16"/>
                                <w:szCs w:val="15"/>
                              </w:rPr>
                              <w:t>να διαμορφώνονται</w:t>
                            </w:r>
                            <w:r>
                              <w:rPr>
                                <w:rFonts w:ascii="Segoe UI" w:hAnsi="Segoe UI" w:cs="Segoe UI"/>
                                <w:sz w:val="16"/>
                                <w:szCs w:val="15"/>
                              </w:rPr>
                              <w:t xml:space="preserve"> σε περίπου €1,3 δισ. (το 3</w:t>
                            </w:r>
                            <w:r w:rsidRPr="00DD459A">
                              <w:rPr>
                                <w:rFonts w:ascii="Segoe UI" w:hAnsi="Segoe UI" w:cs="Segoe UI"/>
                                <w:sz w:val="16"/>
                                <w:szCs w:val="15"/>
                              </w:rPr>
                              <w:t>0% περίπου είχε ενταχθεί σε πρόγραμμα διευκόλυνσης καταβολής οφειλών μέχρι 31.12.2020</w:t>
                            </w:r>
                            <w:r>
                              <w:rPr>
                                <w:rFonts w:ascii="Segoe UI" w:hAnsi="Segoe UI" w:cs="Segoe UI"/>
                                <w:sz w:val="16"/>
                                <w:szCs w:val="15"/>
                              </w:rPr>
                              <w:t>)</w:t>
                            </w:r>
                          </w:p>
                          <w:p w:rsidR="00DA0337" w:rsidRPr="000570C0" w:rsidRDefault="00DA0337" w:rsidP="00424A46">
                            <w:pPr>
                              <w:numPr>
                                <w:ilvl w:val="0"/>
                                <w:numId w:val="7"/>
                              </w:numPr>
                              <w:spacing w:before="100"/>
                              <w:rPr>
                                <w:rFonts w:ascii="Segoe UI" w:hAnsi="Segoe UI" w:cs="Segoe UI"/>
                                <w:sz w:val="16"/>
                                <w:szCs w:val="15"/>
                              </w:rPr>
                            </w:pPr>
                            <w:r w:rsidRPr="000570C0">
                              <w:rPr>
                                <w:rFonts w:ascii="Segoe UI" w:hAnsi="Segoe UI" w:cs="Segoe UI"/>
                                <w:sz w:val="16"/>
                                <w:szCs w:val="15"/>
                              </w:rPr>
                              <w:t>Τα δάνεια που έχουν υπαχθεί σε στοχευμένα προγράμματα διευκόλυνσης οφειλών της ΕΤΕ ανέρχονται σε €0,3 δισ., εκ των οποίων τα 2/3</w:t>
                            </w:r>
                            <w:r w:rsidRPr="000570C0">
                              <w:rPr>
                                <w:rFonts w:ascii="Segoe UI" w:hAnsi="Segoe UI" w:cs="Segoe UI"/>
                                <w:sz w:val="16"/>
                                <w:szCs w:val="15"/>
                                <w:vertAlign w:val="superscript"/>
                              </w:rPr>
                              <w:t>α</w:t>
                            </w:r>
                            <w:r w:rsidRPr="000570C0">
                              <w:rPr>
                                <w:rFonts w:ascii="Segoe UI" w:hAnsi="Segoe UI" w:cs="Segoe UI"/>
                                <w:sz w:val="16"/>
                                <w:szCs w:val="15"/>
                              </w:rPr>
                              <w:t xml:space="preserve"> αφορούν πελάτες Εταιρικής Τραπεζικής</w:t>
                            </w:r>
                          </w:p>
                          <w:p w:rsidR="00DA0337" w:rsidRPr="00920DBF" w:rsidRDefault="00DA0337" w:rsidP="0069715D">
                            <w:pPr>
                              <w:spacing w:before="100"/>
                              <w:ind w:left="644"/>
                              <w:rPr>
                                <w:rFonts w:ascii="Segoe UI" w:hAnsi="Segoe UI" w:cs="Segoe UI"/>
                                <w:sz w:val="16"/>
                                <w:szCs w:val="15"/>
                              </w:rPr>
                            </w:pPr>
                          </w:p>
                          <w:p w:rsidR="00DA0337" w:rsidRPr="00920DBF" w:rsidRDefault="00DA0337" w:rsidP="00CC3698">
                            <w:pPr>
                              <w:numPr>
                                <w:ilvl w:val="0"/>
                                <w:numId w:val="6"/>
                              </w:numPr>
                              <w:spacing w:before="120"/>
                              <w:rPr>
                                <w:rFonts w:ascii="Segoe UI" w:hAnsi="Segoe UI" w:cs="Segoe UI"/>
                                <w:b/>
                                <w:sz w:val="16"/>
                                <w:szCs w:val="15"/>
                              </w:rPr>
                            </w:pPr>
                            <w:r>
                              <w:rPr>
                                <w:rFonts w:ascii="Segoe UI" w:hAnsi="Segoe UI" w:cs="Segoe UI"/>
                                <w:b/>
                                <w:sz w:val="16"/>
                                <w:szCs w:val="15"/>
                              </w:rPr>
                              <w:t>Τ</w:t>
                            </w:r>
                            <w:r w:rsidRPr="00CC3698">
                              <w:rPr>
                                <w:rFonts w:ascii="Segoe UI" w:hAnsi="Segoe UI" w:cs="Segoe UI"/>
                                <w:b/>
                                <w:sz w:val="16"/>
                                <w:szCs w:val="15"/>
                              </w:rPr>
                              <w:t xml:space="preserve">ο επιτυχημένο Πρόγραμμα Μετασχηματισμού αποτελεί </w:t>
                            </w:r>
                            <w:r>
                              <w:rPr>
                                <w:rFonts w:ascii="Segoe UI" w:hAnsi="Segoe UI" w:cs="Segoe UI"/>
                                <w:b/>
                                <w:sz w:val="16"/>
                                <w:szCs w:val="15"/>
                              </w:rPr>
                              <w:t>την</w:t>
                            </w:r>
                            <w:r w:rsidRPr="00CC3698">
                              <w:rPr>
                                <w:rFonts w:ascii="Segoe UI" w:hAnsi="Segoe UI" w:cs="Segoe UI"/>
                                <w:b/>
                                <w:sz w:val="16"/>
                                <w:szCs w:val="15"/>
                              </w:rPr>
                              <w:t xml:space="preserve"> κινητήρι</w:t>
                            </w:r>
                            <w:r>
                              <w:rPr>
                                <w:rFonts w:ascii="Segoe UI" w:hAnsi="Segoe UI" w:cs="Segoe UI"/>
                                <w:b/>
                                <w:sz w:val="16"/>
                                <w:szCs w:val="15"/>
                              </w:rPr>
                              <w:t>α δύναμη</w:t>
                            </w:r>
                            <w:r w:rsidRPr="00CC3698">
                              <w:rPr>
                                <w:rFonts w:ascii="Segoe UI" w:hAnsi="Segoe UI" w:cs="Segoe UI"/>
                                <w:b/>
                                <w:sz w:val="16"/>
                                <w:szCs w:val="15"/>
                              </w:rPr>
                              <w:t xml:space="preserve"> άμεσ</w:t>
                            </w:r>
                            <w:r>
                              <w:rPr>
                                <w:rFonts w:ascii="Segoe UI" w:hAnsi="Segoe UI" w:cs="Segoe UI"/>
                                <w:b/>
                                <w:sz w:val="16"/>
                                <w:szCs w:val="15"/>
                              </w:rPr>
                              <w:t>ων</w:t>
                            </w:r>
                            <w:r w:rsidRPr="00CC3698">
                              <w:rPr>
                                <w:rFonts w:ascii="Segoe UI" w:hAnsi="Segoe UI" w:cs="Segoe UI"/>
                                <w:b/>
                                <w:sz w:val="16"/>
                                <w:szCs w:val="15"/>
                              </w:rPr>
                              <w:t xml:space="preserve"> και επιτυχημέν</w:t>
                            </w:r>
                            <w:r>
                              <w:rPr>
                                <w:rFonts w:ascii="Segoe UI" w:hAnsi="Segoe UI" w:cs="Segoe UI"/>
                                <w:b/>
                                <w:sz w:val="16"/>
                                <w:szCs w:val="15"/>
                              </w:rPr>
                              <w:t>ων</w:t>
                            </w:r>
                            <w:r w:rsidRPr="00CC3698">
                              <w:rPr>
                                <w:rFonts w:ascii="Segoe UI" w:hAnsi="Segoe UI" w:cs="Segoe UI"/>
                                <w:b/>
                                <w:sz w:val="16"/>
                                <w:szCs w:val="15"/>
                              </w:rPr>
                              <w:t xml:space="preserve"> αλλαγ</w:t>
                            </w:r>
                            <w:r>
                              <w:rPr>
                                <w:rFonts w:ascii="Segoe UI" w:hAnsi="Segoe UI" w:cs="Segoe UI"/>
                                <w:b/>
                                <w:sz w:val="16"/>
                                <w:szCs w:val="15"/>
                              </w:rPr>
                              <w:t>ών</w:t>
                            </w:r>
                            <w:r w:rsidRPr="00CC3698">
                              <w:rPr>
                                <w:rFonts w:ascii="Segoe UI" w:hAnsi="Segoe UI" w:cs="Segoe UI"/>
                                <w:b/>
                                <w:sz w:val="16"/>
                                <w:szCs w:val="15"/>
                              </w:rPr>
                              <w:t xml:space="preserve"> </w:t>
                            </w:r>
                          </w:p>
                          <w:p w:rsidR="00DA0337" w:rsidRPr="00920DBF" w:rsidRDefault="00DA0337" w:rsidP="00454616">
                            <w:pPr>
                              <w:numPr>
                                <w:ilvl w:val="1"/>
                                <w:numId w:val="6"/>
                              </w:numPr>
                              <w:spacing w:before="80"/>
                              <w:rPr>
                                <w:rFonts w:ascii="Segoe UI" w:hAnsi="Segoe UI" w:cs="Segoe UI"/>
                                <w:sz w:val="16"/>
                                <w:szCs w:val="15"/>
                              </w:rPr>
                            </w:pPr>
                            <w:r>
                              <w:rPr>
                                <w:rFonts w:ascii="Segoe UI" w:hAnsi="Segoe UI" w:cs="Segoe UI"/>
                                <w:sz w:val="16"/>
                                <w:szCs w:val="15"/>
                              </w:rPr>
                              <w:t>Η ΕΤΕ συνεχίζει να κεφαλαιοποιεί τ</w:t>
                            </w:r>
                            <w:r w:rsidRPr="00920DBF">
                              <w:rPr>
                                <w:rFonts w:ascii="Segoe UI" w:hAnsi="Segoe UI" w:cs="Segoe UI"/>
                                <w:sz w:val="16"/>
                                <w:szCs w:val="15"/>
                              </w:rPr>
                              <w:t xml:space="preserve">ο </w:t>
                            </w:r>
                            <w:r>
                              <w:rPr>
                                <w:rFonts w:ascii="Segoe UI" w:hAnsi="Segoe UI" w:cs="Segoe UI"/>
                                <w:sz w:val="16"/>
                                <w:szCs w:val="15"/>
                              </w:rPr>
                              <w:t xml:space="preserve">επιτυχημένο </w:t>
                            </w:r>
                            <w:r w:rsidRPr="00920DBF">
                              <w:rPr>
                                <w:rFonts w:ascii="Segoe UI" w:hAnsi="Segoe UI" w:cs="Segoe UI"/>
                                <w:sz w:val="16"/>
                                <w:szCs w:val="15"/>
                              </w:rPr>
                              <w:t xml:space="preserve">Πρόγραμμα Μετασχηματισμού της, το οποίο </w:t>
                            </w:r>
                            <w:r>
                              <w:rPr>
                                <w:rFonts w:ascii="Segoe UI" w:hAnsi="Segoe UI" w:cs="Segoe UI"/>
                                <w:sz w:val="16"/>
                                <w:szCs w:val="15"/>
                              </w:rPr>
                              <w:t xml:space="preserve">ολοκλήρωσε </w:t>
                            </w:r>
                            <w:r w:rsidRPr="00920DBF">
                              <w:rPr>
                                <w:rFonts w:ascii="Segoe UI" w:hAnsi="Segoe UI" w:cs="Segoe UI"/>
                                <w:sz w:val="16"/>
                                <w:szCs w:val="15"/>
                              </w:rPr>
                              <w:t>το τρίτο έτος του</w:t>
                            </w:r>
                            <w:r>
                              <w:rPr>
                                <w:rFonts w:ascii="Segoe UI" w:hAnsi="Segoe UI" w:cs="Segoe UI"/>
                                <w:sz w:val="16"/>
                                <w:szCs w:val="15"/>
                              </w:rPr>
                              <w:t xml:space="preserve"> και συντελεί αποφασιστικά στη </w:t>
                            </w:r>
                            <w:r w:rsidRPr="00920DBF">
                              <w:rPr>
                                <w:rFonts w:ascii="Segoe UI" w:hAnsi="Segoe UI" w:cs="Segoe UI"/>
                                <w:sz w:val="16"/>
                                <w:szCs w:val="15"/>
                              </w:rPr>
                              <w:t xml:space="preserve">μετάβαση </w:t>
                            </w:r>
                            <w:r w:rsidRPr="00454616">
                              <w:rPr>
                                <w:rFonts w:ascii="Segoe UI" w:hAnsi="Segoe UI" w:cs="Segoe UI"/>
                                <w:sz w:val="16"/>
                                <w:szCs w:val="15"/>
                              </w:rPr>
                              <w:t xml:space="preserve">της Τράπεζας </w:t>
                            </w:r>
                            <w:r w:rsidRPr="00920DBF">
                              <w:rPr>
                                <w:rFonts w:ascii="Segoe UI" w:hAnsi="Segoe UI" w:cs="Segoe UI"/>
                                <w:sz w:val="16"/>
                                <w:szCs w:val="15"/>
                              </w:rPr>
                              <w:t>προς ένα πιο ευέλικτο και αποδοτικό λειτουργικό μοντέλο</w:t>
                            </w:r>
                            <w:r>
                              <w:rPr>
                                <w:rFonts w:ascii="Segoe UI" w:hAnsi="Segoe UI" w:cs="Segoe UI"/>
                                <w:sz w:val="16"/>
                                <w:szCs w:val="15"/>
                              </w:rPr>
                              <w:t xml:space="preserve"> </w:t>
                            </w:r>
                          </w:p>
                          <w:p w:rsidR="00DA0337" w:rsidRPr="00920DBF" w:rsidRDefault="00DA0337" w:rsidP="001C5FCD">
                            <w:pPr>
                              <w:numPr>
                                <w:ilvl w:val="1"/>
                                <w:numId w:val="6"/>
                              </w:numPr>
                              <w:spacing w:before="80"/>
                              <w:rPr>
                                <w:rFonts w:ascii="Segoe UI" w:hAnsi="Segoe UI" w:cs="Segoe UI"/>
                                <w:sz w:val="16"/>
                                <w:szCs w:val="15"/>
                              </w:rPr>
                            </w:pPr>
                            <w:r>
                              <w:rPr>
                                <w:rFonts w:ascii="Segoe UI" w:hAnsi="Segoe UI" w:cs="Segoe UI"/>
                                <w:sz w:val="16"/>
                                <w:szCs w:val="15"/>
                              </w:rPr>
                              <w:t>Στον απόηχο της πανδημίας του κορωνοϊού, οι</w:t>
                            </w:r>
                            <w:r w:rsidRPr="00920DBF">
                              <w:rPr>
                                <w:rFonts w:ascii="Segoe UI" w:hAnsi="Segoe UI" w:cs="Segoe UI"/>
                                <w:sz w:val="16"/>
                                <w:szCs w:val="15"/>
                              </w:rPr>
                              <w:t xml:space="preserve"> τραπεζικ</w:t>
                            </w:r>
                            <w:r>
                              <w:rPr>
                                <w:rFonts w:ascii="Segoe UI" w:hAnsi="Segoe UI" w:cs="Segoe UI"/>
                                <w:sz w:val="16"/>
                                <w:szCs w:val="15"/>
                              </w:rPr>
                              <w:t>ές</w:t>
                            </w:r>
                            <w:r w:rsidRPr="00920DBF">
                              <w:rPr>
                                <w:rFonts w:ascii="Segoe UI" w:hAnsi="Segoe UI" w:cs="Segoe UI"/>
                                <w:sz w:val="16"/>
                                <w:szCs w:val="15"/>
                              </w:rPr>
                              <w:t xml:space="preserve"> συναλλαγ</w:t>
                            </w:r>
                            <w:r>
                              <w:rPr>
                                <w:rFonts w:ascii="Segoe UI" w:hAnsi="Segoe UI" w:cs="Segoe UI"/>
                                <w:sz w:val="16"/>
                                <w:szCs w:val="15"/>
                              </w:rPr>
                              <w:t>ές αυξήθηκαν σημαντικά (+17% σε ετήσια βάση) και διενεργούνται κυρίως μέσω ψηφιακών καναλιών. Οι</w:t>
                            </w:r>
                            <w:r w:rsidRPr="00920DBF">
                              <w:rPr>
                                <w:rFonts w:ascii="Segoe UI" w:hAnsi="Segoe UI" w:cs="Segoe UI"/>
                                <w:sz w:val="16"/>
                                <w:szCs w:val="15"/>
                              </w:rPr>
                              <w:t xml:space="preserve"> συναλλαγές e-banking </w:t>
                            </w:r>
                            <w:r>
                              <w:rPr>
                                <w:rFonts w:ascii="Segoe UI" w:hAnsi="Segoe UI" w:cs="Segoe UI"/>
                                <w:sz w:val="16"/>
                                <w:szCs w:val="15"/>
                              </w:rPr>
                              <w:t>ενισχύθηκαν</w:t>
                            </w:r>
                            <w:r w:rsidRPr="00920DBF">
                              <w:rPr>
                                <w:rFonts w:ascii="Segoe UI" w:hAnsi="Segoe UI" w:cs="Segoe UI"/>
                                <w:sz w:val="16"/>
                                <w:szCs w:val="15"/>
                              </w:rPr>
                              <w:t xml:space="preserve"> κατά 3</w:t>
                            </w:r>
                            <w:r>
                              <w:rPr>
                                <w:rFonts w:ascii="Segoe UI" w:hAnsi="Segoe UI" w:cs="Segoe UI"/>
                                <w:sz w:val="16"/>
                                <w:szCs w:val="15"/>
                              </w:rPr>
                              <w:t>4</w:t>
                            </w:r>
                            <w:r w:rsidRPr="00920DBF">
                              <w:rPr>
                                <w:rFonts w:ascii="Segoe UI" w:hAnsi="Segoe UI" w:cs="Segoe UI"/>
                                <w:sz w:val="16"/>
                                <w:szCs w:val="15"/>
                              </w:rPr>
                              <w:t xml:space="preserve">% </w:t>
                            </w:r>
                            <w:r w:rsidRPr="00EE6455">
                              <w:rPr>
                                <w:rFonts w:ascii="Segoe UI" w:hAnsi="Segoe UI" w:cs="Segoe UI"/>
                                <w:sz w:val="16"/>
                                <w:szCs w:val="15"/>
                              </w:rPr>
                              <w:t>σε ετήσια βάσ</w:t>
                            </w:r>
                            <w:r>
                              <w:rPr>
                                <w:rFonts w:ascii="Segoe UI" w:hAnsi="Segoe UI" w:cs="Segoe UI"/>
                                <w:sz w:val="16"/>
                                <w:szCs w:val="15"/>
                              </w:rPr>
                              <w:t>η τ</w:t>
                            </w:r>
                            <w:r w:rsidRPr="001C5FCD">
                              <w:rPr>
                                <w:rFonts w:ascii="Segoe UI" w:hAnsi="Segoe UI" w:cs="Segoe UI"/>
                                <w:sz w:val="16"/>
                                <w:szCs w:val="15"/>
                              </w:rPr>
                              <w:t>ο Β’ τρίμηνο 2021</w:t>
                            </w:r>
                            <w:r w:rsidRPr="00920DBF">
                              <w:rPr>
                                <w:rFonts w:ascii="Segoe UI" w:hAnsi="Segoe UI" w:cs="Segoe UI"/>
                                <w:sz w:val="16"/>
                                <w:szCs w:val="15"/>
                              </w:rPr>
                              <w:t xml:space="preserve">, αντικαθιστώντας τις συναλλαγές στα καταστήματα, οι οποίες έχουν μειωθεί κατά </w:t>
                            </w:r>
                            <w:r>
                              <w:rPr>
                                <w:rFonts w:ascii="Segoe UI" w:hAnsi="Segoe UI" w:cs="Segoe UI"/>
                                <w:sz w:val="16"/>
                                <w:szCs w:val="15"/>
                              </w:rPr>
                              <w:t>52</w:t>
                            </w:r>
                            <w:r w:rsidRPr="00920DBF">
                              <w:rPr>
                                <w:rFonts w:ascii="Segoe UI" w:hAnsi="Segoe UI" w:cs="Segoe UI"/>
                                <w:sz w:val="16"/>
                                <w:szCs w:val="15"/>
                              </w:rPr>
                              <w:t xml:space="preserve">% σε σύγκριση με </w:t>
                            </w:r>
                            <w:r>
                              <w:rPr>
                                <w:rFonts w:ascii="Segoe UI" w:hAnsi="Segoe UI" w:cs="Segoe UI"/>
                                <w:sz w:val="16"/>
                                <w:szCs w:val="15"/>
                              </w:rPr>
                              <w:t>το Β’ τρίμηνο 2020</w:t>
                            </w:r>
                          </w:p>
                          <w:p w:rsidR="00DA0337" w:rsidRPr="00920DBF" w:rsidRDefault="00DA0337" w:rsidP="00411381">
                            <w:pPr>
                              <w:numPr>
                                <w:ilvl w:val="1"/>
                                <w:numId w:val="6"/>
                              </w:numPr>
                              <w:spacing w:before="80"/>
                              <w:rPr>
                                <w:rFonts w:ascii="Segoe UI" w:hAnsi="Segoe UI" w:cs="Segoe UI"/>
                                <w:sz w:val="16"/>
                                <w:szCs w:val="15"/>
                              </w:rPr>
                            </w:pPr>
                            <w:r>
                              <w:rPr>
                                <w:rFonts w:ascii="Segoe UI" w:hAnsi="Segoe UI" w:cs="Segoe UI"/>
                                <w:sz w:val="16"/>
                                <w:szCs w:val="15"/>
                              </w:rPr>
                              <w:t xml:space="preserve">Συνεχίζουμε </w:t>
                            </w:r>
                            <w:r w:rsidRPr="00920DBF">
                              <w:rPr>
                                <w:rFonts w:ascii="Segoe UI" w:hAnsi="Segoe UI" w:cs="Segoe UI"/>
                                <w:sz w:val="16"/>
                                <w:szCs w:val="15"/>
                              </w:rPr>
                              <w:t xml:space="preserve">να </w:t>
                            </w:r>
                            <w:r>
                              <w:rPr>
                                <w:rFonts w:ascii="Segoe UI" w:hAnsi="Segoe UI" w:cs="Segoe UI"/>
                                <w:sz w:val="16"/>
                                <w:szCs w:val="15"/>
                              </w:rPr>
                              <w:t xml:space="preserve">βελτιώνουμε </w:t>
                            </w:r>
                            <w:r w:rsidRPr="00411381">
                              <w:rPr>
                                <w:rFonts w:ascii="Segoe UI" w:hAnsi="Segoe UI" w:cs="Segoe UI"/>
                                <w:sz w:val="16"/>
                                <w:szCs w:val="15"/>
                              </w:rPr>
                              <w:t>τη διακυβέρνηση</w:t>
                            </w:r>
                            <w:r>
                              <w:rPr>
                                <w:rFonts w:ascii="Segoe UI" w:hAnsi="Segoe UI" w:cs="Segoe UI"/>
                                <w:sz w:val="16"/>
                                <w:szCs w:val="15"/>
                              </w:rPr>
                              <w:t xml:space="preserve"> και τις πρακτικές της Τράπεζας αναφορικά</w:t>
                            </w:r>
                            <w:r w:rsidRPr="00920DBF">
                              <w:rPr>
                                <w:rFonts w:ascii="Segoe UI" w:hAnsi="Segoe UI" w:cs="Segoe UI"/>
                                <w:sz w:val="16"/>
                                <w:szCs w:val="15"/>
                              </w:rPr>
                              <w:t xml:space="preserve"> με το περιβάλλον, την κοινωνία και την εταιρική διακυβέρνηση (ESG), </w:t>
                            </w:r>
                            <w:r>
                              <w:rPr>
                                <w:rFonts w:ascii="Segoe UI" w:hAnsi="Segoe UI" w:cs="Segoe UI"/>
                                <w:sz w:val="16"/>
                                <w:szCs w:val="15"/>
                              </w:rPr>
                              <w:t xml:space="preserve">θέτοντας σαφείς προτεραιότητες και επιτυγχάνοντας σημαντικά αποτελέσματα σε όλους τους τομείς </w:t>
                            </w:r>
                            <w:r w:rsidRPr="00920DBF">
                              <w:rPr>
                                <w:rFonts w:ascii="Segoe UI" w:hAnsi="Segoe UI" w:cs="Segoe UI"/>
                                <w:sz w:val="16"/>
                                <w:szCs w:val="15"/>
                              </w:rPr>
                              <w:t>ESG</w:t>
                            </w:r>
                          </w:p>
                          <w:p w:rsidR="00DA0337" w:rsidRPr="00262759" w:rsidRDefault="00DA0337" w:rsidP="00882181">
                            <w:pPr>
                              <w:spacing w:before="100"/>
                              <w:ind w:left="284"/>
                              <w:jc w:val="right"/>
                              <w:rPr>
                                <w:rFonts w:ascii="Segoe UI" w:hAnsi="Segoe UI" w:cs="Segoe UI"/>
                                <w:sz w:val="16"/>
                                <w:szCs w:val="16"/>
                                <w:highlight w:val="yellow"/>
                              </w:rPr>
                            </w:pPr>
                          </w:p>
                          <w:p w:rsidR="00DA0337" w:rsidRPr="0090611A" w:rsidRDefault="00DA0337" w:rsidP="00882181">
                            <w:pPr>
                              <w:spacing w:before="100"/>
                              <w:ind w:left="284"/>
                              <w:jc w:val="right"/>
                              <w:rPr>
                                <w:rFonts w:ascii="Segoe UI" w:hAnsi="Segoe UI" w:cs="Segoe UI"/>
                                <w:sz w:val="14"/>
                                <w:szCs w:val="16"/>
                              </w:rPr>
                            </w:pPr>
                            <w:r w:rsidRPr="0090611A">
                              <w:rPr>
                                <w:rFonts w:ascii="Segoe UI" w:hAnsi="Segoe UI" w:cs="Segoe UI"/>
                                <w:sz w:val="14"/>
                                <w:szCs w:val="16"/>
                              </w:rPr>
                              <w:t>Αθήνα, 5 Αυγούστου 2021</w:t>
                            </w:r>
                          </w:p>
                          <w:p w:rsidR="00DA0337" w:rsidRPr="00262759" w:rsidRDefault="00DA0337" w:rsidP="005530C7">
                            <w:pPr>
                              <w:rPr>
                                <w:rFonts w:ascii="Segoe UI" w:hAnsi="Segoe UI" w:cs="Segoe UI"/>
                                <w:sz w:val="2"/>
                                <w:szCs w:val="16"/>
                                <w:highlight w:val="yellow"/>
                                <w:vertAlign w:val="superscript"/>
                              </w:rPr>
                            </w:pPr>
                          </w:p>
                        </w:txbxContent>
                      </wps:txbx>
                      <wps:bodyPr rot="0" vert="horz" wrap="square" lIns="91440" tIns="45720" rIns="91440" bIns="45720" anchor="t" anchorCtr="0" upright="1">
                        <a:noAutofit/>
                      </wps:bodyPr>
                    </wps:wsp>
                  </a:graphicData>
                </a:graphic>
              </wp:inline>
            </w:drawing>
          </mc:Choice>
          <mc:Fallback>
            <w:pict>
              <v:shape id="Text Box 42" o:spid="_x0000_s1030" type="#_x0000_t202" style="width:509.6pt;height:7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" fillcolor="#f1f1f1" stroked="f">
                <v:fill opacity="58853f"/>
                <v:textbox>
                  <w:txbxContent>
                    <w:p w:rsidR="00DA0337" w:rsidRPr="00F37369" w:rsidRDefault="00DA0337" w:rsidP="00AB308C">
                      <w:pPr>
                        <w:numPr>
                          <w:ilvl w:val="0"/>
                          <w:numId w:val="6"/>
                        </w:numPr>
                        <w:spacing w:before="120"/>
                        <w:rPr>
                          <w:rFonts w:ascii="Segoe UI" w:hAnsi="Segoe UI" w:cs="Segoe UI"/>
                          <w:b/>
                          <w:sz w:val="16"/>
                          <w:szCs w:val="15"/>
                        </w:rPr>
                      </w:pPr>
                      <w:r w:rsidRPr="00F37369">
                        <w:rPr>
                          <w:rFonts w:ascii="Segoe UI" w:hAnsi="Segoe UI" w:cs="Segoe UI"/>
                          <w:b/>
                          <w:sz w:val="16"/>
                          <w:szCs w:val="15"/>
                        </w:rPr>
                        <w:t>Οι εκταμιεύσεις δανείων στην Ελλάδα ανήλθαν σε €2</w:t>
                      </w:r>
                      <w:r>
                        <w:rPr>
                          <w:rFonts w:ascii="Segoe UI" w:hAnsi="Segoe UI" w:cs="Segoe UI"/>
                          <w:b/>
                          <w:sz w:val="16"/>
                          <w:szCs w:val="15"/>
                        </w:rPr>
                        <w:t>,0</w:t>
                      </w:r>
                      <w:r w:rsidRPr="00F37369">
                        <w:rPr>
                          <w:rFonts w:ascii="Segoe UI" w:hAnsi="Segoe UI" w:cs="Segoe UI"/>
                          <w:b/>
                          <w:sz w:val="16"/>
                          <w:szCs w:val="15"/>
                        </w:rPr>
                        <w:t xml:space="preserve"> δισ. το Α’ εξάμηνο 2021, ενισχυμένες κατά 9% σε ετήσια βάση, αντανακλώντας τις εκταμιεύσεις δανείων Εταιρικής Τραπεζικής</w:t>
                      </w:r>
                    </w:p>
                    <w:p w:rsidR="00DA0337" w:rsidRPr="00C735EE" w:rsidRDefault="00DA0337" w:rsidP="009337EF">
                      <w:pPr>
                        <w:numPr>
                          <w:ilvl w:val="0"/>
                          <w:numId w:val="7"/>
                        </w:numPr>
                        <w:spacing w:before="100"/>
                        <w:rPr>
                          <w:rFonts w:ascii="Segoe UI" w:hAnsi="Segoe UI" w:cs="Segoe UI"/>
                          <w:sz w:val="16"/>
                          <w:szCs w:val="15"/>
                        </w:rPr>
                      </w:pPr>
                      <w:r w:rsidRPr="00C735EE">
                        <w:rPr>
                          <w:rFonts w:ascii="Segoe UI" w:hAnsi="Segoe UI" w:cs="Segoe UI"/>
                          <w:sz w:val="16"/>
                          <w:szCs w:val="15"/>
                        </w:rPr>
                        <w:t xml:space="preserve">Τα εξυπηρετούμενα δάνεια στην Ελλάδα ενισχύθηκαν κατά €1,2 δισ. σε ετήσια βάση, </w:t>
                      </w:r>
                      <w:r>
                        <w:rPr>
                          <w:rFonts w:ascii="Segoe UI" w:hAnsi="Segoe UI" w:cs="Segoe UI"/>
                          <w:sz w:val="16"/>
                          <w:szCs w:val="15"/>
                        </w:rPr>
                        <w:t>ως αποτέλεσμα</w:t>
                      </w:r>
                      <w:r w:rsidRPr="00C735EE">
                        <w:rPr>
                          <w:rFonts w:ascii="Segoe UI" w:hAnsi="Segoe UI" w:cs="Segoe UI"/>
                          <w:sz w:val="16"/>
                          <w:szCs w:val="15"/>
                        </w:rPr>
                        <w:t xml:space="preserve"> τη</w:t>
                      </w:r>
                      <w:r>
                        <w:rPr>
                          <w:rFonts w:ascii="Segoe UI" w:hAnsi="Segoe UI" w:cs="Segoe UI"/>
                          <w:sz w:val="16"/>
                          <w:szCs w:val="15"/>
                        </w:rPr>
                        <w:t>ς</w:t>
                      </w:r>
                      <w:r w:rsidRPr="00C735EE">
                        <w:rPr>
                          <w:rFonts w:ascii="Segoe UI" w:hAnsi="Segoe UI" w:cs="Segoe UI"/>
                          <w:sz w:val="16"/>
                          <w:szCs w:val="15"/>
                        </w:rPr>
                        <w:t xml:space="preserve"> αύξηση</w:t>
                      </w:r>
                      <w:r>
                        <w:rPr>
                          <w:rFonts w:ascii="Segoe UI" w:hAnsi="Segoe UI" w:cs="Segoe UI"/>
                          <w:sz w:val="16"/>
                          <w:szCs w:val="15"/>
                        </w:rPr>
                        <w:t>ς</w:t>
                      </w:r>
                      <w:r w:rsidRPr="00C735EE">
                        <w:rPr>
                          <w:rFonts w:ascii="Segoe UI" w:hAnsi="Segoe UI" w:cs="Segoe UI"/>
                          <w:sz w:val="16"/>
                          <w:szCs w:val="15"/>
                        </w:rPr>
                        <w:t xml:space="preserve"> στα εξυπηρετούμενα δάνεια Εταιρικής Τραπεζικής (+€1,5 δι</w:t>
                      </w:r>
                      <w:r>
                        <w:rPr>
                          <w:rFonts w:ascii="Segoe UI" w:hAnsi="Segoe UI" w:cs="Segoe UI"/>
                          <w:sz w:val="16"/>
                          <w:szCs w:val="15"/>
                        </w:rPr>
                        <w:t>σ.</w:t>
                      </w:r>
                      <w:r w:rsidRPr="00C735EE">
                        <w:rPr>
                          <w:rFonts w:ascii="Segoe UI" w:hAnsi="Segoe UI" w:cs="Segoe UI"/>
                          <w:sz w:val="16"/>
                          <w:szCs w:val="15"/>
                        </w:rPr>
                        <w:t>, σε ετήσια βάση), ενώ η απομόχλευση των εξυπηρετούμενων δανείων Λιανικής Τραπεζικής εμφανίζει τάσεις</w:t>
                      </w:r>
                      <w:r w:rsidRPr="00607739">
                        <w:rPr>
                          <w:rFonts w:ascii="Segoe UI" w:hAnsi="Segoe UI" w:cs="Segoe UI"/>
                          <w:sz w:val="16"/>
                          <w:szCs w:val="15"/>
                        </w:rPr>
                        <w:t xml:space="preserve"> </w:t>
                      </w:r>
                      <w:r w:rsidRPr="00C735EE">
                        <w:rPr>
                          <w:rFonts w:ascii="Segoe UI" w:hAnsi="Segoe UI" w:cs="Segoe UI"/>
                          <w:sz w:val="16"/>
                          <w:szCs w:val="15"/>
                        </w:rPr>
                        <w:t>επιβρ</w:t>
                      </w:r>
                      <w:r>
                        <w:rPr>
                          <w:rFonts w:ascii="Segoe UI" w:hAnsi="Segoe UI" w:cs="Segoe UI"/>
                          <w:sz w:val="16"/>
                          <w:szCs w:val="15"/>
                        </w:rPr>
                        <w:t>ά</w:t>
                      </w:r>
                      <w:r w:rsidRPr="00C735EE">
                        <w:rPr>
                          <w:rFonts w:ascii="Segoe UI" w:hAnsi="Segoe UI" w:cs="Segoe UI"/>
                          <w:sz w:val="16"/>
                          <w:szCs w:val="15"/>
                        </w:rPr>
                        <w:t>δυν</w:t>
                      </w:r>
                      <w:r>
                        <w:rPr>
                          <w:rFonts w:ascii="Segoe UI" w:hAnsi="Segoe UI" w:cs="Segoe UI"/>
                          <w:sz w:val="16"/>
                          <w:szCs w:val="15"/>
                        </w:rPr>
                        <w:t>σης</w:t>
                      </w:r>
                    </w:p>
                    <w:p w:rsidR="00DA0337" w:rsidRPr="00D435C6" w:rsidRDefault="00DA0337" w:rsidP="00D7049E">
                      <w:pPr>
                        <w:pStyle w:val="a7"/>
                        <w:numPr>
                          <w:ilvl w:val="0"/>
                          <w:numId w:val="7"/>
                        </w:numPr>
                        <w:spacing w:before="100" w:after="0" w:line="240" w:lineRule="auto"/>
                        <w:jc w:val="left"/>
                        <w:rPr>
                          <w:rFonts w:ascii="Segoe UI" w:hAnsi="Segoe UI" w:cs="Segoe UI"/>
                          <w:sz w:val="16"/>
                          <w:szCs w:val="15"/>
                        </w:rPr>
                      </w:pPr>
                      <w:r w:rsidRPr="00D435C6">
                        <w:rPr>
                          <w:rFonts w:ascii="Segoe UI" w:hAnsi="Segoe UI" w:cs="Segoe UI"/>
                          <w:sz w:val="16"/>
                          <w:szCs w:val="15"/>
                        </w:rPr>
                        <w:t xml:space="preserve">Οι εγχώριες καταθέσεις διαμορφώθηκαν σε €49,6 δισ. το Α’ εξάμηνο 2021, αυξημένες κατά €6,3 δισ. ή 14,5% σε ετήσια βάση, </w:t>
                      </w:r>
                      <w:r>
                        <w:rPr>
                          <w:rFonts w:ascii="Segoe UI" w:hAnsi="Segoe UI" w:cs="Segoe UI"/>
                          <w:sz w:val="16"/>
                          <w:szCs w:val="15"/>
                        </w:rPr>
                        <w:t xml:space="preserve">αντανακλώντας τις </w:t>
                      </w:r>
                      <w:r w:rsidRPr="00D435C6">
                        <w:rPr>
                          <w:rFonts w:ascii="Segoe UI" w:hAnsi="Segoe UI" w:cs="Segoe UI"/>
                          <w:sz w:val="16"/>
                          <w:szCs w:val="15"/>
                        </w:rPr>
                        <w:t>εισρο</w:t>
                      </w:r>
                      <w:r>
                        <w:rPr>
                          <w:rFonts w:ascii="Segoe UI" w:hAnsi="Segoe UI" w:cs="Segoe UI"/>
                          <w:sz w:val="16"/>
                          <w:szCs w:val="15"/>
                        </w:rPr>
                        <w:t>ές</w:t>
                      </w:r>
                      <w:r w:rsidRPr="00D435C6">
                        <w:rPr>
                          <w:rFonts w:ascii="Segoe UI" w:hAnsi="Segoe UI" w:cs="Segoe UI"/>
                          <w:sz w:val="16"/>
                          <w:szCs w:val="15"/>
                        </w:rPr>
                        <w:t xml:space="preserve"> καταθέσεων όψεως και ταμιευτηρίου, οι οποίες </w:t>
                      </w:r>
                      <w:r>
                        <w:rPr>
                          <w:rFonts w:ascii="Segoe UI" w:hAnsi="Segoe UI" w:cs="Segoe UI"/>
                          <w:sz w:val="16"/>
                          <w:szCs w:val="15"/>
                        </w:rPr>
                        <w:t xml:space="preserve">υπερβαίνουν </w:t>
                      </w:r>
                      <w:r w:rsidRPr="00D435C6">
                        <w:rPr>
                          <w:rFonts w:ascii="Segoe UI" w:hAnsi="Segoe UI" w:cs="Segoe UI"/>
                          <w:sz w:val="16"/>
                          <w:szCs w:val="15"/>
                        </w:rPr>
                        <w:t xml:space="preserve">πλέον </w:t>
                      </w:r>
                      <w:r>
                        <w:rPr>
                          <w:rFonts w:ascii="Segoe UI" w:hAnsi="Segoe UI" w:cs="Segoe UI"/>
                          <w:sz w:val="16"/>
                          <w:szCs w:val="15"/>
                        </w:rPr>
                        <w:t xml:space="preserve">το </w:t>
                      </w:r>
                      <w:r w:rsidRPr="00D435C6">
                        <w:rPr>
                          <w:rFonts w:ascii="Segoe UI" w:hAnsi="Segoe UI" w:cs="Segoe UI"/>
                          <w:sz w:val="16"/>
                          <w:szCs w:val="15"/>
                        </w:rPr>
                        <w:t xml:space="preserve">80% των συνολικών καταθέσεων </w:t>
                      </w:r>
                      <w:r>
                        <w:rPr>
                          <w:rFonts w:ascii="Segoe UI" w:hAnsi="Segoe UI" w:cs="Segoe UI"/>
                          <w:sz w:val="16"/>
                          <w:szCs w:val="15"/>
                        </w:rPr>
                        <w:t xml:space="preserve">της ΕΤΕ </w:t>
                      </w:r>
                      <w:r w:rsidRPr="00D435C6">
                        <w:rPr>
                          <w:rFonts w:ascii="Segoe UI" w:hAnsi="Segoe UI" w:cs="Segoe UI"/>
                          <w:sz w:val="16"/>
                          <w:szCs w:val="15"/>
                        </w:rPr>
                        <w:t>στην Ελλάδα</w:t>
                      </w:r>
                    </w:p>
                    <w:p w:rsidR="00DA0337" w:rsidRPr="00D435C6" w:rsidRDefault="00DA0337" w:rsidP="00D7049E">
                      <w:pPr>
                        <w:pStyle w:val="a7"/>
                        <w:numPr>
                          <w:ilvl w:val="0"/>
                          <w:numId w:val="7"/>
                        </w:numPr>
                        <w:spacing w:before="100" w:after="0" w:line="240" w:lineRule="auto"/>
                        <w:jc w:val="left"/>
                        <w:rPr>
                          <w:rFonts w:ascii="Segoe UI" w:hAnsi="Segoe UI" w:cs="Segoe UI"/>
                          <w:sz w:val="16"/>
                          <w:szCs w:val="15"/>
                        </w:rPr>
                      </w:pPr>
                      <w:r w:rsidRPr="00D435C6">
                        <w:rPr>
                          <w:rFonts w:ascii="Segoe UI" w:hAnsi="Segoe UI" w:cs="Segoe UI"/>
                          <w:sz w:val="16"/>
                          <w:szCs w:val="15"/>
                        </w:rPr>
                        <w:t xml:space="preserve">Η χρηματοδότηση από το Ευρωσύστημα (TLTRO </w:t>
                      </w:r>
                      <w:r w:rsidRPr="00D435C6">
                        <w:rPr>
                          <w:rFonts w:ascii="Segoe UI" w:hAnsi="Segoe UI" w:cs="Segoe UI"/>
                          <w:sz w:val="16"/>
                          <w:szCs w:val="15"/>
                          <w:lang w:val="en-US"/>
                        </w:rPr>
                        <w:t>III</w:t>
                      </w:r>
                      <w:r w:rsidRPr="00D435C6">
                        <w:rPr>
                          <w:rFonts w:ascii="Segoe UI" w:hAnsi="Segoe UI" w:cs="Segoe UI"/>
                          <w:sz w:val="16"/>
                          <w:szCs w:val="15"/>
                        </w:rPr>
                        <w:t xml:space="preserve">) </w:t>
                      </w:r>
                      <w:r>
                        <w:rPr>
                          <w:rFonts w:ascii="Segoe UI" w:hAnsi="Segoe UI" w:cs="Segoe UI"/>
                          <w:sz w:val="16"/>
                          <w:szCs w:val="15"/>
                        </w:rPr>
                        <w:t xml:space="preserve">διατηρείται σε </w:t>
                      </w:r>
                      <w:r w:rsidRPr="00D435C6">
                        <w:rPr>
                          <w:rFonts w:ascii="Segoe UI" w:hAnsi="Segoe UI" w:cs="Segoe UI"/>
                          <w:sz w:val="16"/>
                          <w:szCs w:val="15"/>
                        </w:rPr>
                        <w:t xml:space="preserve">€11,6 δισ., ενισχύοντας τα καθαρά έσοδα από τόκους και το καθαρό επιτοκιακό περιθώριο </w:t>
                      </w:r>
                    </w:p>
                    <w:p w:rsidR="00DA0337" w:rsidRPr="00883047" w:rsidRDefault="00DA0337" w:rsidP="00D92D17">
                      <w:pPr>
                        <w:pStyle w:val="a7"/>
                        <w:spacing w:before="100" w:after="0" w:line="240" w:lineRule="auto"/>
                        <w:ind w:left="644"/>
                        <w:jc w:val="left"/>
                        <w:rPr>
                          <w:rFonts w:ascii="Segoe UI" w:hAnsi="Segoe UI" w:cs="Segoe UI"/>
                          <w:sz w:val="16"/>
                          <w:szCs w:val="15"/>
                        </w:rPr>
                      </w:pPr>
                    </w:p>
                    <w:p w:rsidR="00DA0337" w:rsidRPr="00883047" w:rsidRDefault="00DA0337" w:rsidP="007A2F4A">
                      <w:pPr>
                        <w:numPr>
                          <w:ilvl w:val="0"/>
                          <w:numId w:val="6"/>
                        </w:numPr>
                        <w:spacing w:before="120"/>
                        <w:rPr>
                          <w:rFonts w:ascii="Segoe UI" w:hAnsi="Segoe UI" w:cs="Segoe UI"/>
                          <w:b/>
                          <w:sz w:val="16"/>
                          <w:szCs w:val="15"/>
                        </w:rPr>
                      </w:pPr>
                      <w:r w:rsidRPr="00883047">
                        <w:rPr>
                          <w:rFonts w:ascii="Segoe UI" w:hAnsi="Segoe UI" w:cs="Segoe UI"/>
                          <w:b/>
                          <w:sz w:val="16"/>
                          <w:szCs w:val="15"/>
                        </w:rPr>
                        <w:t>Ενεργή στήριξη των πελατών μας εν όψει της ανάκαμψης της ελληνικής οικονομίας</w:t>
                      </w:r>
                    </w:p>
                    <w:p w:rsidR="00DA0337" w:rsidRPr="00DD459A" w:rsidRDefault="00DA0337" w:rsidP="00DD459A">
                      <w:pPr>
                        <w:numPr>
                          <w:ilvl w:val="0"/>
                          <w:numId w:val="7"/>
                        </w:numPr>
                        <w:spacing w:before="100"/>
                        <w:rPr>
                          <w:rFonts w:ascii="Segoe UI" w:hAnsi="Segoe UI" w:cs="Segoe UI"/>
                          <w:sz w:val="16"/>
                          <w:szCs w:val="15"/>
                        </w:rPr>
                      </w:pPr>
                      <w:r w:rsidRPr="00DD459A">
                        <w:rPr>
                          <w:rFonts w:ascii="Segoe UI" w:hAnsi="Segoe UI" w:cs="Segoe UI"/>
                          <w:sz w:val="16"/>
                          <w:szCs w:val="15"/>
                        </w:rPr>
                        <w:t xml:space="preserve">Αναφορικά με τα κρατικά προγράμματα επιδότησης δόσης δανείου </w:t>
                      </w:r>
                      <w:r w:rsidRPr="000570C0">
                        <w:rPr>
                          <w:rFonts w:ascii="Segoe UI" w:hAnsi="Segoe UI" w:cs="Segoe UI"/>
                          <w:sz w:val="16"/>
                          <w:szCs w:val="15"/>
                        </w:rPr>
                        <w:t>(Γέφυρα Ι &amp; ΙΙ)</w:t>
                      </w:r>
                      <w:r w:rsidRPr="00DD459A">
                        <w:rPr>
                          <w:rFonts w:ascii="Segoe UI" w:hAnsi="Segoe UI" w:cs="Segoe UI"/>
                          <w:sz w:val="16"/>
                          <w:szCs w:val="15"/>
                        </w:rPr>
                        <w:t xml:space="preserve">, τα υπόλοιπα στεγαστικών δανείων </w:t>
                      </w:r>
                      <w:r>
                        <w:rPr>
                          <w:rFonts w:ascii="Segoe UI" w:hAnsi="Segoe UI" w:cs="Segoe UI"/>
                          <w:sz w:val="16"/>
                          <w:szCs w:val="15"/>
                        </w:rPr>
                        <w:t xml:space="preserve">ανέρχονται σε </w:t>
                      </w:r>
                      <w:r w:rsidRPr="00DD459A">
                        <w:rPr>
                          <w:rFonts w:ascii="Segoe UI" w:hAnsi="Segoe UI" w:cs="Segoe UI"/>
                          <w:sz w:val="16"/>
                          <w:szCs w:val="15"/>
                        </w:rPr>
                        <w:t>περίπου €1,4 δισ.</w:t>
                      </w:r>
                      <w:r w:rsidR="00E1032A">
                        <w:rPr>
                          <w:rFonts w:ascii="Segoe UI" w:hAnsi="Segoe UI" w:cs="Segoe UI"/>
                          <w:sz w:val="16"/>
                          <w:szCs w:val="15"/>
                        </w:rPr>
                        <w:t xml:space="preserve"> (</w:t>
                      </w:r>
                      <w:r>
                        <w:rPr>
                          <w:rFonts w:ascii="Segoe UI" w:hAnsi="Segoe UI" w:cs="Segoe UI"/>
                          <w:sz w:val="16"/>
                          <w:szCs w:val="15"/>
                        </w:rPr>
                        <w:t xml:space="preserve">σχεδόν </w:t>
                      </w:r>
                      <w:r w:rsidRPr="00DD459A">
                        <w:rPr>
                          <w:rFonts w:ascii="Segoe UI" w:hAnsi="Segoe UI" w:cs="Segoe UI"/>
                          <w:sz w:val="16"/>
                          <w:szCs w:val="15"/>
                        </w:rPr>
                        <w:t>το 40% είχε ενταχθεί σε πρόγραμμα διευκόλ</w:t>
                      </w:r>
                      <w:r>
                        <w:rPr>
                          <w:rFonts w:ascii="Segoe UI" w:hAnsi="Segoe UI" w:cs="Segoe UI"/>
                          <w:sz w:val="16"/>
                          <w:szCs w:val="15"/>
                        </w:rPr>
                        <w:t xml:space="preserve">υνσης καταβολής οφειλών </w:t>
                      </w:r>
                      <w:r w:rsidR="00E1032A">
                        <w:rPr>
                          <w:rFonts w:ascii="Segoe UI" w:hAnsi="Segoe UI" w:cs="Segoe UI"/>
                          <w:sz w:val="16"/>
                          <w:szCs w:val="15"/>
                        </w:rPr>
                        <w:t>-</w:t>
                      </w:r>
                      <w:r w:rsidRPr="00DD459A">
                        <w:rPr>
                          <w:rFonts w:ascii="Segoe UI" w:hAnsi="Segoe UI" w:cs="Segoe UI"/>
                          <w:sz w:val="16"/>
                          <w:szCs w:val="15"/>
                        </w:rPr>
                        <w:t>moratoria</w:t>
                      </w:r>
                      <w:r w:rsidR="00E1032A">
                        <w:rPr>
                          <w:rFonts w:ascii="Segoe UI" w:hAnsi="Segoe UI" w:cs="Segoe UI"/>
                          <w:sz w:val="16"/>
                          <w:szCs w:val="15"/>
                        </w:rPr>
                        <w:t>-</w:t>
                      </w:r>
                      <w:r>
                        <w:rPr>
                          <w:rFonts w:ascii="Segoe UI" w:hAnsi="Segoe UI" w:cs="Segoe UI"/>
                          <w:sz w:val="16"/>
                          <w:szCs w:val="15"/>
                        </w:rPr>
                        <w:t xml:space="preserve"> </w:t>
                      </w:r>
                      <w:r w:rsidRPr="00DD459A">
                        <w:rPr>
                          <w:rFonts w:ascii="Segoe UI" w:hAnsi="Segoe UI" w:cs="Segoe UI"/>
                          <w:sz w:val="16"/>
                          <w:szCs w:val="15"/>
                        </w:rPr>
                        <w:t>μέχρι 31.12.2020</w:t>
                      </w:r>
                      <w:r w:rsidR="00E1032A">
                        <w:rPr>
                          <w:rFonts w:ascii="Segoe UI" w:hAnsi="Segoe UI" w:cs="Segoe UI"/>
                          <w:sz w:val="16"/>
                          <w:szCs w:val="15"/>
                        </w:rPr>
                        <w:t>)</w:t>
                      </w:r>
                      <w:r w:rsidR="005D23D5">
                        <w:rPr>
                          <w:rFonts w:ascii="Segoe UI" w:hAnsi="Segoe UI" w:cs="Segoe UI"/>
                          <w:sz w:val="16"/>
                          <w:szCs w:val="15"/>
                        </w:rPr>
                        <w:t xml:space="preserve">, με τα </w:t>
                      </w:r>
                      <w:bookmarkStart w:id="1" w:name="_GoBack"/>
                      <w:r>
                        <w:rPr>
                          <w:rFonts w:ascii="Segoe UI" w:hAnsi="Segoe UI" w:cs="Segoe UI"/>
                          <w:sz w:val="16"/>
                          <w:szCs w:val="15"/>
                        </w:rPr>
                        <w:t xml:space="preserve">επιλέξιμα </w:t>
                      </w:r>
                      <w:bookmarkEnd w:id="1"/>
                      <w:r w:rsidRPr="00DD459A">
                        <w:rPr>
                          <w:rFonts w:ascii="Segoe UI" w:hAnsi="Segoe UI" w:cs="Segoe UI"/>
                          <w:sz w:val="16"/>
                          <w:szCs w:val="15"/>
                        </w:rPr>
                        <w:t>υπόλοιπα δανείων μικρών και μικρομεσαίων επιχειρ</w:t>
                      </w:r>
                      <w:r>
                        <w:rPr>
                          <w:rFonts w:ascii="Segoe UI" w:hAnsi="Segoe UI" w:cs="Segoe UI"/>
                          <w:sz w:val="16"/>
                          <w:szCs w:val="15"/>
                        </w:rPr>
                        <w:t xml:space="preserve">ήσεων </w:t>
                      </w:r>
                      <w:r w:rsidR="005D23D5">
                        <w:rPr>
                          <w:rFonts w:ascii="Segoe UI" w:hAnsi="Segoe UI" w:cs="Segoe UI"/>
                          <w:sz w:val="16"/>
                          <w:szCs w:val="15"/>
                        </w:rPr>
                        <w:t>να διαμορφώνονται</w:t>
                      </w:r>
                      <w:r>
                        <w:rPr>
                          <w:rFonts w:ascii="Segoe UI" w:hAnsi="Segoe UI" w:cs="Segoe UI"/>
                          <w:sz w:val="16"/>
                          <w:szCs w:val="15"/>
                        </w:rPr>
                        <w:t xml:space="preserve"> σε περίπου €1,3 δισ. (το 3</w:t>
                      </w:r>
                      <w:r w:rsidRPr="00DD459A">
                        <w:rPr>
                          <w:rFonts w:ascii="Segoe UI" w:hAnsi="Segoe UI" w:cs="Segoe UI"/>
                          <w:sz w:val="16"/>
                          <w:szCs w:val="15"/>
                        </w:rPr>
                        <w:t>0% περίπου είχε ενταχθεί σε πρόγραμμα διευκόλυνσης καταβολής οφειλών μέχρι 31.12.2020</w:t>
                      </w:r>
                      <w:r>
                        <w:rPr>
                          <w:rFonts w:ascii="Segoe UI" w:hAnsi="Segoe UI" w:cs="Segoe UI"/>
                          <w:sz w:val="16"/>
                          <w:szCs w:val="15"/>
                        </w:rPr>
                        <w:t>)</w:t>
                      </w:r>
                    </w:p>
                    <w:p w:rsidR="00DA0337" w:rsidRPr="000570C0" w:rsidRDefault="00DA0337" w:rsidP="00424A46">
                      <w:pPr>
                        <w:numPr>
                          <w:ilvl w:val="0"/>
                          <w:numId w:val="7"/>
                        </w:numPr>
                        <w:spacing w:before="100"/>
                        <w:rPr>
                          <w:rFonts w:ascii="Segoe UI" w:hAnsi="Segoe UI" w:cs="Segoe UI"/>
                          <w:sz w:val="16"/>
                          <w:szCs w:val="15"/>
                        </w:rPr>
                      </w:pPr>
                      <w:r w:rsidRPr="000570C0">
                        <w:rPr>
                          <w:rFonts w:ascii="Segoe UI" w:hAnsi="Segoe UI" w:cs="Segoe UI"/>
                          <w:sz w:val="16"/>
                          <w:szCs w:val="15"/>
                        </w:rPr>
                        <w:t>Τα δάνεια που έχουν υπαχθεί σε στοχευμένα προγράμματα διευκόλυνσης οφειλών της ΕΤΕ ανέρχονται σε €0,3 δισ., εκ των οποίων τα 2/3</w:t>
                      </w:r>
                      <w:r w:rsidRPr="000570C0">
                        <w:rPr>
                          <w:rFonts w:ascii="Segoe UI" w:hAnsi="Segoe UI" w:cs="Segoe UI"/>
                          <w:sz w:val="16"/>
                          <w:szCs w:val="15"/>
                          <w:vertAlign w:val="superscript"/>
                        </w:rPr>
                        <w:t>α</w:t>
                      </w:r>
                      <w:r w:rsidRPr="000570C0">
                        <w:rPr>
                          <w:rFonts w:ascii="Segoe UI" w:hAnsi="Segoe UI" w:cs="Segoe UI"/>
                          <w:sz w:val="16"/>
                          <w:szCs w:val="15"/>
                        </w:rPr>
                        <w:t xml:space="preserve"> αφορούν πελάτες Εταιρικής Τραπεζικής</w:t>
                      </w:r>
                    </w:p>
                    <w:p w:rsidR="00DA0337" w:rsidRPr="00920DBF" w:rsidRDefault="00DA0337" w:rsidP="0069715D">
                      <w:pPr>
                        <w:spacing w:before="100"/>
                        <w:ind w:left="644"/>
                        <w:rPr>
                          <w:rFonts w:ascii="Segoe UI" w:hAnsi="Segoe UI" w:cs="Segoe UI"/>
                          <w:sz w:val="16"/>
                          <w:szCs w:val="15"/>
                        </w:rPr>
                      </w:pPr>
                    </w:p>
                    <w:p w:rsidR="00DA0337" w:rsidRPr="00920DBF" w:rsidRDefault="00DA0337" w:rsidP="00CC3698">
                      <w:pPr>
                        <w:numPr>
                          <w:ilvl w:val="0"/>
                          <w:numId w:val="6"/>
                        </w:numPr>
                        <w:spacing w:before="120"/>
                        <w:rPr>
                          <w:rFonts w:ascii="Segoe UI" w:hAnsi="Segoe UI" w:cs="Segoe UI"/>
                          <w:b/>
                          <w:sz w:val="16"/>
                          <w:szCs w:val="15"/>
                        </w:rPr>
                      </w:pPr>
                      <w:r>
                        <w:rPr>
                          <w:rFonts w:ascii="Segoe UI" w:hAnsi="Segoe UI" w:cs="Segoe UI"/>
                          <w:b/>
                          <w:sz w:val="16"/>
                          <w:szCs w:val="15"/>
                        </w:rPr>
                        <w:t>Τ</w:t>
                      </w:r>
                      <w:r w:rsidRPr="00CC3698">
                        <w:rPr>
                          <w:rFonts w:ascii="Segoe UI" w:hAnsi="Segoe UI" w:cs="Segoe UI"/>
                          <w:b/>
                          <w:sz w:val="16"/>
                          <w:szCs w:val="15"/>
                        </w:rPr>
                        <w:t xml:space="preserve">ο επιτυχημένο Πρόγραμμα Μετασχηματισμού αποτελεί </w:t>
                      </w:r>
                      <w:r>
                        <w:rPr>
                          <w:rFonts w:ascii="Segoe UI" w:hAnsi="Segoe UI" w:cs="Segoe UI"/>
                          <w:b/>
                          <w:sz w:val="16"/>
                          <w:szCs w:val="15"/>
                        </w:rPr>
                        <w:t>την</w:t>
                      </w:r>
                      <w:r w:rsidRPr="00CC3698">
                        <w:rPr>
                          <w:rFonts w:ascii="Segoe UI" w:hAnsi="Segoe UI" w:cs="Segoe UI"/>
                          <w:b/>
                          <w:sz w:val="16"/>
                          <w:szCs w:val="15"/>
                        </w:rPr>
                        <w:t xml:space="preserve"> κινητήρι</w:t>
                      </w:r>
                      <w:r>
                        <w:rPr>
                          <w:rFonts w:ascii="Segoe UI" w:hAnsi="Segoe UI" w:cs="Segoe UI"/>
                          <w:b/>
                          <w:sz w:val="16"/>
                          <w:szCs w:val="15"/>
                        </w:rPr>
                        <w:t>α δύναμη</w:t>
                      </w:r>
                      <w:r w:rsidRPr="00CC3698">
                        <w:rPr>
                          <w:rFonts w:ascii="Segoe UI" w:hAnsi="Segoe UI" w:cs="Segoe UI"/>
                          <w:b/>
                          <w:sz w:val="16"/>
                          <w:szCs w:val="15"/>
                        </w:rPr>
                        <w:t xml:space="preserve"> άμεσ</w:t>
                      </w:r>
                      <w:r>
                        <w:rPr>
                          <w:rFonts w:ascii="Segoe UI" w:hAnsi="Segoe UI" w:cs="Segoe UI"/>
                          <w:b/>
                          <w:sz w:val="16"/>
                          <w:szCs w:val="15"/>
                        </w:rPr>
                        <w:t>ων</w:t>
                      </w:r>
                      <w:r w:rsidRPr="00CC3698">
                        <w:rPr>
                          <w:rFonts w:ascii="Segoe UI" w:hAnsi="Segoe UI" w:cs="Segoe UI"/>
                          <w:b/>
                          <w:sz w:val="16"/>
                          <w:szCs w:val="15"/>
                        </w:rPr>
                        <w:t xml:space="preserve"> και επιτυχημέν</w:t>
                      </w:r>
                      <w:r>
                        <w:rPr>
                          <w:rFonts w:ascii="Segoe UI" w:hAnsi="Segoe UI" w:cs="Segoe UI"/>
                          <w:b/>
                          <w:sz w:val="16"/>
                          <w:szCs w:val="15"/>
                        </w:rPr>
                        <w:t>ων</w:t>
                      </w:r>
                      <w:r w:rsidRPr="00CC3698">
                        <w:rPr>
                          <w:rFonts w:ascii="Segoe UI" w:hAnsi="Segoe UI" w:cs="Segoe UI"/>
                          <w:b/>
                          <w:sz w:val="16"/>
                          <w:szCs w:val="15"/>
                        </w:rPr>
                        <w:t xml:space="preserve"> αλλαγ</w:t>
                      </w:r>
                      <w:r>
                        <w:rPr>
                          <w:rFonts w:ascii="Segoe UI" w:hAnsi="Segoe UI" w:cs="Segoe UI"/>
                          <w:b/>
                          <w:sz w:val="16"/>
                          <w:szCs w:val="15"/>
                        </w:rPr>
                        <w:t>ών</w:t>
                      </w:r>
                      <w:r w:rsidRPr="00CC3698">
                        <w:rPr>
                          <w:rFonts w:ascii="Segoe UI" w:hAnsi="Segoe UI" w:cs="Segoe UI"/>
                          <w:b/>
                          <w:sz w:val="16"/>
                          <w:szCs w:val="15"/>
                        </w:rPr>
                        <w:t xml:space="preserve"> </w:t>
                      </w:r>
                    </w:p>
                    <w:p w:rsidR="00DA0337" w:rsidRPr="00920DBF" w:rsidRDefault="00DA0337" w:rsidP="00454616">
                      <w:pPr>
                        <w:numPr>
                          <w:ilvl w:val="1"/>
                          <w:numId w:val="6"/>
                        </w:numPr>
                        <w:spacing w:before="80"/>
                        <w:rPr>
                          <w:rFonts w:ascii="Segoe UI" w:hAnsi="Segoe UI" w:cs="Segoe UI"/>
                          <w:sz w:val="16"/>
                          <w:szCs w:val="15"/>
                        </w:rPr>
                      </w:pPr>
                      <w:r>
                        <w:rPr>
                          <w:rFonts w:ascii="Segoe UI" w:hAnsi="Segoe UI" w:cs="Segoe UI"/>
                          <w:sz w:val="16"/>
                          <w:szCs w:val="15"/>
                        </w:rPr>
                        <w:t>Η ΕΤΕ συνεχίζει να κεφαλαιοποιεί τ</w:t>
                      </w:r>
                      <w:r w:rsidRPr="00920DBF">
                        <w:rPr>
                          <w:rFonts w:ascii="Segoe UI" w:hAnsi="Segoe UI" w:cs="Segoe UI"/>
                          <w:sz w:val="16"/>
                          <w:szCs w:val="15"/>
                        </w:rPr>
                        <w:t xml:space="preserve">ο </w:t>
                      </w:r>
                      <w:r>
                        <w:rPr>
                          <w:rFonts w:ascii="Segoe UI" w:hAnsi="Segoe UI" w:cs="Segoe UI"/>
                          <w:sz w:val="16"/>
                          <w:szCs w:val="15"/>
                        </w:rPr>
                        <w:t xml:space="preserve">επιτυχημένο </w:t>
                      </w:r>
                      <w:r w:rsidRPr="00920DBF">
                        <w:rPr>
                          <w:rFonts w:ascii="Segoe UI" w:hAnsi="Segoe UI" w:cs="Segoe UI"/>
                          <w:sz w:val="16"/>
                          <w:szCs w:val="15"/>
                        </w:rPr>
                        <w:t xml:space="preserve">Πρόγραμμα Μετασχηματισμού της, το οποίο </w:t>
                      </w:r>
                      <w:r>
                        <w:rPr>
                          <w:rFonts w:ascii="Segoe UI" w:hAnsi="Segoe UI" w:cs="Segoe UI"/>
                          <w:sz w:val="16"/>
                          <w:szCs w:val="15"/>
                        </w:rPr>
                        <w:t xml:space="preserve">ολοκλήρωσε </w:t>
                      </w:r>
                      <w:r w:rsidRPr="00920DBF">
                        <w:rPr>
                          <w:rFonts w:ascii="Segoe UI" w:hAnsi="Segoe UI" w:cs="Segoe UI"/>
                          <w:sz w:val="16"/>
                          <w:szCs w:val="15"/>
                        </w:rPr>
                        <w:t>το τρίτο έτος του</w:t>
                      </w:r>
                      <w:r>
                        <w:rPr>
                          <w:rFonts w:ascii="Segoe UI" w:hAnsi="Segoe UI" w:cs="Segoe UI"/>
                          <w:sz w:val="16"/>
                          <w:szCs w:val="15"/>
                        </w:rPr>
                        <w:t xml:space="preserve"> και συντελεί αποφασιστικά στη </w:t>
                      </w:r>
                      <w:r w:rsidRPr="00920DBF">
                        <w:rPr>
                          <w:rFonts w:ascii="Segoe UI" w:hAnsi="Segoe UI" w:cs="Segoe UI"/>
                          <w:sz w:val="16"/>
                          <w:szCs w:val="15"/>
                        </w:rPr>
                        <w:t xml:space="preserve">μετάβαση </w:t>
                      </w:r>
                      <w:r w:rsidRPr="00454616">
                        <w:rPr>
                          <w:rFonts w:ascii="Segoe UI" w:hAnsi="Segoe UI" w:cs="Segoe UI"/>
                          <w:sz w:val="16"/>
                          <w:szCs w:val="15"/>
                        </w:rPr>
                        <w:t xml:space="preserve">της Τράπεζας </w:t>
                      </w:r>
                      <w:r w:rsidRPr="00920DBF">
                        <w:rPr>
                          <w:rFonts w:ascii="Segoe UI" w:hAnsi="Segoe UI" w:cs="Segoe UI"/>
                          <w:sz w:val="16"/>
                          <w:szCs w:val="15"/>
                        </w:rPr>
                        <w:t>προς ένα πιο ευέλικτο και αποδοτικό λειτουργικό μοντέλο</w:t>
                      </w:r>
                      <w:r>
                        <w:rPr>
                          <w:rFonts w:ascii="Segoe UI" w:hAnsi="Segoe UI" w:cs="Segoe UI"/>
                          <w:sz w:val="16"/>
                          <w:szCs w:val="15"/>
                        </w:rPr>
                        <w:t xml:space="preserve"> </w:t>
                      </w:r>
                    </w:p>
                    <w:p w:rsidR="00DA0337" w:rsidRPr="00920DBF" w:rsidRDefault="00DA0337" w:rsidP="001C5FCD">
                      <w:pPr>
                        <w:numPr>
                          <w:ilvl w:val="1"/>
                          <w:numId w:val="6"/>
                        </w:numPr>
                        <w:spacing w:before="80"/>
                        <w:rPr>
                          <w:rFonts w:ascii="Segoe UI" w:hAnsi="Segoe UI" w:cs="Segoe UI"/>
                          <w:sz w:val="16"/>
                          <w:szCs w:val="15"/>
                        </w:rPr>
                      </w:pPr>
                      <w:r>
                        <w:rPr>
                          <w:rFonts w:ascii="Segoe UI" w:hAnsi="Segoe UI" w:cs="Segoe UI"/>
                          <w:sz w:val="16"/>
                          <w:szCs w:val="15"/>
                        </w:rPr>
                        <w:t>Στον απόηχο της πανδημίας του κορωνοϊού, οι</w:t>
                      </w:r>
                      <w:r w:rsidRPr="00920DBF">
                        <w:rPr>
                          <w:rFonts w:ascii="Segoe UI" w:hAnsi="Segoe UI" w:cs="Segoe UI"/>
                          <w:sz w:val="16"/>
                          <w:szCs w:val="15"/>
                        </w:rPr>
                        <w:t xml:space="preserve"> τραπεζικ</w:t>
                      </w:r>
                      <w:r>
                        <w:rPr>
                          <w:rFonts w:ascii="Segoe UI" w:hAnsi="Segoe UI" w:cs="Segoe UI"/>
                          <w:sz w:val="16"/>
                          <w:szCs w:val="15"/>
                        </w:rPr>
                        <w:t>ές</w:t>
                      </w:r>
                      <w:r w:rsidRPr="00920DBF">
                        <w:rPr>
                          <w:rFonts w:ascii="Segoe UI" w:hAnsi="Segoe UI" w:cs="Segoe UI"/>
                          <w:sz w:val="16"/>
                          <w:szCs w:val="15"/>
                        </w:rPr>
                        <w:t xml:space="preserve"> συναλλαγ</w:t>
                      </w:r>
                      <w:r>
                        <w:rPr>
                          <w:rFonts w:ascii="Segoe UI" w:hAnsi="Segoe UI" w:cs="Segoe UI"/>
                          <w:sz w:val="16"/>
                          <w:szCs w:val="15"/>
                        </w:rPr>
                        <w:t>ές αυξήθηκαν σημαντικά (+17% σε ετήσια βάση) και διενεργούνται κυρίως μέσω ψηφιακών καναλιών. Οι</w:t>
                      </w:r>
                      <w:r w:rsidRPr="00920DBF">
                        <w:rPr>
                          <w:rFonts w:ascii="Segoe UI" w:hAnsi="Segoe UI" w:cs="Segoe UI"/>
                          <w:sz w:val="16"/>
                          <w:szCs w:val="15"/>
                        </w:rPr>
                        <w:t xml:space="preserve"> συναλλαγές e-banking </w:t>
                      </w:r>
                      <w:r>
                        <w:rPr>
                          <w:rFonts w:ascii="Segoe UI" w:hAnsi="Segoe UI" w:cs="Segoe UI"/>
                          <w:sz w:val="16"/>
                          <w:szCs w:val="15"/>
                        </w:rPr>
                        <w:t>ενισχύθηκαν</w:t>
                      </w:r>
                      <w:r w:rsidRPr="00920DBF">
                        <w:rPr>
                          <w:rFonts w:ascii="Segoe UI" w:hAnsi="Segoe UI" w:cs="Segoe UI"/>
                          <w:sz w:val="16"/>
                          <w:szCs w:val="15"/>
                        </w:rPr>
                        <w:t xml:space="preserve"> κατά 3</w:t>
                      </w:r>
                      <w:r>
                        <w:rPr>
                          <w:rFonts w:ascii="Segoe UI" w:hAnsi="Segoe UI" w:cs="Segoe UI"/>
                          <w:sz w:val="16"/>
                          <w:szCs w:val="15"/>
                        </w:rPr>
                        <w:t>4</w:t>
                      </w:r>
                      <w:r w:rsidRPr="00920DBF">
                        <w:rPr>
                          <w:rFonts w:ascii="Segoe UI" w:hAnsi="Segoe UI" w:cs="Segoe UI"/>
                          <w:sz w:val="16"/>
                          <w:szCs w:val="15"/>
                        </w:rPr>
                        <w:t xml:space="preserve">% </w:t>
                      </w:r>
                      <w:r w:rsidRPr="00EE6455">
                        <w:rPr>
                          <w:rFonts w:ascii="Segoe UI" w:hAnsi="Segoe UI" w:cs="Segoe UI"/>
                          <w:sz w:val="16"/>
                          <w:szCs w:val="15"/>
                        </w:rPr>
                        <w:t>σε ετήσια βάσ</w:t>
                      </w:r>
                      <w:r>
                        <w:rPr>
                          <w:rFonts w:ascii="Segoe UI" w:hAnsi="Segoe UI" w:cs="Segoe UI"/>
                          <w:sz w:val="16"/>
                          <w:szCs w:val="15"/>
                        </w:rPr>
                        <w:t>η τ</w:t>
                      </w:r>
                      <w:r w:rsidRPr="001C5FCD">
                        <w:rPr>
                          <w:rFonts w:ascii="Segoe UI" w:hAnsi="Segoe UI" w:cs="Segoe UI"/>
                          <w:sz w:val="16"/>
                          <w:szCs w:val="15"/>
                        </w:rPr>
                        <w:t>ο Β’ τρίμηνο 2021</w:t>
                      </w:r>
                      <w:r w:rsidRPr="00920DBF">
                        <w:rPr>
                          <w:rFonts w:ascii="Segoe UI" w:hAnsi="Segoe UI" w:cs="Segoe UI"/>
                          <w:sz w:val="16"/>
                          <w:szCs w:val="15"/>
                        </w:rPr>
                        <w:t xml:space="preserve">, αντικαθιστώντας τις συναλλαγές στα καταστήματα, οι οποίες έχουν μειωθεί κατά </w:t>
                      </w:r>
                      <w:r>
                        <w:rPr>
                          <w:rFonts w:ascii="Segoe UI" w:hAnsi="Segoe UI" w:cs="Segoe UI"/>
                          <w:sz w:val="16"/>
                          <w:szCs w:val="15"/>
                        </w:rPr>
                        <w:t>52</w:t>
                      </w:r>
                      <w:r w:rsidRPr="00920DBF">
                        <w:rPr>
                          <w:rFonts w:ascii="Segoe UI" w:hAnsi="Segoe UI" w:cs="Segoe UI"/>
                          <w:sz w:val="16"/>
                          <w:szCs w:val="15"/>
                        </w:rPr>
                        <w:t xml:space="preserve">% σε σύγκριση με </w:t>
                      </w:r>
                      <w:r>
                        <w:rPr>
                          <w:rFonts w:ascii="Segoe UI" w:hAnsi="Segoe UI" w:cs="Segoe UI"/>
                          <w:sz w:val="16"/>
                          <w:szCs w:val="15"/>
                        </w:rPr>
                        <w:t>το Β’ τρίμηνο 2020</w:t>
                      </w:r>
                    </w:p>
                    <w:p w:rsidR="00DA0337" w:rsidRPr="00920DBF" w:rsidRDefault="00DA0337" w:rsidP="00411381">
                      <w:pPr>
                        <w:numPr>
                          <w:ilvl w:val="1"/>
                          <w:numId w:val="6"/>
                        </w:numPr>
                        <w:spacing w:before="80"/>
                        <w:rPr>
                          <w:rFonts w:ascii="Segoe UI" w:hAnsi="Segoe UI" w:cs="Segoe UI"/>
                          <w:sz w:val="16"/>
                          <w:szCs w:val="15"/>
                        </w:rPr>
                      </w:pPr>
                      <w:r>
                        <w:rPr>
                          <w:rFonts w:ascii="Segoe UI" w:hAnsi="Segoe UI" w:cs="Segoe UI"/>
                          <w:sz w:val="16"/>
                          <w:szCs w:val="15"/>
                        </w:rPr>
                        <w:t xml:space="preserve">Συνεχίζουμε </w:t>
                      </w:r>
                      <w:r w:rsidRPr="00920DBF">
                        <w:rPr>
                          <w:rFonts w:ascii="Segoe UI" w:hAnsi="Segoe UI" w:cs="Segoe UI"/>
                          <w:sz w:val="16"/>
                          <w:szCs w:val="15"/>
                        </w:rPr>
                        <w:t xml:space="preserve">να </w:t>
                      </w:r>
                      <w:r>
                        <w:rPr>
                          <w:rFonts w:ascii="Segoe UI" w:hAnsi="Segoe UI" w:cs="Segoe UI"/>
                          <w:sz w:val="16"/>
                          <w:szCs w:val="15"/>
                        </w:rPr>
                        <w:t xml:space="preserve">βελτιώνουμε </w:t>
                      </w:r>
                      <w:r w:rsidRPr="00411381">
                        <w:rPr>
                          <w:rFonts w:ascii="Segoe UI" w:hAnsi="Segoe UI" w:cs="Segoe UI"/>
                          <w:sz w:val="16"/>
                          <w:szCs w:val="15"/>
                        </w:rPr>
                        <w:t>τη διακυβέρνηση</w:t>
                      </w:r>
                      <w:r>
                        <w:rPr>
                          <w:rFonts w:ascii="Segoe UI" w:hAnsi="Segoe UI" w:cs="Segoe UI"/>
                          <w:sz w:val="16"/>
                          <w:szCs w:val="15"/>
                        </w:rPr>
                        <w:t xml:space="preserve"> και τις πρακτικές της Τράπεζας αναφορικά</w:t>
                      </w:r>
                      <w:r w:rsidRPr="00920DBF">
                        <w:rPr>
                          <w:rFonts w:ascii="Segoe UI" w:hAnsi="Segoe UI" w:cs="Segoe UI"/>
                          <w:sz w:val="16"/>
                          <w:szCs w:val="15"/>
                        </w:rPr>
                        <w:t xml:space="preserve"> με το περιβάλλον, την κοινωνία και την εταιρική διακυβέρνηση (ESG), </w:t>
                      </w:r>
                      <w:r>
                        <w:rPr>
                          <w:rFonts w:ascii="Segoe UI" w:hAnsi="Segoe UI" w:cs="Segoe UI"/>
                          <w:sz w:val="16"/>
                          <w:szCs w:val="15"/>
                        </w:rPr>
                        <w:t xml:space="preserve">θέτοντας σαφείς προτεραιότητες και επιτυγχάνοντας σημαντικά αποτελέσματα σε όλους τους τομείς </w:t>
                      </w:r>
                      <w:r w:rsidRPr="00920DBF">
                        <w:rPr>
                          <w:rFonts w:ascii="Segoe UI" w:hAnsi="Segoe UI" w:cs="Segoe UI"/>
                          <w:sz w:val="16"/>
                          <w:szCs w:val="15"/>
                        </w:rPr>
                        <w:t>ESG</w:t>
                      </w:r>
                    </w:p>
                    <w:p w:rsidR="00DA0337" w:rsidRPr="00262759" w:rsidRDefault="00DA0337" w:rsidP="00882181">
                      <w:pPr>
                        <w:spacing w:before="100"/>
                        <w:ind w:left="284"/>
                        <w:jc w:val="right"/>
                        <w:rPr>
                          <w:rFonts w:ascii="Segoe UI" w:hAnsi="Segoe UI" w:cs="Segoe UI"/>
                          <w:sz w:val="16"/>
                          <w:szCs w:val="16"/>
                          <w:highlight w:val="yellow"/>
                        </w:rPr>
                      </w:pPr>
                    </w:p>
                    <w:p w:rsidR="00DA0337" w:rsidRPr="0090611A" w:rsidRDefault="00DA0337" w:rsidP="00882181">
                      <w:pPr>
                        <w:spacing w:before="100"/>
                        <w:ind w:left="284"/>
                        <w:jc w:val="right"/>
                        <w:rPr>
                          <w:rFonts w:ascii="Segoe UI" w:hAnsi="Segoe UI" w:cs="Segoe UI"/>
                          <w:sz w:val="14"/>
                          <w:szCs w:val="16"/>
                        </w:rPr>
                      </w:pPr>
                      <w:r w:rsidRPr="0090611A">
                        <w:rPr>
                          <w:rFonts w:ascii="Segoe UI" w:hAnsi="Segoe UI" w:cs="Segoe UI"/>
                          <w:sz w:val="14"/>
                          <w:szCs w:val="16"/>
                        </w:rPr>
                        <w:t>Αθήνα, 5 Αυγούστου 2021</w:t>
                      </w:r>
                    </w:p>
                    <w:p w:rsidR="00DA0337" w:rsidRPr="00262759" w:rsidRDefault="00DA0337" w:rsidP="005530C7">
                      <w:pPr>
                        <w:rPr>
                          <w:rFonts w:ascii="Segoe UI" w:hAnsi="Segoe UI" w:cs="Segoe UI"/>
                          <w:sz w:val="2"/>
                          <w:szCs w:val="16"/>
                          <w:highlight w:val="yellow"/>
                          <w:vertAlign w:val="superscript"/>
                        </w:rPr>
                      </w:pPr>
                    </w:p>
                  </w:txbxContent>
                </v:textbox>
                <w10:anchorlock/>
              </v:shape>
            </w:pict>
          </mc:Fallback>
        </mc:AlternateContent>
      </w:r>
    </w:p>
    <w:p w:rsidR="00F81DAE" w:rsidRDefault="00F81DAE" w:rsidP="00F81DAE">
      <w:pPr>
        <w:jc w:val="both"/>
        <w:rPr>
          <w:rFonts w:ascii="Segoe UI" w:hAnsi="Segoe UI" w:cs="Segoe UI"/>
          <w:i/>
          <w:color w:val="0D0D0D" w:themeColor="text1" w:themeTint="F2"/>
          <w:sz w:val="18"/>
          <w:szCs w:val="20"/>
        </w:rPr>
      </w:pPr>
    </w:p>
    <w:p w:rsidR="00424A46" w:rsidRDefault="00424A46" w:rsidP="009815F1">
      <w:pPr>
        <w:jc w:val="both"/>
        <w:rPr>
          <w:rFonts w:ascii="Segoe UI" w:hAnsi="Segoe UI" w:cs="Segoe UI"/>
          <w:i/>
          <w:color w:val="0D0D0D" w:themeColor="text1" w:themeTint="F2"/>
          <w:sz w:val="18"/>
          <w:szCs w:val="20"/>
        </w:rPr>
      </w:pPr>
      <w:r w:rsidRPr="00424A46">
        <w:rPr>
          <w:rFonts w:ascii="Segoe UI" w:hAnsi="Segoe UI" w:cs="Segoe UI"/>
          <w:i/>
          <w:color w:val="0D0D0D" w:themeColor="text1" w:themeTint="F2"/>
          <w:sz w:val="18"/>
          <w:szCs w:val="20"/>
        </w:rPr>
        <w:t xml:space="preserve">Η διελκυστίνδα μεταξύ της </w:t>
      </w:r>
      <w:r>
        <w:rPr>
          <w:rFonts w:ascii="Segoe UI" w:hAnsi="Segoe UI" w:cs="Segoe UI"/>
          <w:i/>
          <w:color w:val="0D0D0D" w:themeColor="text1" w:themeTint="F2"/>
          <w:sz w:val="18"/>
          <w:szCs w:val="20"/>
        </w:rPr>
        <w:t>μετάλλαξης Δ</w:t>
      </w:r>
      <w:r w:rsidRPr="00424A46">
        <w:rPr>
          <w:rFonts w:ascii="Segoe UI" w:hAnsi="Segoe UI" w:cs="Segoe UI"/>
          <w:i/>
          <w:color w:val="0D0D0D" w:themeColor="text1" w:themeTint="F2"/>
          <w:sz w:val="18"/>
          <w:szCs w:val="20"/>
        </w:rPr>
        <w:t>έλτα και του προγράμματος εμβολιασμού συνεχίζεται, με τις προσδοκίες ότι</w:t>
      </w:r>
      <w:r w:rsidR="00601AC5">
        <w:rPr>
          <w:rFonts w:ascii="Segoe UI" w:hAnsi="Segoe UI" w:cs="Segoe UI"/>
          <w:i/>
          <w:color w:val="0D0D0D" w:themeColor="text1" w:themeTint="F2"/>
          <w:sz w:val="18"/>
          <w:szCs w:val="20"/>
        </w:rPr>
        <w:t>,</w:t>
      </w:r>
      <w:r w:rsidRPr="00424A46">
        <w:rPr>
          <w:rFonts w:ascii="Segoe UI" w:hAnsi="Segoe UI" w:cs="Segoe UI"/>
          <w:i/>
          <w:color w:val="0D0D0D" w:themeColor="text1" w:themeTint="F2"/>
          <w:sz w:val="18"/>
          <w:szCs w:val="20"/>
        </w:rPr>
        <w:t xml:space="preserve"> το </w:t>
      </w:r>
      <w:r w:rsidR="00584AA7">
        <w:rPr>
          <w:rFonts w:ascii="Segoe UI" w:hAnsi="Segoe UI" w:cs="Segoe UI"/>
          <w:i/>
          <w:color w:val="0D0D0D" w:themeColor="text1" w:themeTint="F2"/>
          <w:sz w:val="18"/>
          <w:szCs w:val="20"/>
        </w:rPr>
        <w:t>τελευταίο</w:t>
      </w:r>
      <w:r w:rsidRPr="00424A46">
        <w:rPr>
          <w:rFonts w:ascii="Segoe UI" w:hAnsi="Segoe UI" w:cs="Segoe UI"/>
          <w:i/>
          <w:color w:val="0D0D0D" w:themeColor="text1" w:themeTint="F2"/>
          <w:sz w:val="18"/>
          <w:szCs w:val="20"/>
        </w:rPr>
        <w:t xml:space="preserve"> </w:t>
      </w:r>
      <w:r w:rsidR="00F01F0D" w:rsidRPr="00F01F0D">
        <w:rPr>
          <w:rFonts w:ascii="Segoe UI" w:hAnsi="Segoe UI" w:cs="Segoe UI"/>
          <w:i/>
          <w:color w:val="0D0D0D" w:themeColor="text1" w:themeTint="F2"/>
          <w:sz w:val="18"/>
          <w:szCs w:val="20"/>
        </w:rPr>
        <w:t>θα πάρει οριστικά το προβάδισμα</w:t>
      </w:r>
      <w:r w:rsidRPr="00424A46">
        <w:rPr>
          <w:rFonts w:ascii="Segoe UI" w:hAnsi="Segoe UI" w:cs="Segoe UI"/>
          <w:i/>
          <w:color w:val="0D0D0D" w:themeColor="text1" w:themeTint="F2"/>
          <w:sz w:val="18"/>
          <w:szCs w:val="20"/>
        </w:rPr>
        <w:t xml:space="preserve"> το φθινόπωρο</w:t>
      </w:r>
      <w:r w:rsidR="00601AC5">
        <w:rPr>
          <w:rFonts w:ascii="Segoe UI" w:hAnsi="Segoe UI" w:cs="Segoe UI"/>
          <w:i/>
          <w:color w:val="0D0D0D" w:themeColor="text1" w:themeTint="F2"/>
          <w:sz w:val="18"/>
          <w:szCs w:val="20"/>
        </w:rPr>
        <w:t>,</w:t>
      </w:r>
      <w:r w:rsidR="006B7541">
        <w:rPr>
          <w:rFonts w:ascii="Segoe UI" w:hAnsi="Segoe UI" w:cs="Segoe UI"/>
          <w:i/>
          <w:color w:val="0D0D0D" w:themeColor="text1" w:themeTint="F2"/>
          <w:sz w:val="18"/>
          <w:szCs w:val="20"/>
        </w:rPr>
        <w:t xml:space="preserve"> να ενισχύονται</w:t>
      </w:r>
      <w:r w:rsidRPr="00424A46">
        <w:rPr>
          <w:rFonts w:ascii="Segoe UI" w:hAnsi="Segoe UI" w:cs="Segoe UI"/>
          <w:i/>
          <w:color w:val="0D0D0D" w:themeColor="text1" w:themeTint="F2"/>
          <w:sz w:val="18"/>
          <w:szCs w:val="20"/>
        </w:rPr>
        <w:t>, καθώς το ποσοστό εμβολιασμού</w:t>
      </w:r>
      <w:r>
        <w:rPr>
          <w:rFonts w:ascii="Segoe UI" w:hAnsi="Segoe UI" w:cs="Segoe UI"/>
          <w:i/>
          <w:color w:val="0D0D0D" w:themeColor="text1" w:themeTint="F2"/>
          <w:sz w:val="18"/>
          <w:szCs w:val="20"/>
        </w:rPr>
        <w:t xml:space="preserve"> θα αγγίξει </w:t>
      </w:r>
      <w:r w:rsidRPr="00424A46">
        <w:rPr>
          <w:rFonts w:ascii="Segoe UI" w:hAnsi="Segoe UI" w:cs="Segoe UI"/>
          <w:i/>
          <w:color w:val="0D0D0D" w:themeColor="text1" w:themeTint="F2"/>
          <w:sz w:val="18"/>
          <w:szCs w:val="20"/>
        </w:rPr>
        <w:t xml:space="preserve">το ορόσημο </w:t>
      </w:r>
      <w:r>
        <w:rPr>
          <w:rFonts w:ascii="Segoe UI" w:hAnsi="Segoe UI" w:cs="Segoe UI"/>
          <w:i/>
          <w:color w:val="0D0D0D" w:themeColor="text1" w:themeTint="F2"/>
          <w:sz w:val="18"/>
          <w:szCs w:val="20"/>
        </w:rPr>
        <w:t xml:space="preserve">του </w:t>
      </w:r>
      <w:r w:rsidRPr="00424A46">
        <w:rPr>
          <w:rFonts w:ascii="Segoe UI" w:hAnsi="Segoe UI" w:cs="Segoe UI"/>
          <w:i/>
          <w:color w:val="0D0D0D" w:themeColor="text1" w:themeTint="F2"/>
          <w:sz w:val="18"/>
          <w:szCs w:val="20"/>
        </w:rPr>
        <w:t xml:space="preserve">70%. </w:t>
      </w:r>
      <w:r w:rsidR="00F01F0D" w:rsidRPr="00F01F0D">
        <w:rPr>
          <w:rFonts w:ascii="Segoe UI" w:hAnsi="Segoe UI" w:cs="Segoe UI"/>
          <w:i/>
          <w:color w:val="0D0D0D" w:themeColor="text1" w:themeTint="F2"/>
          <w:sz w:val="18"/>
          <w:szCs w:val="20"/>
        </w:rPr>
        <w:t xml:space="preserve">Στον τομέα της οικονομίας γίνεται κατανοητό ότι έρχονται καλύτερες μέρες </w:t>
      </w:r>
      <w:r w:rsidRPr="00424A46">
        <w:rPr>
          <w:rFonts w:ascii="Segoe UI" w:hAnsi="Segoe UI" w:cs="Segoe UI"/>
          <w:i/>
          <w:color w:val="0D0D0D" w:themeColor="text1" w:themeTint="F2"/>
          <w:sz w:val="18"/>
          <w:szCs w:val="20"/>
        </w:rPr>
        <w:t xml:space="preserve">και η εμπιστοσύνη </w:t>
      </w:r>
      <w:r w:rsidR="00F01F0D" w:rsidRPr="00F01F0D">
        <w:rPr>
          <w:rFonts w:ascii="Segoe UI" w:hAnsi="Segoe UI" w:cs="Segoe UI"/>
          <w:i/>
          <w:color w:val="0D0D0D" w:themeColor="text1" w:themeTint="F2"/>
          <w:sz w:val="18"/>
          <w:szCs w:val="20"/>
        </w:rPr>
        <w:t xml:space="preserve">κυμαίνεται </w:t>
      </w:r>
      <w:r w:rsidRPr="00424A46">
        <w:rPr>
          <w:rFonts w:ascii="Segoe UI" w:hAnsi="Segoe UI" w:cs="Segoe UI"/>
          <w:i/>
          <w:color w:val="0D0D0D" w:themeColor="text1" w:themeTint="F2"/>
          <w:sz w:val="18"/>
          <w:szCs w:val="20"/>
        </w:rPr>
        <w:t>σε υψηλά επίπεδα</w:t>
      </w:r>
      <w:r>
        <w:rPr>
          <w:rFonts w:ascii="Segoe UI" w:hAnsi="Segoe UI" w:cs="Segoe UI"/>
          <w:i/>
          <w:color w:val="0D0D0D" w:themeColor="text1" w:themeTint="F2"/>
          <w:sz w:val="18"/>
          <w:szCs w:val="20"/>
        </w:rPr>
        <w:t>,</w:t>
      </w:r>
      <w:r w:rsidRPr="00424A46">
        <w:rPr>
          <w:rFonts w:ascii="Segoe UI" w:hAnsi="Segoe UI" w:cs="Segoe UI"/>
          <w:i/>
          <w:color w:val="0D0D0D" w:themeColor="text1" w:themeTint="F2"/>
          <w:sz w:val="18"/>
          <w:szCs w:val="20"/>
        </w:rPr>
        <w:t xml:space="preserve"> </w:t>
      </w:r>
      <w:r w:rsidR="00F70D6A">
        <w:rPr>
          <w:rFonts w:ascii="Segoe UI" w:hAnsi="Segoe UI" w:cs="Segoe UI"/>
          <w:i/>
          <w:color w:val="0D0D0D" w:themeColor="text1" w:themeTint="F2"/>
          <w:sz w:val="18"/>
          <w:szCs w:val="20"/>
        </w:rPr>
        <w:t>οδηγώντας</w:t>
      </w:r>
      <w:r w:rsidR="00FD5D90">
        <w:rPr>
          <w:rFonts w:ascii="Segoe UI" w:hAnsi="Segoe UI" w:cs="Segoe UI"/>
          <w:i/>
          <w:color w:val="0D0D0D" w:themeColor="text1" w:themeTint="F2"/>
          <w:sz w:val="18"/>
          <w:szCs w:val="20"/>
        </w:rPr>
        <w:t xml:space="preserve"> σ</w:t>
      </w:r>
      <w:r w:rsidR="009766BB">
        <w:rPr>
          <w:rFonts w:ascii="Segoe UI" w:hAnsi="Segoe UI" w:cs="Segoe UI"/>
          <w:i/>
          <w:color w:val="0D0D0D" w:themeColor="text1" w:themeTint="F2"/>
          <w:sz w:val="18"/>
          <w:szCs w:val="20"/>
        </w:rPr>
        <w:t xml:space="preserve">ε </w:t>
      </w:r>
      <w:r w:rsidR="009766BB" w:rsidRPr="00424A46">
        <w:rPr>
          <w:rFonts w:ascii="Segoe UI" w:hAnsi="Segoe UI" w:cs="Segoe UI"/>
          <w:i/>
          <w:color w:val="0D0D0D" w:themeColor="text1" w:themeTint="F2"/>
          <w:sz w:val="18"/>
          <w:szCs w:val="20"/>
        </w:rPr>
        <w:t xml:space="preserve">διψήφια ποσοστά </w:t>
      </w:r>
      <w:r w:rsidR="009766BB">
        <w:rPr>
          <w:rFonts w:ascii="Segoe UI" w:hAnsi="Segoe UI" w:cs="Segoe UI"/>
          <w:i/>
          <w:color w:val="0D0D0D" w:themeColor="text1" w:themeTint="F2"/>
          <w:sz w:val="18"/>
          <w:szCs w:val="20"/>
        </w:rPr>
        <w:t xml:space="preserve">ανάπτυξης </w:t>
      </w:r>
      <w:r w:rsidR="00FD5D90">
        <w:rPr>
          <w:rFonts w:ascii="Segoe UI" w:hAnsi="Segoe UI" w:cs="Segoe UI"/>
          <w:i/>
          <w:color w:val="0D0D0D" w:themeColor="text1" w:themeTint="F2"/>
          <w:sz w:val="18"/>
          <w:szCs w:val="20"/>
        </w:rPr>
        <w:t xml:space="preserve">της </w:t>
      </w:r>
      <w:r>
        <w:rPr>
          <w:rFonts w:ascii="Segoe UI" w:hAnsi="Segoe UI" w:cs="Segoe UI"/>
          <w:i/>
          <w:color w:val="0D0D0D" w:themeColor="text1" w:themeTint="F2"/>
          <w:sz w:val="18"/>
          <w:szCs w:val="20"/>
        </w:rPr>
        <w:t>οικονομική</w:t>
      </w:r>
      <w:r w:rsidR="00FD5D90">
        <w:rPr>
          <w:rFonts w:ascii="Segoe UI" w:hAnsi="Segoe UI" w:cs="Segoe UI"/>
          <w:i/>
          <w:color w:val="0D0D0D" w:themeColor="text1" w:themeTint="F2"/>
          <w:sz w:val="18"/>
          <w:szCs w:val="20"/>
        </w:rPr>
        <w:t>ς</w:t>
      </w:r>
      <w:r>
        <w:rPr>
          <w:rFonts w:ascii="Segoe UI" w:hAnsi="Segoe UI" w:cs="Segoe UI"/>
          <w:i/>
          <w:color w:val="0D0D0D" w:themeColor="text1" w:themeTint="F2"/>
          <w:sz w:val="18"/>
          <w:szCs w:val="20"/>
        </w:rPr>
        <w:t xml:space="preserve"> </w:t>
      </w:r>
      <w:r w:rsidRPr="00424A46">
        <w:rPr>
          <w:rFonts w:ascii="Segoe UI" w:hAnsi="Segoe UI" w:cs="Segoe UI"/>
          <w:i/>
          <w:color w:val="0D0D0D" w:themeColor="text1" w:themeTint="F2"/>
          <w:sz w:val="18"/>
          <w:szCs w:val="20"/>
        </w:rPr>
        <w:t>δραστηριότητα</w:t>
      </w:r>
      <w:r w:rsidR="00FD5D90">
        <w:rPr>
          <w:rFonts w:ascii="Segoe UI" w:hAnsi="Segoe UI" w:cs="Segoe UI"/>
          <w:i/>
          <w:color w:val="0D0D0D" w:themeColor="text1" w:themeTint="F2"/>
          <w:sz w:val="18"/>
          <w:szCs w:val="20"/>
        </w:rPr>
        <w:t>ς</w:t>
      </w:r>
      <w:r w:rsidRPr="00424A46">
        <w:rPr>
          <w:rFonts w:ascii="Segoe UI" w:hAnsi="Segoe UI" w:cs="Segoe UI"/>
          <w:i/>
          <w:color w:val="0D0D0D" w:themeColor="text1" w:themeTint="F2"/>
          <w:sz w:val="18"/>
          <w:szCs w:val="20"/>
        </w:rPr>
        <w:t xml:space="preserve"> στα τελευταία τρία τρίμηνα του έτους.</w:t>
      </w:r>
    </w:p>
    <w:p w:rsidR="00424A46" w:rsidRDefault="00424A46" w:rsidP="009815F1">
      <w:pPr>
        <w:jc w:val="both"/>
        <w:rPr>
          <w:rFonts w:ascii="Segoe UI" w:hAnsi="Segoe UI" w:cs="Segoe UI"/>
          <w:i/>
          <w:color w:val="0D0D0D" w:themeColor="text1" w:themeTint="F2"/>
          <w:sz w:val="18"/>
          <w:szCs w:val="20"/>
        </w:rPr>
      </w:pPr>
    </w:p>
    <w:p w:rsidR="009815F1" w:rsidRPr="009815F1" w:rsidRDefault="009815F1" w:rsidP="009815F1">
      <w:pPr>
        <w:jc w:val="both"/>
        <w:rPr>
          <w:rFonts w:ascii="Segoe UI" w:hAnsi="Segoe UI" w:cs="Segoe UI"/>
          <w:i/>
          <w:color w:val="0D0D0D" w:themeColor="text1" w:themeTint="F2"/>
          <w:sz w:val="18"/>
          <w:szCs w:val="20"/>
        </w:rPr>
      </w:pPr>
      <w:r w:rsidRPr="009815F1">
        <w:rPr>
          <w:rFonts w:ascii="Segoe UI" w:hAnsi="Segoe UI" w:cs="Segoe UI"/>
          <w:i/>
          <w:color w:val="0D0D0D" w:themeColor="text1" w:themeTint="F2"/>
          <w:sz w:val="18"/>
          <w:szCs w:val="20"/>
        </w:rPr>
        <w:t xml:space="preserve">Κατά το πρώτο εξάμηνο του έτους και παρά τους περιορισμούς που επιβλήθηκαν στις μετακινήσεις στο μεγαλύτερο μέρος </w:t>
      </w:r>
      <w:r w:rsidR="00DD6E2E">
        <w:rPr>
          <w:rFonts w:ascii="Segoe UI" w:hAnsi="Segoe UI" w:cs="Segoe UI"/>
          <w:i/>
          <w:color w:val="0D0D0D" w:themeColor="text1" w:themeTint="F2"/>
          <w:sz w:val="18"/>
          <w:szCs w:val="20"/>
        </w:rPr>
        <w:t>του</w:t>
      </w:r>
      <w:r w:rsidRPr="009815F1">
        <w:rPr>
          <w:rFonts w:ascii="Segoe UI" w:hAnsi="Segoe UI" w:cs="Segoe UI"/>
          <w:i/>
          <w:color w:val="0D0D0D" w:themeColor="text1" w:themeTint="F2"/>
          <w:sz w:val="18"/>
          <w:szCs w:val="20"/>
        </w:rPr>
        <w:t>, καταφέραμε να επιτύχουμε ισχυρά κέρδη μετά από φόρους από συνεχιζόμενες δραστηριότητες</w:t>
      </w:r>
      <w:r w:rsidR="00C75954">
        <w:rPr>
          <w:rFonts w:ascii="Segoe UI" w:hAnsi="Segoe UI" w:cs="Segoe UI"/>
          <w:i/>
          <w:color w:val="0D0D0D" w:themeColor="text1" w:themeTint="F2"/>
          <w:sz w:val="18"/>
          <w:szCs w:val="20"/>
        </w:rPr>
        <w:t xml:space="preserve"> ύψους</w:t>
      </w:r>
      <w:r w:rsidRPr="009815F1">
        <w:rPr>
          <w:rFonts w:ascii="Segoe UI" w:hAnsi="Segoe UI" w:cs="Segoe UI"/>
          <w:i/>
          <w:color w:val="0D0D0D" w:themeColor="text1" w:themeTint="F2"/>
          <w:sz w:val="18"/>
          <w:szCs w:val="20"/>
        </w:rPr>
        <w:t xml:space="preserve"> €6</w:t>
      </w:r>
      <w:r w:rsidR="0059052F" w:rsidRPr="0059052F">
        <w:rPr>
          <w:rFonts w:ascii="Segoe UI" w:hAnsi="Segoe UI" w:cs="Segoe UI"/>
          <w:i/>
          <w:color w:val="0D0D0D" w:themeColor="text1" w:themeTint="F2"/>
          <w:sz w:val="18"/>
          <w:szCs w:val="20"/>
        </w:rPr>
        <w:t>22</w:t>
      </w:r>
      <w:r w:rsidRPr="009815F1">
        <w:rPr>
          <w:rFonts w:ascii="Segoe UI" w:hAnsi="Segoe UI" w:cs="Segoe UI"/>
          <w:i/>
          <w:color w:val="0D0D0D" w:themeColor="text1" w:themeTint="F2"/>
          <w:sz w:val="18"/>
          <w:szCs w:val="20"/>
        </w:rPr>
        <w:t xml:space="preserve"> εκατ., αντανακλώντας την ανάκαμψη σε όλους τους βασικούς τομείς κερδοφορίας της Τράπεζας, καθώς και </w:t>
      </w:r>
      <w:r w:rsidR="00426A22" w:rsidRPr="00426A22">
        <w:rPr>
          <w:rFonts w:ascii="Segoe UI" w:hAnsi="Segoe UI" w:cs="Segoe UI"/>
          <w:i/>
          <w:color w:val="0D0D0D" w:themeColor="text1" w:themeTint="F2"/>
          <w:sz w:val="18"/>
          <w:szCs w:val="20"/>
        </w:rPr>
        <w:t>τα ισχυρά κέρδη από χρηματοοικονομικές πράξεις</w:t>
      </w:r>
      <w:r w:rsidRPr="009815F1">
        <w:rPr>
          <w:rFonts w:ascii="Segoe UI" w:hAnsi="Segoe UI" w:cs="Segoe UI"/>
          <w:i/>
          <w:color w:val="0D0D0D" w:themeColor="text1" w:themeTint="F2"/>
          <w:sz w:val="18"/>
          <w:szCs w:val="20"/>
        </w:rPr>
        <w:t xml:space="preserve">. </w:t>
      </w:r>
      <w:r w:rsidR="00F70D6A">
        <w:rPr>
          <w:rFonts w:ascii="Segoe UI" w:hAnsi="Segoe UI" w:cs="Segoe UI"/>
          <w:i/>
          <w:color w:val="0D0D0D" w:themeColor="text1" w:themeTint="F2"/>
          <w:sz w:val="18"/>
          <w:szCs w:val="20"/>
        </w:rPr>
        <w:t>Χαρακτηριστικά</w:t>
      </w:r>
      <w:r w:rsidR="00247141" w:rsidRPr="00247141">
        <w:rPr>
          <w:rFonts w:ascii="Segoe UI" w:hAnsi="Segoe UI" w:cs="Segoe UI"/>
          <w:i/>
          <w:color w:val="0D0D0D" w:themeColor="text1" w:themeTint="F2"/>
          <w:sz w:val="18"/>
          <w:szCs w:val="20"/>
        </w:rPr>
        <w:t xml:space="preserve">, </w:t>
      </w:r>
      <w:r w:rsidR="00424A46">
        <w:rPr>
          <w:rFonts w:ascii="Segoe UI" w:hAnsi="Segoe UI" w:cs="Segoe UI"/>
          <w:i/>
          <w:color w:val="0D0D0D" w:themeColor="text1" w:themeTint="F2"/>
          <w:sz w:val="18"/>
          <w:szCs w:val="20"/>
        </w:rPr>
        <w:t>ο δείκτης κόστους προς οργανικά έσοδα μειώθηκε σε 51% το Β’ τρίμηνο 2021</w:t>
      </w:r>
      <w:r w:rsidR="00247141">
        <w:rPr>
          <w:rFonts w:ascii="Segoe UI" w:hAnsi="Segoe UI" w:cs="Segoe UI"/>
          <w:i/>
          <w:color w:val="0D0D0D" w:themeColor="text1" w:themeTint="F2"/>
          <w:sz w:val="18"/>
          <w:szCs w:val="20"/>
        </w:rPr>
        <w:t>, ενώ</w:t>
      </w:r>
      <w:r w:rsidR="00424A46">
        <w:rPr>
          <w:rFonts w:ascii="Segoe UI" w:hAnsi="Segoe UI" w:cs="Segoe UI"/>
          <w:i/>
          <w:color w:val="0D0D0D" w:themeColor="text1" w:themeTint="F2"/>
          <w:sz w:val="18"/>
          <w:szCs w:val="20"/>
        </w:rPr>
        <w:t xml:space="preserve"> </w:t>
      </w:r>
      <w:r w:rsidR="00424A46" w:rsidRPr="00424A46">
        <w:rPr>
          <w:rFonts w:ascii="Segoe UI" w:hAnsi="Segoe UI" w:cs="Segoe UI"/>
          <w:i/>
          <w:color w:val="0D0D0D" w:themeColor="text1" w:themeTint="F2"/>
          <w:sz w:val="18"/>
          <w:szCs w:val="20"/>
        </w:rPr>
        <w:t>τα καθαρά έσοδα από προμήθειες</w:t>
      </w:r>
      <w:r w:rsidR="00424A46">
        <w:rPr>
          <w:rFonts w:ascii="Segoe UI" w:hAnsi="Segoe UI" w:cs="Segoe UI"/>
          <w:i/>
          <w:color w:val="0D0D0D" w:themeColor="text1" w:themeTint="F2"/>
          <w:sz w:val="18"/>
          <w:szCs w:val="20"/>
        </w:rPr>
        <w:t xml:space="preserve"> σημείωσαν αύξηση κατά 10% σε ετήσια βάση. </w:t>
      </w:r>
      <w:r w:rsidR="00424A46" w:rsidRPr="009815F1">
        <w:rPr>
          <w:rFonts w:ascii="Segoe UI" w:hAnsi="Segoe UI" w:cs="Segoe UI"/>
          <w:i/>
          <w:color w:val="0D0D0D" w:themeColor="text1" w:themeTint="F2"/>
          <w:sz w:val="18"/>
          <w:szCs w:val="20"/>
        </w:rPr>
        <w:t>Το σημαντικότερο είναι ότι,</w:t>
      </w:r>
      <w:r w:rsidR="00247141">
        <w:rPr>
          <w:rFonts w:ascii="Segoe UI" w:hAnsi="Segoe UI" w:cs="Segoe UI"/>
          <w:i/>
          <w:color w:val="0D0D0D" w:themeColor="text1" w:themeTint="F2"/>
          <w:sz w:val="18"/>
          <w:szCs w:val="20"/>
        </w:rPr>
        <w:t xml:space="preserve"> εξαιρώντας </w:t>
      </w:r>
      <w:r w:rsidRPr="009815F1">
        <w:rPr>
          <w:rFonts w:ascii="Segoe UI" w:hAnsi="Segoe UI" w:cs="Segoe UI"/>
          <w:i/>
          <w:color w:val="0D0D0D" w:themeColor="text1" w:themeTint="F2"/>
          <w:sz w:val="18"/>
          <w:szCs w:val="20"/>
        </w:rPr>
        <w:t xml:space="preserve">τα κέρδη από χρηματοοικονομικές πράξεις και </w:t>
      </w:r>
      <w:r w:rsidR="00440684">
        <w:rPr>
          <w:rFonts w:ascii="Segoe UI" w:hAnsi="Segoe UI" w:cs="Segoe UI"/>
          <w:i/>
          <w:color w:val="0D0D0D" w:themeColor="text1" w:themeTint="F2"/>
          <w:sz w:val="18"/>
          <w:szCs w:val="20"/>
        </w:rPr>
        <w:t>μετά από</w:t>
      </w:r>
      <w:r w:rsidRPr="009815F1">
        <w:rPr>
          <w:rFonts w:ascii="Segoe UI" w:hAnsi="Segoe UI" w:cs="Segoe UI"/>
          <w:i/>
          <w:color w:val="0D0D0D" w:themeColor="text1" w:themeTint="F2"/>
          <w:sz w:val="18"/>
          <w:szCs w:val="20"/>
        </w:rPr>
        <w:t xml:space="preserve"> προβλέψεις, τα οργανικά κέρδη του Ομίλου εκτοξεύθηκαν κατά 58% σε ετήσια βάση, στα €208 εκατ.</w:t>
      </w:r>
      <w:r w:rsidR="00AA174D">
        <w:rPr>
          <w:rFonts w:ascii="Segoe UI" w:hAnsi="Segoe UI" w:cs="Segoe UI"/>
          <w:i/>
          <w:color w:val="0D0D0D" w:themeColor="text1" w:themeTint="F2"/>
          <w:sz w:val="18"/>
          <w:szCs w:val="20"/>
        </w:rPr>
        <w:t xml:space="preserve"> το Α’ εξάμηνο 2021</w:t>
      </w:r>
      <w:r w:rsidRPr="009815F1">
        <w:rPr>
          <w:rFonts w:ascii="Segoe UI" w:hAnsi="Segoe UI" w:cs="Segoe UI"/>
          <w:i/>
          <w:color w:val="0D0D0D" w:themeColor="text1" w:themeTint="F2"/>
          <w:sz w:val="18"/>
          <w:szCs w:val="20"/>
        </w:rPr>
        <w:t xml:space="preserve">, </w:t>
      </w:r>
      <w:r w:rsidR="00DB0BE9">
        <w:rPr>
          <w:rFonts w:ascii="Segoe UI" w:hAnsi="Segoe UI" w:cs="Segoe UI"/>
          <w:i/>
          <w:color w:val="0D0D0D" w:themeColor="text1" w:themeTint="F2"/>
          <w:sz w:val="18"/>
          <w:szCs w:val="20"/>
        </w:rPr>
        <w:t xml:space="preserve">φέρνοντάς μας </w:t>
      </w:r>
      <w:r w:rsidRPr="009815F1">
        <w:rPr>
          <w:rFonts w:ascii="Segoe UI" w:hAnsi="Segoe UI" w:cs="Segoe UI"/>
          <w:i/>
          <w:color w:val="0D0D0D" w:themeColor="text1" w:themeTint="F2"/>
          <w:sz w:val="18"/>
          <w:szCs w:val="20"/>
        </w:rPr>
        <w:t xml:space="preserve">αισθητά </w:t>
      </w:r>
      <w:r w:rsidR="00DB0BE9">
        <w:rPr>
          <w:rFonts w:ascii="Segoe UI" w:hAnsi="Segoe UI" w:cs="Segoe UI"/>
          <w:i/>
          <w:color w:val="0D0D0D" w:themeColor="text1" w:themeTint="F2"/>
          <w:sz w:val="18"/>
          <w:szCs w:val="20"/>
        </w:rPr>
        <w:t xml:space="preserve">κοντά στην επίτευξη του στόχου </w:t>
      </w:r>
      <w:r w:rsidR="00BB7340">
        <w:rPr>
          <w:rFonts w:ascii="Segoe UI" w:hAnsi="Segoe UI" w:cs="Segoe UI"/>
          <w:i/>
          <w:color w:val="0D0D0D" w:themeColor="text1" w:themeTint="F2"/>
          <w:sz w:val="18"/>
          <w:szCs w:val="20"/>
        </w:rPr>
        <w:t xml:space="preserve">μας για </w:t>
      </w:r>
      <w:r w:rsidRPr="009815F1">
        <w:rPr>
          <w:rFonts w:ascii="Segoe UI" w:hAnsi="Segoe UI" w:cs="Segoe UI"/>
          <w:i/>
          <w:color w:val="0D0D0D" w:themeColor="text1" w:themeTint="F2"/>
          <w:sz w:val="18"/>
          <w:szCs w:val="20"/>
        </w:rPr>
        <w:t xml:space="preserve">επαναλαμβανόμενα </w:t>
      </w:r>
      <w:r w:rsidR="00247141">
        <w:rPr>
          <w:rFonts w:ascii="Segoe UI" w:hAnsi="Segoe UI" w:cs="Segoe UI"/>
          <w:i/>
          <w:color w:val="0D0D0D" w:themeColor="text1" w:themeTint="F2"/>
          <w:sz w:val="18"/>
          <w:szCs w:val="20"/>
        </w:rPr>
        <w:t>ετήσια</w:t>
      </w:r>
      <w:r w:rsidR="00BB7340">
        <w:rPr>
          <w:rFonts w:ascii="Segoe UI" w:hAnsi="Segoe UI" w:cs="Segoe UI"/>
          <w:i/>
          <w:color w:val="0D0D0D" w:themeColor="text1" w:themeTint="F2"/>
          <w:sz w:val="18"/>
          <w:szCs w:val="20"/>
        </w:rPr>
        <w:t xml:space="preserve"> </w:t>
      </w:r>
      <w:r w:rsidRPr="009815F1">
        <w:rPr>
          <w:rFonts w:ascii="Segoe UI" w:hAnsi="Segoe UI" w:cs="Segoe UI"/>
          <w:i/>
          <w:color w:val="0D0D0D" w:themeColor="text1" w:themeTint="F2"/>
          <w:sz w:val="18"/>
          <w:szCs w:val="20"/>
        </w:rPr>
        <w:t>κέρδη</w:t>
      </w:r>
      <w:r w:rsidR="00BB7340" w:rsidRPr="00BB7340">
        <w:rPr>
          <w:rFonts w:ascii="Segoe UI" w:hAnsi="Segoe UI" w:cs="Segoe UI"/>
          <w:i/>
          <w:color w:val="0D0D0D" w:themeColor="text1" w:themeTint="F2"/>
          <w:sz w:val="18"/>
          <w:szCs w:val="20"/>
        </w:rPr>
        <w:t xml:space="preserve"> </w:t>
      </w:r>
      <w:r w:rsidR="00BB7340">
        <w:rPr>
          <w:rFonts w:ascii="Segoe UI" w:hAnsi="Segoe UI" w:cs="Segoe UI"/>
          <w:i/>
          <w:color w:val="0D0D0D" w:themeColor="text1" w:themeTint="F2"/>
          <w:sz w:val="18"/>
          <w:szCs w:val="20"/>
        </w:rPr>
        <w:t>ύψους</w:t>
      </w:r>
      <w:r w:rsidR="00BB7340" w:rsidRPr="009815F1">
        <w:rPr>
          <w:rFonts w:ascii="Segoe UI" w:hAnsi="Segoe UI" w:cs="Segoe UI"/>
          <w:i/>
          <w:color w:val="0D0D0D" w:themeColor="text1" w:themeTint="F2"/>
          <w:sz w:val="18"/>
          <w:szCs w:val="20"/>
        </w:rPr>
        <w:t xml:space="preserve"> €0,5 δισ.</w:t>
      </w:r>
      <w:r w:rsidRPr="009815F1">
        <w:rPr>
          <w:rFonts w:ascii="Segoe UI" w:hAnsi="Segoe UI" w:cs="Segoe UI"/>
          <w:i/>
          <w:color w:val="0D0D0D" w:themeColor="text1" w:themeTint="F2"/>
          <w:sz w:val="18"/>
          <w:szCs w:val="20"/>
        </w:rPr>
        <w:t xml:space="preserve">, </w:t>
      </w:r>
      <w:r w:rsidR="00BB7340">
        <w:rPr>
          <w:rFonts w:ascii="Segoe UI" w:hAnsi="Segoe UI" w:cs="Segoe UI"/>
          <w:i/>
          <w:color w:val="0D0D0D" w:themeColor="text1" w:themeTint="F2"/>
          <w:sz w:val="18"/>
          <w:szCs w:val="20"/>
        </w:rPr>
        <w:t xml:space="preserve">ήτοι </w:t>
      </w:r>
      <w:r w:rsidRPr="009815F1">
        <w:rPr>
          <w:rFonts w:ascii="Segoe UI" w:hAnsi="Segoe UI" w:cs="Segoe UI"/>
          <w:i/>
          <w:color w:val="0D0D0D" w:themeColor="text1" w:themeTint="F2"/>
          <w:sz w:val="18"/>
          <w:szCs w:val="20"/>
        </w:rPr>
        <w:t>απόδοση Ιδίων Κεφαλαίων της τάξεως του 9%</w:t>
      </w:r>
      <w:r w:rsidR="00F70D6A">
        <w:rPr>
          <w:rFonts w:ascii="Segoe UI" w:hAnsi="Segoe UI" w:cs="Segoe UI"/>
          <w:i/>
          <w:color w:val="0D0D0D" w:themeColor="text1" w:themeTint="F2"/>
          <w:sz w:val="18"/>
          <w:szCs w:val="20"/>
        </w:rPr>
        <w:t xml:space="preserve"> περίπου</w:t>
      </w:r>
      <w:r w:rsidRPr="009815F1">
        <w:rPr>
          <w:rFonts w:ascii="Segoe UI" w:hAnsi="Segoe UI" w:cs="Segoe UI"/>
          <w:i/>
          <w:color w:val="0D0D0D" w:themeColor="text1" w:themeTint="F2"/>
          <w:sz w:val="18"/>
          <w:szCs w:val="20"/>
        </w:rPr>
        <w:t xml:space="preserve"> για το επόμενο έτος.</w:t>
      </w:r>
      <w:r w:rsidR="00FB4BD5">
        <w:rPr>
          <w:rFonts w:ascii="Segoe UI" w:hAnsi="Segoe UI" w:cs="Segoe UI"/>
          <w:i/>
          <w:color w:val="0D0D0D" w:themeColor="text1" w:themeTint="F2"/>
          <w:sz w:val="18"/>
          <w:szCs w:val="20"/>
        </w:rPr>
        <w:t xml:space="preserve">  </w:t>
      </w:r>
    </w:p>
    <w:p w:rsidR="009815F1" w:rsidRPr="009815F1" w:rsidRDefault="009815F1" w:rsidP="009815F1">
      <w:pPr>
        <w:jc w:val="both"/>
        <w:rPr>
          <w:rFonts w:ascii="Segoe UI" w:hAnsi="Segoe UI" w:cs="Segoe UI"/>
          <w:i/>
          <w:color w:val="0D0D0D" w:themeColor="text1" w:themeTint="F2"/>
          <w:sz w:val="18"/>
          <w:szCs w:val="20"/>
        </w:rPr>
      </w:pPr>
    </w:p>
    <w:p w:rsidR="009815F1" w:rsidRPr="009815F1" w:rsidRDefault="009815F1" w:rsidP="00872179">
      <w:pPr>
        <w:jc w:val="both"/>
        <w:rPr>
          <w:rFonts w:ascii="Segoe UI" w:hAnsi="Segoe UI" w:cs="Segoe UI"/>
          <w:i/>
          <w:color w:val="0D0D0D" w:themeColor="text1" w:themeTint="F2"/>
          <w:sz w:val="18"/>
          <w:szCs w:val="20"/>
        </w:rPr>
      </w:pPr>
      <w:r w:rsidRPr="009815F1">
        <w:rPr>
          <w:rFonts w:ascii="Segoe UI" w:hAnsi="Segoe UI" w:cs="Segoe UI"/>
          <w:i/>
          <w:color w:val="0D0D0D" w:themeColor="text1" w:themeTint="F2"/>
          <w:sz w:val="18"/>
          <w:szCs w:val="20"/>
        </w:rPr>
        <w:t xml:space="preserve">Από πλευράς ποιότητας δανειακού χαρτοφυλακίου, </w:t>
      </w:r>
      <w:r w:rsidR="006F424F">
        <w:rPr>
          <w:rFonts w:ascii="Segoe UI" w:hAnsi="Segoe UI" w:cs="Segoe UI"/>
          <w:i/>
          <w:color w:val="0D0D0D" w:themeColor="text1" w:themeTint="F2"/>
          <w:sz w:val="18"/>
          <w:szCs w:val="20"/>
        </w:rPr>
        <w:t xml:space="preserve">η έκθεσή μας σε </w:t>
      </w:r>
      <w:r w:rsidRPr="009815F1">
        <w:rPr>
          <w:rFonts w:ascii="Segoe UI" w:hAnsi="Segoe UI" w:cs="Segoe UI"/>
          <w:i/>
          <w:color w:val="0D0D0D" w:themeColor="text1" w:themeTint="F2"/>
          <w:sz w:val="18"/>
          <w:szCs w:val="20"/>
        </w:rPr>
        <w:t>Μ</w:t>
      </w:r>
      <w:r w:rsidR="00F071E2">
        <w:rPr>
          <w:rFonts w:ascii="Segoe UI" w:hAnsi="Segoe UI" w:cs="Segoe UI"/>
          <w:i/>
          <w:color w:val="0D0D0D" w:themeColor="text1" w:themeTint="F2"/>
          <w:sz w:val="18"/>
          <w:szCs w:val="20"/>
        </w:rPr>
        <w:t xml:space="preserve">η </w:t>
      </w:r>
      <w:r w:rsidRPr="009815F1">
        <w:rPr>
          <w:rFonts w:ascii="Segoe UI" w:hAnsi="Segoe UI" w:cs="Segoe UI"/>
          <w:i/>
          <w:color w:val="0D0D0D" w:themeColor="text1" w:themeTint="F2"/>
          <w:sz w:val="18"/>
          <w:szCs w:val="20"/>
        </w:rPr>
        <w:t>Ε</w:t>
      </w:r>
      <w:r w:rsidR="00F071E2">
        <w:rPr>
          <w:rFonts w:ascii="Segoe UI" w:hAnsi="Segoe UI" w:cs="Segoe UI"/>
          <w:i/>
          <w:color w:val="0D0D0D" w:themeColor="text1" w:themeTint="F2"/>
          <w:sz w:val="18"/>
          <w:szCs w:val="20"/>
        </w:rPr>
        <w:t xml:space="preserve">ξυπηρετούμενα </w:t>
      </w:r>
      <w:r w:rsidRPr="009815F1">
        <w:rPr>
          <w:rFonts w:ascii="Segoe UI" w:hAnsi="Segoe UI" w:cs="Segoe UI"/>
          <w:i/>
          <w:color w:val="0D0D0D" w:themeColor="text1" w:themeTint="F2"/>
          <w:sz w:val="18"/>
          <w:szCs w:val="20"/>
        </w:rPr>
        <w:t>Α</w:t>
      </w:r>
      <w:r w:rsidR="00F071E2">
        <w:rPr>
          <w:rFonts w:ascii="Segoe UI" w:hAnsi="Segoe UI" w:cs="Segoe UI"/>
          <w:i/>
          <w:color w:val="0D0D0D" w:themeColor="text1" w:themeTint="F2"/>
          <w:sz w:val="18"/>
          <w:szCs w:val="20"/>
        </w:rPr>
        <w:t xml:space="preserve">νοίγματα </w:t>
      </w:r>
      <w:r w:rsidRPr="009815F1">
        <w:rPr>
          <w:rFonts w:ascii="Segoe UI" w:hAnsi="Segoe UI" w:cs="Segoe UI"/>
          <w:i/>
          <w:color w:val="0D0D0D" w:themeColor="text1" w:themeTint="F2"/>
          <w:sz w:val="18"/>
          <w:szCs w:val="20"/>
        </w:rPr>
        <w:t xml:space="preserve">στην Ελλάδα </w:t>
      </w:r>
      <w:r w:rsidR="006F424F">
        <w:rPr>
          <w:rFonts w:ascii="Segoe UI" w:hAnsi="Segoe UI" w:cs="Segoe UI"/>
          <w:i/>
          <w:color w:val="0D0D0D" w:themeColor="text1" w:themeTint="F2"/>
          <w:sz w:val="18"/>
          <w:szCs w:val="20"/>
        </w:rPr>
        <w:t xml:space="preserve">μειώθηκε </w:t>
      </w:r>
      <w:r w:rsidRPr="009815F1">
        <w:rPr>
          <w:rFonts w:ascii="Segoe UI" w:hAnsi="Segoe UI" w:cs="Segoe UI"/>
          <w:i/>
          <w:color w:val="0D0D0D" w:themeColor="text1" w:themeTint="F2"/>
          <w:sz w:val="18"/>
          <w:szCs w:val="20"/>
        </w:rPr>
        <w:t>περαιτέρω στα €4,0 δισ.</w:t>
      </w:r>
      <w:r w:rsidR="00C31DCF">
        <w:rPr>
          <w:rFonts w:ascii="Segoe UI" w:hAnsi="Segoe UI" w:cs="Segoe UI"/>
          <w:i/>
          <w:color w:val="0D0D0D" w:themeColor="text1" w:themeTint="F2"/>
          <w:sz w:val="18"/>
          <w:szCs w:val="20"/>
        </w:rPr>
        <w:t xml:space="preserve">, ήτοι </w:t>
      </w:r>
      <w:r w:rsidRPr="009815F1">
        <w:rPr>
          <w:rFonts w:ascii="Segoe UI" w:hAnsi="Segoe UI" w:cs="Segoe UI"/>
          <w:i/>
          <w:color w:val="0D0D0D" w:themeColor="text1" w:themeTint="F2"/>
          <w:sz w:val="18"/>
          <w:szCs w:val="20"/>
        </w:rPr>
        <w:t xml:space="preserve">12,8%, με τον δείκτη </w:t>
      </w:r>
      <w:r w:rsidR="00BA6020">
        <w:rPr>
          <w:rFonts w:ascii="Segoe UI" w:hAnsi="Segoe UI" w:cs="Segoe UI"/>
          <w:i/>
          <w:color w:val="0D0D0D" w:themeColor="text1" w:themeTint="F2"/>
          <w:sz w:val="18"/>
          <w:szCs w:val="20"/>
        </w:rPr>
        <w:t xml:space="preserve">κάλυψης </w:t>
      </w:r>
      <w:r w:rsidR="00BA6020" w:rsidRPr="009815F1">
        <w:rPr>
          <w:rFonts w:ascii="Segoe UI" w:hAnsi="Segoe UI" w:cs="Segoe UI"/>
          <w:i/>
          <w:color w:val="0D0D0D" w:themeColor="text1" w:themeTint="F2"/>
          <w:sz w:val="18"/>
          <w:szCs w:val="20"/>
        </w:rPr>
        <w:t>Μ</w:t>
      </w:r>
      <w:r w:rsidR="00BA6020">
        <w:rPr>
          <w:rFonts w:ascii="Segoe UI" w:hAnsi="Segoe UI" w:cs="Segoe UI"/>
          <w:i/>
          <w:color w:val="0D0D0D" w:themeColor="text1" w:themeTint="F2"/>
          <w:sz w:val="18"/>
          <w:szCs w:val="20"/>
        </w:rPr>
        <w:t xml:space="preserve">η </w:t>
      </w:r>
      <w:r w:rsidR="00BA6020" w:rsidRPr="009815F1">
        <w:rPr>
          <w:rFonts w:ascii="Segoe UI" w:hAnsi="Segoe UI" w:cs="Segoe UI"/>
          <w:i/>
          <w:color w:val="0D0D0D" w:themeColor="text1" w:themeTint="F2"/>
          <w:sz w:val="18"/>
          <w:szCs w:val="20"/>
        </w:rPr>
        <w:t>Ε</w:t>
      </w:r>
      <w:r w:rsidR="00BA6020">
        <w:rPr>
          <w:rFonts w:ascii="Segoe UI" w:hAnsi="Segoe UI" w:cs="Segoe UI"/>
          <w:i/>
          <w:color w:val="0D0D0D" w:themeColor="text1" w:themeTint="F2"/>
          <w:sz w:val="18"/>
          <w:szCs w:val="20"/>
        </w:rPr>
        <w:t xml:space="preserve">ξυπηρετούμενων </w:t>
      </w:r>
      <w:r w:rsidR="00BA6020" w:rsidRPr="009815F1">
        <w:rPr>
          <w:rFonts w:ascii="Segoe UI" w:hAnsi="Segoe UI" w:cs="Segoe UI"/>
          <w:i/>
          <w:color w:val="0D0D0D" w:themeColor="text1" w:themeTint="F2"/>
          <w:sz w:val="18"/>
          <w:szCs w:val="20"/>
        </w:rPr>
        <w:t>Α</w:t>
      </w:r>
      <w:r w:rsidR="00BA6020">
        <w:rPr>
          <w:rFonts w:ascii="Segoe UI" w:hAnsi="Segoe UI" w:cs="Segoe UI"/>
          <w:i/>
          <w:color w:val="0D0D0D" w:themeColor="text1" w:themeTint="F2"/>
          <w:sz w:val="18"/>
          <w:szCs w:val="20"/>
        </w:rPr>
        <w:t xml:space="preserve">νοιγμάτων </w:t>
      </w:r>
      <w:r w:rsidR="00BA6020" w:rsidRPr="00BA6020">
        <w:rPr>
          <w:rFonts w:ascii="Segoe UI" w:hAnsi="Segoe UI" w:cs="Segoe UI"/>
          <w:i/>
          <w:color w:val="0D0D0D" w:themeColor="text1" w:themeTint="F2"/>
          <w:sz w:val="18"/>
          <w:szCs w:val="20"/>
        </w:rPr>
        <w:t xml:space="preserve">από σωρευμένες προβλέψεις </w:t>
      </w:r>
      <w:r w:rsidRPr="009815F1">
        <w:rPr>
          <w:rFonts w:ascii="Segoe UI" w:hAnsi="Segoe UI" w:cs="Segoe UI"/>
          <w:i/>
          <w:color w:val="0D0D0D" w:themeColor="text1" w:themeTint="F2"/>
          <w:sz w:val="18"/>
          <w:szCs w:val="20"/>
        </w:rPr>
        <w:t xml:space="preserve">να αυξάνεται περαιτέρω σε ποσοστό 66,4%. Ο ρυθμός δημιουργίας νέων </w:t>
      </w:r>
      <w:r w:rsidR="00BA6020" w:rsidRPr="009815F1">
        <w:rPr>
          <w:rFonts w:ascii="Segoe UI" w:hAnsi="Segoe UI" w:cs="Segoe UI"/>
          <w:i/>
          <w:color w:val="0D0D0D" w:themeColor="text1" w:themeTint="F2"/>
          <w:sz w:val="18"/>
          <w:szCs w:val="20"/>
        </w:rPr>
        <w:t>Μ</w:t>
      </w:r>
      <w:r w:rsidR="00BA6020">
        <w:rPr>
          <w:rFonts w:ascii="Segoe UI" w:hAnsi="Segoe UI" w:cs="Segoe UI"/>
          <w:i/>
          <w:color w:val="0D0D0D" w:themeColor="text1" w:themeTint="F2"/>
          <w:sz w:val="18"/>
          <w:szCs w:val="20"/>
        </w:rPr>
        <w:t xml:space="preserve">η </w:t>
      </w:r>
      <w:r w:rsidR="00BA6020" w:rsidRPr="009815F1">
        <w:rPr>
          <w:rFonts w:ascii="Segoe UI" w:hAnsi="Segoe UI" w:cs="Segoe UI"/>
          <w:i/>
          <w:color w:val="0D0D0D" w:themeColor="text1" w:themeTint="F2"/>
          <w:sz w:val="18"/>
          <w:szCs w:val="20"/>
        </w:rPr>
        <w:t>Ε</w:t>
      </w:r>
      <w:r w:rsidR="00BA6020">
        <w:rPr>
          <w:rFonts w:ascii="Segoe UI" w:hAnsi="Segoe UI" w:cs="Segoe UI"/>
          <w:i/>
          <w:color w:val="0D0D0D" w:themeColor="text1" w:themeTint="F2"/>
          <w:sz w:val="18"/>
          <w:szCs w:val="20"/>
        </w:rPr>
        <w:t xml:space="preserve">ξυπηρετούμενων </w:t>
      </w:r>
      <w:r w:rsidR="00BA6020" w:rsidRPr="009815F1">
        <w:rPr>
          <w:rFonts w:ascii="Segoe UI" w:hAnsi="Segoe UI" w:cs="Segoe UI"/>
          <w:i/>
          <w:color w:val="0D0D0D" w:themeColor="text1" w:themeTint="F2"/>
          <w:sz w:val="18"/>
          <w:szCs w:val="20"/>
        </w:rPr>
        <w:t>Α</w:t>
      </w:r>
      <w:r w:rsidR="00BA6020">
        <w:rPr>
          <w:rFonts w:ascii="Segoe UI" w:hAnsi="Segoe UI" w:cs="Segoe UI"/>
          <w:i/>
          <w:color w:val="0D0D0D" w:themeColor="text1" w:themeTint="F2"/>
          <w:sz w:val="18"/>
          <w:szCs w:val="20"/>
        </w:rPr>
        <w:t xml:space="preserve">νοιγμάτων </w:t>
      </w:r>
      <w:r w:rsidRPr="009815F1">
        <w:rPr>
          <w:rFonts w:ascii="Segoe UI" w:hAnsi="Segoe UI" w:cs="Segoe UI"/>
          <w:i/>
          <w:color w:val="0D0D0D" w:themeColor="text1" w:themeTint="F2"/>
          <w:sz w:val="18"/>
          <w:szCs w:val="20"/>
        </w:rPr>
        <w:t xml:space="preserve">παρέμεινε αρνητικός, </w:t>
      </w:r>
      <w:r w:rsidR="00B312BA">
        <w:rPr>
          <w:rFonts w:ascii="Segoe UI" w:hAnsi="Segoe UI" w:cs="Segoe UI"/>
          <w:i/>
          <w:color w:val="0D0D0D" w:themeColor="text1" w:themeTint="F2"/>
          <w:sz w:val="18"/>
          <w:szCs w:val="20"/>
        </w:rPr>
        <w:t xml:space="preserve">συντελώντας </w:t>
      </w:r>
      <w:r w:rsidRPr="009815F1">
        <w:rPr>
          <w:rFonts w:ascii="Segoe UI" w:hAnsi="Segoe UI" w:cs="Segoe UI"/>
          <w:i/>
          <w:color w:val="0D0D0D" w:themeColor="text1" w:themeTint="F2"/>
          <w:sz w:val="18"/>
          <w:szCs w:val="20"/>
        </w:rPr>
        <w:t xml:space="preserve">στη συνολική οργανική μείωση </w:t>
      </w:r>
      <w:r w:rsidR="00DB4EAF">
        <w:rPr>
          <w:rFonts w:ascii="Segoe UI" w:hAnsi="Segoe UI" w:cs="Segoe UI"/>
          <w:i/>
          <w:color w:val="0D0D0D" w:themeColor="text1" w:themeTint="F2"/>
          <w:sz w:val="18"/>
          <w:szCs w:val="20"/>
        </w:rPr>
        <w:t xml:space="preserve">των </w:t>
      </w:r>
      <w:r w:rsidR="00DB4EAF" w:rsidRPr="00DB4EAF">
        <w:rPr>
          <w:rFonts w:ascii="Segoe UI" w:hAnsi="Segoe UI" w:cs="Segoe UI"/>
          <w:i/>
          <w:color w:val="0D0D0D" w:themeColor="text1" w:themeTint="F2"/>
          <w:sz w:val="18"/>
          <w:szCs w:val="20"/>
        </w:rPr>
        <w:t xml:space="preserve">Μη Εξυπηρετούμενων Ανοιγμάτων </w:t>
      </w:r>
      <w:r w:rsidRPr="009815F1">
        <w:rPr>
          <w:rFonts w:ascii="Segoe UI" w:hAnsi="Segoe UI" w:cs="Segoe UI"/>
          <w:i/>
          <w:color w:val="0D0D0D" w:themeColor="text1" w:themeTint="F2"/>
          <w:sz w:val="18"/>
          <w:szCs w:val="20"/>
        </w:rPr>
        <w:t xml:space="preserve">κατά €0,2 δισ. στο </w:t>
      </w:r>
      <w:r w:rsidR="00B312BA">
        <w:rPr>
          <w:rFonts w:ascii="Segoe UI" w:hAnsi="Segoe UI" w:cs="Segoe UI"/>
          <w:i/>
          <w:color w:val="0D0D0D" w:themeColor="text1" w:themeTint="F2"/>
          <w:sz w:val="18"/>
          <w:szCs w:val="20"/>
        </w:rPr>
        <w:t xml:space="preserve">Α’ </w:t>
      </w:r>
      <w:r w:rsidRPr="009815F1">
        <w:rPr>
          <w:rFonts w:ascii="Segoe UI" w:hAnsi="Segoe UI" w:cs="Segoe UI"/>
          <w:i/>
          <w:color w:val="0D0D0D" w:themeColor="text1" w:themeTint="F2"/>
          <w:sz w:val="18"/>
          <w:szCs w:val="20"/>
        </w:rPr>
        <w:t xml:space="preserve">εξάμηνο 2021, </w:t>
      </w:r>
      <w:r w:rsidR="00DB4EAF">
        <w:rPr>
          <w:rFonts w:ascii="Segoe UI" w:hAnsi="Segoe UI" w:cs="Segoe UI"/>
          <w:i/>
          <w:color w:val="0D0D0D" w:themeColor="text1" w:themeTint="F2"/>
          <w:sz w:val="18"/>
          <w:szCs w:val="20"/>
        </w:rPr>
        <w:t xml:space="preserve">παρά τη λήξη </w:t>
      </w:r>
      <w:r w:rsidR="00EE5849">
        <w:rPr>
          <w:rFonts w:ascii="Segoe UI" w:hAnsi="Segoe UI" w:cs="Segoe UI"/>
          <w:i/>
          <w:color w:val="0D0D0D" w:themeColor="text1" w:themeTint="F2"/>
          <w:sz w:val="18"/>
          <w:szCs w:val="20"/>
        </w:rPr>
        <w:t xml:space="preserve">όλων </w:t>
      </w:r>
      <w:r w:rsidR="006B7541">
        <w:rPr>
          <w:rFonts w:ascii="Segoe UI" w:hAnsi="Segoe UI" w:cs="Segoe UI"/>
          <w:i/>
          <w:color w:val="0D0D0D" w:themeColor="text1" w:themeTint="F2"/>
          <w:sz w:val="18"/>
          <w:szCs w:val="20"/>
        </w:rPr>
        <w:t xml:space="preserve">των </w:t>
      </w:r>
      <w:r w:rsidR="00EE5849">
        <w:rPr>
          <w:rFonts w:ascii="Segoe UI" w:hAnsi="Segoe UI" w:cs="Segoe UI"/>
          <w:i/>
          <w:color w:val="0D0D0D" w:themeColor="text1" w:themeTint="F2"/>
          <w:sz w:val="18"/>
          <w:szCs w:val="20"/>
        </w:rPr>
        <w:t xml:space="preserve">προγραμμάτων </w:t>
      </w:r>
      <w:r w:rsidR="00EE5849" w:rsidRPr="00EE5849">
        <w:rPr>
          <w:rFonts w:ascii="Segoe UI" w:hAnsi="Segoe UI" w:cs="Segoe UI"/>
          <w:i/>
          <w:color w:val="0D0D0D" w:themeColor="text1" w:themeTint="F2"/>
          <w:sz w:val="18"/>
          <w:szCs w:val="20"/>
        </w:rPr>
        <w:t>διευκόλυνσης καταβολής οφειλών</w:t>
      </w:r>
      <w:r w:rsidR="00EE5849">
        <w:rPr>
          <w:rFonts w:ascii="Segoe UI" w:hAnsi="Segoe UI" w:cs="Segoe UI"/>
          <w:i/>
          <w:color w:val="0D0D0D" w:themeColor="text1" w:themeTint="F2"/>
          <w:sz w:val="18"/>
          <w:szCs w:val="20"/>
        </w:rPr>
        <w:t xml:space="preserve"> στο τέλος του 2020. </w:t>
      </w:r>
      <w:r w:rsidR="00872179">
        <w:rPr>
          <w:rFonts w:ascii="Segoe UI" w:hAnsi="Segoe UI" w:cs="Segoe UI"/>
          <w:i/>
          <w:color w:val="0D0D0D" w:themeColor="text1" w:themeTint="F2"/>
          <w:sz w:val="18"/>
          <w:szCs w:val="20"/>
        </w:rPr>
        <w:t xml:space="preserve">Πράγματι, </w:t>
      </w:r>
      <w:r w:rsidR="00F21E32">
        <w:rPr>
          <w:rFonts w:ascii="Segoe UI" w:hAnsi="Segoe UI" w:cs="Segoe UI"/>
          <w:i/>
          <w:color w:val="0D0D0D" w:themeColor="text1" w:themeTint="F2"/>
          <w:sz w:val="18"/>
          <w:szCs w:val="20"/>
        </w:rPr>
        <w:t>η</w:t>
      </w:r>
      <w:r w:rsidR="00F21E32" w:rsidRPr="00F21E32">
        <w:rPr>
          <w:rFonts w:ascii="Segoe UI" w:hAnsi="Segoe UI" w:cs="Segoe UI"/>
          <w:i/>
          <w:color w:val="0D0D0D" w:themeColor="text1" w:themeTint="F2"/>
          <w:sz w:val="18"/>
          <w:szCs w:val="20"/>
        </w:rPr>
        <w:t xml:space="preserve"> κατάσταση πληρωμών των </w:t>
      </w:r>
      <w:r w:rsidR="009E47BA">
        <w:rPr>
          <w:rFonts w:ascii="Segoe UI" w:hAnsi="Segoe UI" w:cs="Segoe UI"/>
          <w:i/>
          <w:color w:val="0D0D0D" w:themeColor="text1" w:themeTint="F2"/>
          <w:sz w:val="18"/>
          <w:szCs w:val="20"/>
        </w:rPr>
        <w:t xml:space="preserve">ενήμερων </w:t>
      </w:r>
      <w:r w:rsidR="00F21E32" w:rsidRPr="00F21E32">
        <w:rPr>
          <w:rFonts w:ascii="Segoe UI" w:hAnsi="Segoe UI" w:cs="Segoe UI"/>
          <w:i/>
          <w:color w:val="0D0D0D" w:themeColor="text1" w:themeTint="F2"/>
          <w:sz w:val="18"/>
          <w:szCs w:val="20"/>
        </w:rPr>
        <w:t xml:space="preserve">πελατών που είχαν ενταχθεί </w:t>
      </w:r>
      <w:r w:rsidR="00A83DC3">
        <w:rPr>
          <w:rFonts w:ascii="Segoe UI" w:hAnsi="Segoe UI" w:cs="Segoe UI"/>
          <w:i/>
          <w:color w:val="0D0D0D" w:themeColor="text1" w:themeTint="F2"/>
          <w:sz w:val="18"/>
          <w:szCs w:val="20"/>
        </w:rPr>
        <w:t xml:space="preserve">στα εν λόγω προγράμματα </w:t>
      </w:r>
      <w:r w:rsidR="00872179">
        <w:rPr>
          <w:rFonts w:ascii="Segoe UI" w:hAnsi="Segoe UI" w:cs="Segoe UI"/>
          <w:i/>
          <w:color w:val="0D0D0D" w:themeColor="text1" w:themeTint="F2"/>
          <w:sz w:val="18"/>
          <w:szCs w:val="20"/>
        </w:rPr>
        <w:t>παραμένει σε πολύ καλά επίπεδα</w:t>
      </w:r>
      <w:r w:rsidR="00F21E32" w:rsidRPr="00F21E32">
        <w:rPr>
          <w:rFonts w:ascii="Segoe UI" w:hAnsi="Segoe UI" w:cs="Segoe UI"/>
          <w:i/>
          <w:color w:val="0D0D0D" w:themeColor="text1" w:themeTint="F2"/>
          <w:sz w:val="18"/>
          <w:szCs w:val="20"/>
        </w:rPr>
        <w:t xml:space="preserve">, καθώς μόνο το 3% </w:t>
      </w:r>
      <w:r w:rsidR="00F21E32">
        <w:rPr>
          <w:rFonts w:ascii="Segoe UI" w:hAnsi="Segoe UI" w:cs="Segoe UI"/>
          <w:i/>
          <w:color w:val="0D0D0D" w:themeColor="text1" w:themeTint="F2"/>
          <w:sz w:val="18"/>
          <w:szCs w:val="20"/>
        </w:rPr>
        <w:t>παρουσιάζει κ</w:t>
      </w:r>
      <w:r w:rsidR="00F21E32" w:rsidRPr="00F21E32">
        <w:rPr>
          <w:rFonts w:ascii="Segoe UI" w:hAnsi="Segoe UI" w:cs="Segoe UI"/>
          <w:i/>
          <w:color w:val="0D0D0D" w:themeColor="text1" w:themeTint="F2"/>
          <w:sz w:val="18"/>
          <w:szCs w:val="20"/>
        </w:rPr>
        <w:t xml:space="preserve">αθυστέρηση </w:t>
      </w:r>
      <w:r w:rsidR="00F21E32">
        <w:rPr>
          <w:rFonts w:ascii="Segoe UI" w:hAnsi="Segoe UI" w:cs="Segoe UI"/>
          <w:i/>
          <w:color w:val="0D0D0D" w:themeColor="text1" w:themeTint="F2"/>
          <w:sz w:val="18"/>
          <w:szCs w:val="20"/>
        </w:rPr>
        <w:t xml:space="preserve">πληρωμών </w:t>
      </w:r>
      <w:r w:rsidR="00F21E32" w:rsidRPr="00F21E32">
        <w:rPr>
          <w:rFonts w:ascii="Segoe UI" w:hAnsi="Segoe UI" w:cs="Segoe UI"/>
          <w:i/>
          <w:color w:val="0D0D0D" w:themeColor="text1" w:themeTint="F2"/>
          <w:sz w:val="18"/>
          <w:szCs w:val="20"/>
        </w:rPr>
        <w:t>άνω των 90 ημερών</w:t>
      </w:r>
      <w:r w:rsidR="007D44B7">
        <w:rPr>
          <w:rFonts w:ascii="Segoe UI" w:hAnsi="Segoe UI" w:cs="Segoe UI"/>
          <w:i/>
          <w:color w:val="0D0D0D" w:themeColor="text1" w:themeTint="F2"/>
          <w:sz w:val="18"/>
          <w:szCs w:val="20"/>
        </w:rPr>
        <w:t>.</w:t>
      </w:r>
      <w:r w:rsidR="00F21E32">
        <w:rPr>
          <w:rFonts w:ascii="Segoe UI" w:hAnsi="Segoe UI" w:cs="Segoe UI"/>
          <w:i/>
          <w:color w:val="0D0D0D" w:themeColor="text1" w:themeTint="F2"/>
          <w:sz w:val="18"/>
          <w:szCs w:val="20"/>
        </w:rPr>
        <w:t xml:space="preserve"> </w:t>
      </w:r>
      <w:r w:rsidR="00F21E32" w:rsidRPr="009815F1">
        <w:rPr>
          <w:rFonts w:ascii="Segoe UI" w:hAnsi="Segoe UI" w:cs="Segoe UI"/>
          <w:i/>
          <w:color w:val="0D0D0D" w:themeColor="text1" w:themeTint="F2"/>
          <w:sz w:val="18"/>
          <w:szCs w:val="20"/>
        </w:rPr>
        <w:t xml:space="preserve">Εξίσου σημαντικό είναι ότι μόλις το 1% των </w:t>
      </w:r>
      <w:r w:rsidR="005B172A">
        <w:rPr>
          <w:rFonts w:ascii="Segoe UI" w:hAnsi="Segoe UI" w:cs="Segoe UI"/>
          <w:i/>
          <w:color w:val="0D0D0D" w:themeColor="text1" w:themeTint="F2"/>
          <w:sz w:val="18"/>
          <w:szCs w:val="20"/>
        </w:rPr>
        <w:t xml:space="preserve">ενήμερων </w:t>
      </w:r>
      <w:r w:rsidR="00F21E32" w:rsidRPr="009815F1">
        <w:rPr>
          <w:rFonts w:ascii="Segoe UI" w:hAnsi="Segoe UI" w:cs="Segoe UI"/>
          <w:i/>
          <w:color w:val="0D0D0D" w:themeColor="text1" w:themeTint="F2"/>
          <w:sz w:val="18"/>
          <w:szCs w:val="20"/>
        </w:rPr>
        <w:t xml:space="preserve">πελατών </w:t>
      </w:r>
      <w:r w:rsidR="00A83DC3">
        <w:rPr>
          <w:rFonts w:ascii="Segoe UI" w:hAnsi="Segoe UI" w:cs="Segoe UI"/>
          <w:i/>
          <w:color w:val="0D0D0D" w:themeColor="text1" w:themeTint="F2"/>
          <w:sz w:val="18"/>
          <w:szCs w:val="20"/>
        </w:rPr>
        <w:t xml:space="preserve">που είχαν ενταχθεί </w:t>
      </w:r>
      <w:r w:rsidR="00A83DC3" w:rsidRPr="00A83DC3">
        <w:rPr>
          <w:rFonts w:ascii="Segoe UI" w:hAnsi="Segoe UI" w:cs="Segoe UI"/>
          <w:i/>
          <w:color w:val="0D0D0D" w:themeColor="text1" w:themeTint="F2"/>
          <w:sz w:val="18"/>
          <w:szCs w:val="20"/>
        </w:rPr>
        <w:t xml:space="preserve">σε προγράμματα διευκόλυνσης καταβολής οφειλών </w:t>
      </w:r>
      <w:r w:rsidR="00F21E32" w:rsidRPr="009815F1">
        <w:rPr>
          <w:rFonts w:ascii="Segoe UI" w:hAnsi="Segoe UI" w:cs="Segoe UI"/>
          <w:i/>
          <w:color w:val="0D0D0D" w:themeColor="text1" w:themeTint="F2"/>
          <w:sz w:val="18"/>
          <w:szCs w:val="20"/>
        </w:rPr>
        <w:t xml:space="preserve">παρουσιάζει </w:t>
      </w:r>
      <w:r w:rsidR="00825DA5">
        <w:rPr>
          <w:rFonts w:ascii="Segoe UI" w:hAnsi="Segoe UI" w:cs="Segoe UI"/>
          <w:i/>
          <w:color w:val="0D0D0D" w:themeColor="text1" w:themeTint="F2"/>
          <w:sz w:val="18"/>
          <w:szCs w:val="20"/>
        </w:rPr>
        <w:t xml:space="preserve">μία </w:t>
      </w:r>
      <w:r w:rsidR="00F21E32" w:rsidRPr="009815F1">
        <w:rPr>
          <w:rFonts w:ascii="Segoe UI" w:hAnsi="Segoe UI" w:cs="Segoe UI"/>
          <w:i/>
          <w:color w:val="0D0D0D" w:themeColor="text1" w:themeTint="F2"/>
          <w:sz w:val="18"/>
          <w:szCs w:val="20"/>
        </w:rPr>
        <w:t xml:space="preserve">μικρή καθυστέρηση (άνω των 30 ημερών), εξέλιξη </w:t>
      </w:r>
      <w:r w:rsidR="004114B1">
        <w:rPr>
          <w:rFonts w:ascii="Segoe UI" w:hAnsi="Segoe UI" w:cs="Segoe UI"/>
          <w:i/>
          <w:color w:val="0D0D0D" w:themeColor="text1" w:themeTint="F2"/>
          <w:sz w:val="18"/>
          <w:szCs w:val="20"/>
        </w:rPr>
        <w:t xml:space="preserve">που </w:t>
      </w:r>
      <w:r w:rsidR="00872179">
        <w:rPr>
          <w:rFonts w:ascii="Segoe UI" w:hAnsi="Segoe UI" w:cs="Segoe UI"/>
          <w:i/>
          <w:color w:val="0D0D0D" w:themeColor="text1" w:themeTint="F2"/>
          <w:sz w:val="18"/>
          <w:szCs w:val="20"/>
        </w:rPr>
        <w:t>ξεπερνά κατά πολύ τις προσδοκίες της Τράπεζας.</w:t>
      </w:r>
      <w:r w:rsidR="00F70D6A">
        <w:rPr>
          <w:rFonts w:ascii="Segoe UI" w:hAnsi="Segoe UI" w:cs="Segoe UI"/>
          <w:i/>
          <w:color w:val="0D0D0D" w:themeColor="text1" w:themeTint="F2"/>
          <w:sz w:val="18"/>
          <w:szCs w:val="20"/>
        </w:rPr>
        <w:t xml:space="preserve"> </w:t>
      </w:r>
      <w:r w:rsidR="00872179">
        <w:rPr>
          <w:rFonts w:ascii="Segoe UI" w:hAnsi="Segoe UI" w:cs="Segoe UI"/>
          <w:i/>
          <w:color w:val="0D0D0D" w:themeColor="text1" w:themeTint="F2"/>
          <w:sz w:val="18"/>
          <w:szCs w:val="20"/>
        </w:rPr>
        <w:t xml:space="preserve">Ως αποτέλεσμα, </w:t>
      </w:r>
      <w:r w:rsidR="00745B55">
        <w:rPr>
          <w:rFonts w:ascii="Segoe UI" w:hAnsi="Segoe UI" w:cs="Segoe UI"/>
          <w:i/>
          <w:color w:val="0D0D0D" w:themeColor="text1" w:themeTint="F2"/>
          <w:sz w:val="18"/>
          <w:szCs w:val="20"/>
        </w:rPr>
        <w:t xml:space="preserve">έχουμε βάσιμες προσδοκίες </w:t>
      </w:r>
      <w:r w:rsidR="006C3B22">
        <w:rPr>
          <w:rFonts w:ascii="Segoe UI" w:hAnsi="Segoe UI" w:cs="Segoe UI"/>
          <w:i/>
          <w:color w:val="0D0D0D" w:themeColor="text1" w:themeTint="F2"/>
          <w:sz w:val="18"/>
          <w:szCs w:val="20"/>
        </w:rPr>
        <w:t xml:space="preserve">ότι θα σημειώσουμε καλύτερη επίδοση έναντι του </w:t>
      </w:r>
      <w:r w:rsidR="00745B55">
        <w:rPr>
          <w:rFonts w:ascii="Segoe UI" w:hAnsi="Segoe UI" w:cs="Segoe UI"/>
          <w:i/>
          <w:color w:val="0D0D0D" w:themeColor="text1" w:themeTint="F2"/>
          <w:sz w:val="18"/>
          <w:szCs w:val="20"/>
        </w:rPr>
        <w:t>στόχο</w:t>
      </w:r>
      <w:r w:rsidR="006C3B22">
        <w:rPr>
          <w:rFonts w:ascii="Segoe UI" w:hAnsi="Segoe UI" w:cs="Segoe UI"/>
          <w:i/>
          <w:color w:val="0D0D0D" w:themeColor="text1" w:themeTint="F2"/>
          <w:sz w:val="18"/>
          <w:szCs w:val="20"/>
        </w:rPr>
        <w:t>υ</w:t>
      </w:r>
      <w:r w:rsidR="00745B55">
        <w:rPr>
          <w:rFonts w:ascii="Segoe UI" w:hAnsi="Segoe UI" w:cs="Segoe UI"/>
          <w:i/>
          <w:color w:val="0D0D0D" w:themeColor="text1" w:themeTint="F2"/>
          <w:sz w:val="18"/>
          <w:szCs w:val="20"/>
        </w:rPr>
        <w:t xml:space="preserve"> που έχουμε θέσει για το κόστος πιστωτικού κινδύνου της Τράπεζας</w:t>
      </w:r>
      <w:r w:rsidR="00F21E32" w:rsidRPr="009815F1">
        <w:rPr>
          <w:rFonts w:ascii="Segoe UI" w:hAnsi="Segoe UI" w:cs="Segoe UI"/>
          <w:i/>
          <w:color w:val="0D0D0D" w:themeColor="text1" w:themeTint="F2"/>
          <w:sz w:val="18"/>
          <w:szCs w:val="20"/>
        </w:rPr>
        <w:t xml:space="preserve">. </w:t>
      </w:r>
      <w:r w:rsidR="005A1812">
        <w:rPr>
          <w:rFonts w:ascii="Segoe UI" w:hAnsi="Segoe UI" w:cs="Segoe UI"/>
          <w:i/>
          <w:color w:val="0D0D0D" w:themeColor="text1" w:themeTint="F2"/>
          <w:sz w:val="18"/>
          <w:szCs w:val="20"/>
        </w:rPr>
        <w:t xml:space="preserve">  </w:t>
      </w:r>
    </w:p>
    <w:p w:rsidR="009815F1" w:rsidRPr="009815F1" w:rsidRDefault="009815F1" w:rsidP="009815F1">
      <w:pPr>
        <w:jc w:val="both"/>
        <w:rPr>
          <w:rFonts w:ascii="Segoe UI" w:hAnsi="Segoe UI" w:cs="Segoe UI"/>
          <w:i/>
          <w:color w:val="0D0D0D" w:themeColor="text1" w:themeTint="F2"/>
          <w:sz w:val="18"/>
          <w:szCs w:val="20"/>
        </w:rPr>
      </w:pPr>
    </w:p>
    <w:p w:rsidR="009815F1" w:rsidRPr="009815F1" w:rsidRDefault="009815F1" w:rsidP="009815F1">
      <w:pPr>
        <w:jc w:val="both"/>
        <w:rPr>
          <w:rFonts w:ascii="Segoe UI" w:hAnsi="Segoe UI" w:cs="Segoe UI"/>
          <w:i/>
          <w:color w:val="0D0D0D" w:themeColor="text1" w:themeTint="F2"/>
          <w:sz w:val="18"/>
          <w:szCs w:val="20"/>
        </w:rPr>
      </w:pPr>
      <w:r w:rsidRPr="009815F1">
        <w:rPr>
          <w:rFonts w:ascii="Segoe UI" w:hAnsi="Segoe UI" w:cs="Segoe UI"/>
          <w:i/>
          <w:color w:val="0D0D0D" w:themeColor="text1" w:themeTint="F2"/>
          <w:sz w:val="18"/>
          <w:szCs w:val="20"/>
        </w:rPr>
        <w:t xml:space="preserve">Όσον αφορά την κεφαλαιακή </w:t>
      </w:r>
      <w:r w:rsidR="00D76721">
        <w:rPr>
          <w:rFonts w:ascii="Segoe UI" w:hAnsi="Segoe UI" w:cs="Segoe UI"/>
          <w:i/>
          <w:color w:val="0D0D0D" w:themeColor="text1" w:themeTint="F2"/>
          <w:sz w:val="18"/>
          <w:szCs w:val="20"/>
        </w:rPr>
        <w:t xml:space="preserve">μας </w:t>
      </w:r>
      <w:r w:rsidRPr="009815F1">
        <w:rPr>
          <w:rFonts w:ascii="Segoe UI" w:hAnsi="Segoe UI" w:cs="Segoe UI"/>
          <w:i/>
          <w:color w:val="0D0D0D" w:themeColor="text1" w:themeTint="F2"/>
          <w:sz w:val="18"/>
          <w:szCs w:val="20"/>
        </w:rPr>
        <w:t xml:space="preserve">επάρκεια, </w:t>
      </w:r>
      <w:r w:rsidR="00F70D6A">
        <w:rPr>
          <w:rFonts w:ascii="Segoe UI" w:hAnsi="Segoe UI" w:cs="Segoe UI"/>
          <w:i/>
          <w:color w:val="0D0D0D" w:themeColor="text1" w:themeTint="F2"/>
          <w:sz w:val="18"/>
          <w:szCs w:val="20"/>
        </w:rPr>
        <w:t>από την αρχή του έτους</w:t>
      </w:r>
      <w:r w:rsidRPr="009815F1">
        <w:rPr>
          <w:rFonts w:ascii="Segoe UI" w:hAnsi="Segoe UI" w:cs="Segoe UI"/>
          <w:i/>
          <w:color w:val="0D0D0D" w:themeColor="text1" w:themeTint="F2"/>
          <w:sz w:val="18"/>
          <w:szCs w:val="20"/>
        </w:rPr>
        <w:t xml:space="preserve"> βελτιώσαμε περαιτέρω την ήδη ισχυρή κεφαλαιακή μας θέση, με τον δείκτη CET1 και τον Συνολικό Δείκτη Κεφαλαιακής Επάρκειας να ανέρχοντα</w:t>
      </w:r>
      <w:r w:rsidR="00A82421">
        <w:rPr>
          <w:rFonts w:ascii="Segoe UI" w:hAnsi="Segoe UI" w:cs="Segoe UI"/>
          <w:i/>
          <w:color w:val="0D0D0D" w:themeColor="text1" w:themeTint="F2"/>
          <w:sz w:val="18"/>
          <w:szCs w:val="20"/>
        </w:rPr>
        <w:t>ι σε 16,0</w:t>
      </w:r>
      <w:r w:rsidR="00D76721">
        <w:rPr>
          <w:rFonts w:ascii="Segoe UI" w:hAnsi="Segoe UI" w:cs="Segoe UI"/>
          <w:i/>
          <w:color w:val="0D0D0D" w:themeColor="text1" w:themeTint="F2"/>
          <w:sz w:val="18"/>
          <w:szCs w:val="20"/>
        </w:rPr>
        <w:t>% και 17,</w:t>
      </w:r>
      <w:r w:rsidR="00AD6C67" w:rsidRPr="00B01961">
        <w:rPr>
          <w:rFonts w:ascii="Segoe UI" w:hAnsi="Segoe UI" w:cs="Segoe UI"/>
          <w:i/>
          <w:color w:val="0D0D0D" w:themeColor="text1" w:themeTint="F2"/>
          <w:sz w:val="18"/>
          <w:szCs w:val="20"/>
        </w:rPr>
        <w:t>0</w:t>
      </w:r>
      <w:r w:rsidR="00D76721">
        <w:rPr>
          <w:rFonts w:ascii="Segoe UI" w:hAnsi="Segoe UI" w:cs="Segoe UI"/>
          <w:i/>
          <w:color w:val="0D0D0D" w:themeColor="text1" w:themeTint="F2"/>
          <w:sz w:val="18"/>
          <w:szCs w:val="20"/>
        </w:rPr>
        <w:t>% αντίστοιχα</w:t>
      </w:r>
      <w:r w:rsidRPr="009815F1">
        <w:rPr>
          <w:rFonts w:ascii="Segoe UI" w:hAnsi="Segoe UI" w:cs="Segoe UI"/>
          <w:i/>
          <w:color w:val="0D0D0D" w:themeColor="text1" w:themeTint="F2"/>
          <w:sz w:val="18"/>
          <w:szCs w:val="20"/>
        </w:rPr>
        <w:t xml:space="preserve">. Η κεφαλαιακή μας θέση αναμένεται να </w:t>
      </w:r>
      <w:r w:rsidR="00983B08">
        <w:rPr>
          <w:rFonts w:ascii="Segoe UI" w:hAnsi="Segoe UI" w:cs="Segoe UI"/>
          <w:i/>
          <w:color w:val="0D0D0D" w:themeColor="text1" w:themeTint="F2"/>
          <w:sz w:val="18"/>
          <w:szCs w:val="20"/>
        </w:rPr>
        <w:t>ενισχυθεί</w:t>
      </w:r>
      <w:r w:rsidRPr="009815F1">
        <w:rPr>
          <w:rFonts w:ascii="Segoe UI" w:hAnsi="Segoe UI" w:cs="Segoe UI"/>
          <w:i/>
          <w:color w:val="0D0D0D" w:themeColor="text1" w:themeTint="F2"/>
          <w:sz w:val="18"/>
          <w:szCs w:val="20"/>
        </w:rPr>
        <w:t xml:space="preserve"> περαιτέρω κατά 170μ.β. περίπου, μετά την ολοκλήρωση της συναλλαγής Frontier και την πώληση της Εθνικής Ασφαλιστικής.</w:t>
      </w:r>
    </w:p>
    <w:p w:rsidR="009815F1" w:rsidRPr="009815F1" w:rsidRDefault="009815F1" w:rsidP="009815F1">
      <w:pPr>
        <w:jc w:val="both"/>
        <w:rPr>
          <w:rFonts w:ascii="Segoe UI" w:hAnsi="Segoe UI" w:cs="Segoe UI"/>
          <w:i/>
          <w:color w:val="0D0D0D" w:themeColor="text1" w:themeTint="F2"/>
          <w:sz w:val="18"/>
          <w:szCs w:val="20"/>
        </w:rPr>
      </w:pPr>
    </w:p>
    <w:p w:rsidR="00AC4278" w:rsidRPr="002F4CA4" w:rsidRDefault="009815F1" w:rsidP="00505CD8">
      <w:pPr>
        <w:tabs>
          <w:tab w:val="left" w:pos="5103"/>
        </w:tabs>
        <w:jc w:val="both"/>
        <w:rPr>
          <w:rFonts w:ascii="Segoe UI" w:hAnsi="Segoe UI" w:cs="Segoe UI"/>
          <w:i/>
          <w:color w:val="0D0D0D" w:themeColor="text1" w:themeTint="F2"/>
          <w:sz w:val="18"/>
          <w:szCs w:val="20"/>
        </w:rPr>
      </w:pPr>
      <w:r w:rsidRPr="009815F1">
        <w:rPr>
          <w:rFonts w:ascii="Segoe UI" w:hAnsi="Segoe UI" w:cs="Segoe UI"/>
          <w:i/>
          <w:color w:val="0D0D0D" w:themeColor="text1" w:themeTint="F2"/>
          <w:sz w:val="18"/>
          <w:szCs w:val="20"/>
        </w:rPr>
        <w:t xml:space="preserve">Με το βλέμμα στραμμένο στο μέλλον, </w:t>
      </w:r>
      <w:r w:rsidR="002F4CA4" w:rsidRPr="002F4CA4">
        <w:rPr>
          <w:rFonts w:ascii="Segoe UI" w:hAnsi="Segoe UI" w:cs="Segoe UI"/>
          <w:i/>
          <w:color w:val="0D0D0D" w:themeColor="text1" w:themeTint="F2"/>
          <w:sz w:val="18"/>
          <w:szCs w:val="20"/>
        </w:rPr>
        <w:t xml:space="preserve">τα κονδύλια από τον ευρωπαϊκό μηχανισμό ανάκαμψης και ανθεκτικότητας (RRF) </w:t>
      </w:r>
      <w:r w:rsidR="002F4CA4">
        <w:rPr>
          <w:rFonts w:ascii="Segoe UI" w:hAnsi="Segoe UI" w:cs="Segoe UI"/>
          <w:i/>
          <w:color w:val="0D0D0D" w:themeColor="text1" w:themeTint="F2"/>
          <w:sz w:val="18"/>
          <w:szCs w:val="20"/>
        </w:rPr>
        <w:t xml:space="preserve">σε συνδυασμό με τις περαιτέρω </w:t>
      </w:r>
      <w:r w:rsidR="002F4CA4" w:rsidRPr="002F4CA4">
        <w:rPr>
          <w:rFonts w:ascii="Segoe UI" w:hAnsi="Segoe UI" w:cs="Segoe UI"/>
          <w:i/>
          <w:color w:val="0D0D0D" w:themeColor="text1" w:themeTint="F2"/>
          <w:sz w:val="18"/>
          <w:szCs w:val="20"/>
        </w:rPr>
        <w:t xml:space="preserve">διαρθρωτικές μεταρρυθμίσεις </w:t>
      </w:r>
      <w:r w:rsidR="00161F9D" w:rsidRPr="002F4CA4">
        <w:rPr>
          <w:rFonts w:ascii="Segoe UI" w:hAnsi="Segoe UI" w:cs="Segoe UI"/>
          <w:i/>
          <w:color w:val="0D0D0D" w:themeColor="text1" w:themeTint="F2"/>
          <w:sz w:val="18"/>
          <w:szCs w:val="20"/>
        </w:rPr>
        <w:t xml:space="preserve">στη χώρα </w:t>
      </w:r>
      <w:r w:rsidR="00D15388" w:rsidRPr="00D15388">
        <w:rPr>
          <w:rFonts w:ascii="Segoe UI" w:hAnsi="Segoe UI" w:cs="Segoe UI"/>
          <w:i/>
          <w:color w:val="0D0D0D" w:themeColor="text1" w:themeTint="F2"/>
          <w:sz w:val="18"/>
          <w:szCs w:val="20"/>
        </w:rPr>
        <w:t xml:space="preserve">αναμένεται </w:t>
      </w:r>
      <w:r w:rsidR="00D15388">
        <w:rPr>
          <w:rFonts w:ascii="Segoe UI" w:hAnsi="Segoe UI" w:cs="Segoe UI"/>
          <w:i/>
          <w:color w:val="0D0D0D" w:themeColor="text1" w:themeTint="F2"/>
          <w:sz w:val="18"/>
          <w:szCs w:val="20"/>
        </w:rPr>
        <w:t xml:space="preserve">να </w:t>
      </w:r>
      <w:r w:rsidR="002F4CA4">
        <w:rPr>
          <w:rFonts w:ascii="Segoe UI" w:hAnsi="Segoe UI" w:cs="Segoe UI"/>
          <w:i/>
          <w:color w:val="0D0D0D" w:themeColor="text1" w:themeTint="F2"/>
          <w:sz w:val="18"/>
          <w:szCs w:val="20"/>
        </w:rPr>
        <w:t>οδηγήσουν σ</w:t>
      </w:r>
      <w:r w:rsidR="00F70D6A">
        <w:rPr>
          <w:rFonts w:ascii="Segoe UI" w:hAnsi="Segoe UI" w:cs="Segoe UI"/>
          <w:i/>
          <w:color w:val="0D0D0D" w:themeColor="text1" w:themeTint="F2"/>
          <w:sz w:val="18"/>
          <w:szCs w:val="20"/>
        </w:rPr>
        <w:t xml:space="preserve">ε εκτόξευση </w:t>
      </w:r>
      <w:r w:rsidR="00AC4278">
        <w:rPr>
          <w:rFonts w:ascii="Segoe UI" w:hAnsi="Segoe UI" w:cs="Segoe UI"/>
          <w:i/>
          <w:color w:val="0D0D0D" w:themeColor="text1" w:themeTint="F2"/>
          <w:sz w:val="18"/>
          <w:szCs w:val="20"/>
        </w:rPr>
        <w:t xml:space="preserve">των </w:t>
      </w:r>
      <w:r w:rsidR="002F4CA4">
        <w:rPr>
          <w:rFonts w:ascii="Segoe UI" w:hAnsi="Segoe UI" w:cs="Segoe UI"/>
          <w:i/>
          <w:color w:val="0D0D0D" w:themeColor="text1" w:themeTint="F2"/>
          <w:sz w:val="18"/>
          <w:szCs w:val="20"/>
        </w:rPr>
        <w:t xml:space="preserve">επενδύσεων. </w:t>
      </w:r>
      <w:r w:rsidR="00AC4278" w:rsidRPr="00AC4278">
        <w:rPr>
          <w:rFonts w:ascii="Segoe UI" w:hAnsi="Segoe UI" w:cs="Segoe UI"/>
          <w:i/>
          <w:color w:val="0D0D0D" w:themeColor="text1" w:themeTint="F2"/>
          <w:sz w:val="18"/>
          <w:szCs w:val="20"/>
        </w:rPr>
        <w:t xml:space="preserve">Αξιοποιώντας </w:t>
      </w:r>
      <w:r w:rsidR="00AC4278">
        <w:rPr>
          <w:rFonts w:ascii="Segoe UI" w:hAnsi="Segoe UI" w:cs="Segoe UI"/>
          <w:i/>
          <w:color w:val="0D0D0D" w:themeColor="text1" w:themeTint="F2"/>
          <w:sz w:val="18"/>
          <w:szCs w:val="20"/>
        </w:rPr>
        <w:t xml:space="preserve">το </w:t>
      </w:r>
      <w:r w:rsidR="00AC4278" w:rsidRPr="00AC4278">
        <w:rPr>
          <w:rFonts w:ascii="Segoe UI" w:hAnsi="Segoe UI" w:cs="Segoe UI"/>
          <w:i/>
          <w:color w:val="0D0D0D" w:themeColor="text1" w:themeTint="F2"/>
          <w:sz w:val="18"/>
          <w:szCs w:val="20"/>
        </w:rPr>
        <w:t>βελτιωμέν</w:t>
      </w:r>
      <w:r w:rsidR="00AC4278">
        <w:rPr>
          <w:rFonts w:ascii="Segoe UI" w:hAnsi="Segoe UI" w:cs="Segoe UI"/>
          <w:i/>
          <w:color w:val="0D0D0D" w:themeColor="text1" w:themeTint="F2"/>
          <w:sz w:val="18"/>
          <w:szCs w:val="20"/>
        </w:rPr>
        <w:t>ο</w:t>
      </w:r>
      <w:r w:rsidR="00AC4278" w:rsidRPr="00AC4278">
        <w:rPr>
          <w:rFonts w:ascii="Segoe UI" w:hAnsi="Segoe UI" w:cs="Segoe UI"/>
          <w:i/>
          <w:color w:val="0D0D0D" w:themeColor="text1" w:themeTint="F2"/>
          <w:sz w:val="18"/>
          <w:szCs w:val="20"/>
        </w:rPr>
        <w:t xml:space="preserve"> </w:t>
      </w:r>
      <w:r w:rsidR="00F70D6A">
        <w:rPr>
          <w:rFonts w:ascii="Segoe UI" w:hAnsi="Segoe UI" w:cs="Segoe UI"/>
          <w:i/>
          <w:color w:val="0D0D0D" w:themeColor="text1" w:themeTint="F2"/>
          <w:sz w:val="18"/>
          <w:szCs w:val="20"/>
        </w:rPr>
        <w:t xml:space="preserve">λειτουργικό </w:t>
      </w:r>
      <w:r w:rsidR="00AC4278" w:rsidRPr="00AC4278">
        <w:rPr>
          <w:rFonts w:ascii="Segoe UI" w:hAnsi="Segoe UI" w:cs="Segoe UI"/>
          <w:i/>
          <w:color w:val="0D0D0D" w:themeColor="text1" w:themeTint="F2"/>
          <w:sz w:val="18"/>
          <w:szCs w:val="20"/>
        </w:rPr>
        <w:t xml:space="preserve">μοντέλο </w:t>
      </w:r>
      <w:r w:rsidR="00AC4278">
        <w:rPr>
          <w:rFonts w:ascii="Segoe UI" w:hAnsi="Segoe UI" w:cs="Segoe UI"/>
          <w:i/>
          <w:color w:val="0D0D0D" w:themeColor="text1" w:themeTint="F2"/>
          <w:sz w:val="18"/>
          <w:szCs w:val="20"/>
        </w:rPr>
        <w:t xml:space="preserve">της ΕΤΕ, όπως αναδείχτηκε </w:t>
      </w:r>
      <w:r w:rsidR="00AC4278" w:rsidRPr="00AC4278">
        <w:rPr>
          <w:rFonts w:ascii="Segoe UI" w:hAnsi="Segoe UI" w:cs="Segoe UI"/>
          <w:i/>
          <w:color w:val="0D0D0D" w:themeColor="text1" w:themeTint="F2"/>
          <w:sz w:val="18"/>
          <w:szCs w:val="20"/>
        </w:rPr>
        <w:t>από το επιτυχημένο Πρόγραμμα Μετασχηματισμού</w:t>
      </w:r>
      <w:r w:rsidR="009149C1">
        <w:rPr>
          <w:rFonts w:ascii="Segoe UI" w:hAnsi="Segoe UI" w:cs="Segoe UI"/>
          <w:i/>
          <w:color w:val="0D0D0D" w:themeColor="text1" w:themeTint="F2"/>
          <w:sz w:val="18"/>
          <w:szCs w:val="20"/>
        </w:rPr>
        <w:t xml:space="preserve"> που</w:t>
      </w:r>
      <w:r w:rsidR="00AC4278" w:rsidRPr="00AC4278">
        <w:rPr>
          <w:rFonts w:ascii="Segoe UI" w:hAnsi="Segoe UI" w:cs="Segoe UI"/>
          <w:i/>
          <w:color w:val="0D0D0D" w:themeColor="text1" w:themeTint="F2"/>
          <w:sz w:val="18"/>
          <w:szCs w:val="20"/>
        </w:rPr>
        <w:t xml:space="preserve"> μόλις ολοκλήρωσε τον τρίτο </w:t>
      </w:r>
      <w:r w:rsidR="00A14511">
        <w:rPr>
          <w:rFonts w:ascii="Segoe UI" w:hAnsi="Segoe UI" w:cs="Segoe UI"/>
          <w:i/>
          <w:color w:val="0D0D0D" w:themeColor="text1" w:themeTint="F2"/>
          <w:sz w:val="18"/>
          <w:szCs w:val="20"/>
        </w:rPr>
        <w:t>έτος</w:t>
      </w:r>
      <w:r w:rsidR="00AC4278" w:rsidRPr="00AC4278">
        <w:rPr>
          <w:rFonts w:ascii="Segoe UI" w:hAnsi="Segoe UI" w:cs="Segoe UI"/>
          <w:i/>
          <w:color w:val="0D0D0D" w:themeColor="text1" w:themeTint="F2"/>
          <w:sz w:val="18"/>
          <w:szCs w:val="20"/>
        </w:rPr>
        <w:t xml:space="preserve"> του, η Εθνική Τράπεζα βρίσκεται σε </w:t>
      </w:r>
      <w:r w:rsidR="00AC4278">
        <w:rPr>
          <w:rFonts w:ascii="Segoe UI" w:hAnsi="Segoe UI" w:cs="Segoe UI"/>
          <w:i/>
          <w:color w:val="0D0D0D" w:themeColor="text1" w:themeTint="F2"/>
          <w:sz w:val="18"/>
          <w:szCs w:val="20"/>
        </w:rPr>
        <w:t xml:space="preserve">προνομιακή </w:t>
      </w:r>
      <w:r w:rsidR="00AC4278" w:rsidRPr="00AC4278">
        <w:rPr>
          <w:rFonts w:ascii="Segoe UI" w:hAnsi="Segoe UI" w:cs="Segoe UI"/>
          <w:i/>
          <w:color w:val="0D0D0D" w:themeColor="text1" w:themeTint="F2"/>
          <w:sz w:val="18"/>
          <w:szCs w:val="20"/>
        </w:rPr>
        <w:t xml:space="preserve">θέση για να στηρίξει τους πελάτες </w:t>
      </w:r>
      <w:r w:rsidR="00AC4278">
        <w:rPr>
          <w:rFonts w:ascii="Segoe UI" w:hAnsi="Segoe UI" w:cs="Segoe UI"/>
          <w:i/>
          <w:color w:val="0D0D0D" w:themeColor="text1" w:themeTint="F2"/>
          <w:sz w:val="18"/>
          <w:szCs w:val="20"/>
        </w:rPr>
        <w:t>της</w:t>
      </w:r>
      <w:r w:rsidR="00AC4278" w:rsidRPr="00AC4278">
        <w:rPr>
          <w:rFonts w:ascii="Segoe UI" w:hAnsi="Segoe UI" w:cs="Segoe UI"/>
          <w:i/>
          <w:color w:val="0D0D0D" w:themeColor="text1" w:themeTint="F2"/>
          <w:sz w:val="18"/>
          <w:szCs w:val="20"/>
        </w:rPr>
        <w:t xml:space="preserve"> σε </w:t>
      </w:r>
      <w:r w:rsidR="00CA415F">
        <w:rPr>
          <w:rFonts w:ascii="Segoe UI" w:hAnsi="Segoe UI" w:cs="Segoe UI"/>
          <w:i/>
          <w:color w:val="0D0D0D" w:themeColor="text1" w:themeTint="F2"/>
          <w:sz w:val="18"/>
          <w:szCs w:val="20"/>
        </w:rPr>
        <w:t>ένα</w:t>
      </w:r>
      <w:r w:rsidR="00AC4278" w:rsidRPr="00AC4278">
        <w:rPr>
          <w:rFonts w:ascii="Segoe UI" w:hAnsi="Segoe UI" w:cs="Segoe UI"/>
          <w:i/>
          <w:color w:val="0D0D0D" w:themeColor="text1" w:themeTint="F2"/>
          <w:sz w:val="18"/>
          <w:szCs w:val="20"/>
        </w:rPr>
        <w:t xml:space="preserve"> περιβάλλον υψηλής και βιώσιμης ανάπτυξης, επιτυγχάνοντας έτσι τον στόχο να </w:t>
      </w:r>
      <w:r w:rsidR="00D430C3" w:rsidRPr="00D430C3">
        <w:rPr>
          <w:rFonts w:ascii="Segoe UI" w:hAnsi="Segoe UI" w:cs="Segoe UI"/>
          <w:i/>
          <w:color w:val="0D0D0D" w:themeColor="text1" w:themeTint="F2"/>
          <w:sz w:val="18"/>
          <w:szCs w:val="20"/>
        </w:rPr>
        <w:t xml:space="preserve">αναδειχθεί σε </w:t>
      </w:r>
      <w:r w:rsidR="00AC4278" w:rsidRPr="00AC4278">
        <w:rPr>
          <w:rFonts w:ascii="Segoe UI" w:hAnsi="Segoe UI" w:cs="Segoe UI"/>
          <w:i/>
          <w:color w:val="0D0D0D" w:themeColor="text1" w:themeTint="F2"/>
          <w:sz w:val="18"/>
          <w:szCs w:val="20"/>
        </w:rPr>
        <w:t>Τράπεζα πρώτης επιλογής</w:t>
      </w:r>
      <w:r w:rsidR="00AC4278">
        <w:rPr>
          <w:rFonts w:ascii="Segoe UI" w:hAnsi="Segoe UI" w:cs="Segoe UI"/>
          <w:i/>
          <w:color w:val="0D0D0D" w:themeColor="text1" w:themeTint="F2"/>
          <w:sz w:val="18"/>
          <w:szCs w:val="20"/>
        </w:rPr>
        <w:t xml:space="preserve"> </w:t>
      </w:r>
      <w:r w:rsidR="00AC4278" w:rsidRPr="00AC4278">
        <w:rPr>
          <w:rFonts w:ascii="Segoe UI" w:hAnsi="Segoe UI" w:cs="Segoe UI"/>
          <w:i/>
          <w:color w:val="0D0D0D" w:themeColor="text1" w:themeTint="F2"/>
          <w:sz w:val="18"/>
          <w:szCs w:val="20"/>
        </w:rPr>
        <w:t xml:space="preserve">στην Ελλάδα. </w:t>
      </w:r>
      <w:r w:rsidR="00735485" w:rsidRPr="00735485">
        <w:rPr>
          <w:rFonts w:ascii="Segoe UI" w:hAnsi="Segoe UI" w:cs="Segoe UI"/>
          <w:i/>
          <w:color w:val="0D0D0D" w:themeColor="text1" w:themeTint="F2"/>
          <w:sz w:val="18"/>
          <w:szCs w:val="20"/>
        </w:rPr>
        <w:t>Ενόψει αυτών των θετικών προοπτικών</w:t>
      </w:r>
      <w:r w:rsidR="00AC4278" w:rsidRPr="00AC4278">
        <w:rPr>
          <w:rFonts w:ascii="Segoe UI" w:hAnsi="Segoe UI" w:cs="Segoe UI"/>
          <w:i/>
          <w:color w:val="0D0D0D" w:themeColor="text1" w:themeTint="F2"/>
          <w:sz w:val="18"/>
          <w:szCs w:val="20"/>
        </w:rPr>
        <w:t xml:space="preserve">, παραμένουμε </w:t>
      </w:r>
      <w:r w:rsidR="00AC4278">
        <w:rPr>
          <w:rFonts w:ascii="Segoe UI" w:hAnsi="Segoe UI" w:cs="Segoe UI"/>
          <w:i/>
          <w:color w:val="0D0D0D" w:themeColor="text1" w:themeTint="F2"/>
          <w:sz w:val="18"/>
          <w:szCs w:val="20"/>
        </w:rPr>
        <w:t>προσηλωμένοι</w:t>
      </w:r>
      <w:r w:rsidR="00AC4278" w:rsidRPr="00AC4278">
        <w:rPr>
          <w:rFonts w:ascii="Segoe UI" w:hAnsi="Segoe UI" w:cs="Segoe UI"/>
          <w:i/>
          <w:color w:val="0D0D0D" w:themeColor="text1" w:themeTint="F2"/>
          <w:sz w:val="18"/>
          <w:szCs w:val="20"/>
        </w:rPr>
        <w:t xml:space="preserve"> στην επίτευξη των φιλόδοξων στόχων μας για </w:t>
      </w:r>
      <w:r w:rsidR="00CA415F">
        <w:rPr>
          <w:rFonts w:ascii="Segoe UI" w:hAnsi="Segoe UI" w:cs="Segoe UI"/>
          <w:i/>
          <w:color w:val="0D0D0D" w:themeColor="text1" w:themeTint="F2"/>
          <w:sz w:val="18"/>
          <w:szCs w:val="20"/>
        </w:rPr>
        <w:t xml:space="preserve">υψηλή </w:t>
      </w:r>
      <w:r w:rsidR="00AC4278" w:rsidRPr="00AC4278">
        <w:rPr>
          <w:rFonts w:ascii="Segoe UI" w:hAnsi="Segoe UI" w:cs="Segoe UI"/>
          <w:i/>
          <w:color w:val="0D0D0D" w:themeColor="text1" w:themeTint="F2"/>
          <w:sz w:val="18"/>
          <w:szCs w:val="20"/>
        </w:rPr>
        <w:t xml:space="preserve">κερδοφορία, μείωση </w:t>
      </w:r>
      <w:r w:rsidR="00AC4278">
        <w:rPr>
          <w:rFonts w:ascii="Segoe UI" w:hAnsi="Segoe UI" w:cs="Segoe UI"/>
          <w:i/>
          <w:color w:val="0D0D0D" w:themeColor="text1" w:themeTint="F2"/>
          <w:sz w:val="18"/>
          <w:szCs w:val="20"/>
        </w:rPr>
        <w:t>Μη Εξυπηρετούμενων Ανοιγμάτων</w:t>
      </w:r>
      <w:r w:rsidR="00AC4278" w:rsidRPr="00AC4278">
        <w:rPr>
          <w:rFonts w:ascii="Segoe UI" w:hAnsi="Segoe UI" w:cs="Segoe UI"/>
          <w:i/>
          <w:color w:val="0D0D0D" w:themeColor="text1" w:themeTint="F2"/>
          <w:sz w:val="18"/>
          <w:szCs w:val="20"/>
        </w:rPr>
        <w:t xml:space="preserve"> και </w:t>
      </w:r>
      <w:r w:rsidR="00AC4278">
        <w:rPr>
          <w:rFonts w:ascii="Segoe UI" w:hAnsi="Segoe UI" w:cs="Segoe UI"/>
          <w:i/>
          <w:color w:val="0D0D0D" w:themeColor="text1" w:themeTint="F2"/>
          <w:sz w:val="18"/>
          <w:szCs w:val="20"/>
        </w:rPr>
        <w:t xml:space="preserve">κεφαλαιακή </w:t>
      </w:r>
      <w:r w:rsidR="00AC4278" w:rsidRPr="00AC4278">
        <w:rPr>
          <w:rFonts w:ascii="Segoe UI" w:hAnsi="Segoe UI" w:cs="Segoe UI"/>
          <w:i/>
          <w:color w:val="0D0D0D" w:themeColor="text1" w:themeTint="F2"/>
          <w:sz w:val="18"/>
          <w:szCs w:val="20"/>
        </w:rPr>
        <w:t>επάρκεια, παρέχοντας προστιθέμενη αξία στους πελάτες και τους μετόχους μας.</w:t>
      </w:r>
    </w:p>
    <w:p w:rsidR="002F4CA4" w:rsidRDefault="002F4CA4" w:rsidP="00505CD8">
      <w:pPr>
        <w:tabs>
          <w:tab w:val="left" w:pos="5103"/>
        </w:tabs>
        <w:jc w:val="both"/>
        <w:rPr>
          <w:rFonts w:ascii="Segoe UI" w:hAnsi="Segoe UI" w:cs="Segoe UI"/>
          <w:i/>
          <w:color w:val="0D0D0D" w:themeColor="text1" w:themeTint="F2"/>
          <w:sz w:val="18"/>
          <w:szCs w:val="20"/>
        </w:rPr>
      </w:pPr>
    </w:p>
    <w:p w:rsidR="006E7557" w:rsidRPr="00F045E4" w:rsidRDefault="006E7557" w:rsidP="00B269C6">
      <w:pPr>
        <w:jc w:val="right"/>
        <w:rPr>
          <w:rFonts w:ascii="Segoe UI" w:hAnsi="Segoe UI" w:cs="Segoe UI"/>
          <w:i/>
          <w:sz w:val="18"/>
          <w:lang w:eastAsia="en-GB"/>
        </w:rPr>
      </w:pPr>
    </w:p>
    <w:p w:rsidR="004C28F4" w:rsidRDefault="004C28F4" w:rsidP="00B269C6">
      <w:pPr>
        <w:jc w:val="right"/>
        <w:rPr>
          <w:rFonts w:ascii="Segoe UI" w:hAnsi="Segoe UI" w:cs="Segoe UI"/>
          <w:i/>
          <w:sz w:val="18"/>
          <w:lang w:eastAsia="en-GB"/>
        </w:rPr>
      </w:pPr>
    </w:p>
    <w:p w:rsidR="00B269C6" w:rsidRPr="00C648A5" w:rsidRDefault="00B269C6" w:rsidP="00B269C6">
      <w:pPr>
        <w:jc w:val="right"/>
        <w:rPr>
          <w:rFonts w:ascii="Segoe UI" w:hAnsi="Segoe UI" w:cs="Segoe UI"/>
          <w:i/>
          <w:sz w:val="18"/>
          <w:lang w:eastAsia="en-GB"/>
        </w:rPr>
      </w:pPr>
      <w:r w:rsidRPr="00C648A5">
        <w:rPr>
          <w:rFonts w:ascii="Segoe UI" w:hAnsi="Segoe UI" w:cs="Segoe UI"/>
          <w:i/>
          <w:sz w:val="18"/>
          <w:lang w:eastAsia="en-GB"/>
        </w:rPr>
        <w:t xml:space="preserve">Αθήνα, </w:t>
      </w:r>
      <w:r w:rsidR="00FC489E" w:rsidRPr="00FC489E">
        <w:rPr>
          <w:rFonts w:ascii="Segoe UI" w:hAnsi="Segoe UI" w:cs="Segoe UI"/>
          <w:i/>
          <w:sz w:val="18"/>
          <w:lang w:eastAsia="en-GB"/>
        </w:rPr>
        <w:t xml:space="preserve">5 Αυγούστου </w:t>
      </w:r>
      <w:r w:rsidRPr="00C648A5">
        <w:rPr>
          <w:rFonts w:ascii="Segoe UI" w:hAnsi="Segoe UI" w:cs="Segoe UI"/>
          <w:i/>
          <w:sz w:val="18"/>
          <w:lang w:eastAsia="en-GB"/>
        </w:rPr>
        <w:t>202</w:t>
      </w:r>
      <w:r w:rsidR="008B5861">
        <w:rPr>
          <w:rFonts w:ascii="Segoe UI" w:hAnsi="Segoe UI" w:cs="Segoe UI"/>
          <w:i/>
          <w:sz w:val="18"/>
          <w:lang w:eastAsia="en-GB"/>
        </w:rPr>
        <w:t>1</w:t>
      </w:r>
    </w:p>
    <w:p w:rsidR="00B269C6" w:rsidRPr="00C648A5" w:rsidRDefault="00D76721" w:rsidP="00D76721">
      <w:pPr>
        <w:tabs>
          <w:tab w:val="left" w:pos="6106"/>
          <w:tab w:val="right" w:pos="10198"/>
        </w:tabs>
        <w:rPr>
          <w:rFonts w:ascii="Segoe UI" w:hAnsi="Segoe UI" w:cs="Segoe UI"/>
          <w:i/>
          <w:sz w:val="18"/>
          <w:lang w:eastAsia="en-GB"/>
        </w:rPr>
      </w:pPr>
      <w:r>
        <w:rPr>
          <w:rFonts w:ascii="Segoe UI" w:hAnsi="Segoe UI" w:cs="Segoe UI"/>
          <w:i/>
          <w:sz w:val="18"/>
          <w:lang w:eastAsia="en-GB"/>
        </w:rPr>
        <w:tab/>
      </w:r>
      <w:r>
        <w:rPr>
          <w:rFonts w:ascii="Segoe UI" w:hAnsi="Segoe UI" w:cs="Segoe UI"/>
          <w:i/>
          <w:sz w:val="18"/>
          <w:lang w:eastAsia="en-GB"/>
        </w:rPr>
        <w:tab/>
      </w:r>
      <w:r w:rsidR="00B269C6" w:rsidRPr="00C648A5">
        <w:rPr>
          <w:rFonts w:ascii="Segoe UI" w:hAnsi="Segoe UI" w:cs="Segoe UI"/>
          <w:i/>
          <w:sz w:val="18"/>
          <w:lang w:eastAsia="en-GB"/>
        </w:rPr>
        <w:t>Παύλος Μυλωνάς</w:t>
      </w:r>
    </w:p>
    <w:p w:rsidR="00E55AED" w:rsidRPr="00E95FD5" w:rsidRDefault="00B269C6" w:rsidP="00AD7D01">
      <w:pPr>
        <w:jc w:val="right"/>
        <w:rPr>
          <w:rFonts w:ascii="Segoe UI" w:hAnsi="Segoe UI" w:cs="Segoe UI"/>
          <w:b/>
          <w:sz w:val="16"/>
        </w:rPr>
      </w:pPr>
      <w:r w:rsidRPr="00C648A5">
        <w:rPr>
          <w:rFonts w:ascii="Segoe UI" w:hAnsi="Segoe UI" w:cs="Segoe UI"/>
          <w:i/>
          <w:sz w:val="18"/>
          <w:lang w:eastAsia="en-GB"/>
        </w:rPr>
        <w:t>Διευθύνων Σύμβουλος ΕΤΕ</w:t>
      </w:r>
      <w:r w:rsidR="00E55AED" w:rsidRPr="00E95FD5">
        <w:rPr>
          <w:rFonts w:ascii="Segoe UI" w:hAnsi="Segoe UI" w:cs="Segoe UI"/>
          <w:b/>
          <w:sz w:val="16"/>
        </w:rPr>
        <w:br w:type="page"/>
      </w:r>
    </w:p>
    <w:p w:rsidR="00931D2C" w:rsidRPr="00EE40A0" w:rsidRDefault="009F7797" w:rsidP="00931D2C">
      <w:pPr>
        <w:pStyle w:val="TITLEINBODY"/>
        <w:rPr>
          <w:rFonts w:ascii="Segoe UI" w:hAnsi="Segoe UI" w:cs="Segoe UI"/>
        </w:rPr>
      </w:pPr>
      <w:r>
        <w:rPr>
          <w:rFonts w:ascii="Segoe UI" w:hAnsi="Segoe UI" w:cs="Segoe UI"/>
          <w:noProof/>
          <w:lang w:val="el-GR" w:eastAsia="el-GR"/>
        </w:rPr>
        <w:lastRenderedPageBreak/>
        <mc:AlternateContent>
          <mc:Choice Requires="wps">
            <w:drawing>
              <wp:anchor distT="0" distB="0" distL="114300" distR="114300" simplePos="0" relativeHeight="251653632" behindDoc="0" locked="0" layoutInCell="1" allowOverlap="1" wp14:anchorId="6F0D0EB0" wp14:editId="62F9674D">
                <wp:simplePos x="0" y="0"/>
                <wp:positionH relativeFrom="column">
                  <wp:posOffset>-48577</wp:posOffset>
                </wp:positionH>
                <wp:positionV relativeFrom="paragraph">
                  <wp:posOffset>327025</wp:posOffset>
                </wp:positionV>
                <wp:extent cx="2981960" cy="311150"/>
                <wp:effectExtent l="0" t="0" r="8890" b="0"/>
                <wp:wrapNone/>
                <wp:docPr id="23" name="Text Placeholder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981960" cy="3111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337" w:rsidRPr="00053193" w:rsidRDefault="00DA0337" w:rsidP="00E55AED">
                            <w:pPr>
                              <w:kinsoku w:val="0"/>
                              <w:overflowPunct w:val="0"/>
                              <w:spacing w:before="40"/>
                              <w:ind w:left="547" w:hanging="547"/>
                              <w:textAlignment w:val="baseline"/>
                              <w:rPr>
                                <w:b/>
                                <w:color w:val="008080"/>
                                <w:sz w:val="16"/>
                              </w:rPr>
                            </w:pPr>
                            <w:r>
                              <w:rPr>
                                <w:rFonts w:ascii="Segoe UI" w:eastAsia="Segoe UI" w:hAnsi="Segoe UI" w:cs="Segoe UI"/>
                                <w:b/>
                                <w:color w:val="008080"/>
                                <w:kern w:val="24"/>
                                <w:sz w:val="20"/>
                              </w:rPr>
                              <w:t>Κατάσταση</w:t>
                            </w:r>
                            <w:r w:rsidRPr="004810B7">
                              <w:rPr>
                                <w:rFonts w:ascii="Segoe UI" w:eastAsia="Segoe UI" w:hAnsi="Segoe UI" w:cs="Segoe UI"/>
                                <w:b/>
                                <w:color w:val="008080"/>
                                <w:kern w:val="24"/>
                                <w:sz w:val="20"/>
                                <w:lang w:val="en-US"/>
                              </w:rPr>
                              <w:t xml:space="preserve"> </w:t>
                            </w:r>
                            <w:r>
                              <w:rPr>
                                <w:rFonts w:ascii="Segoe UI" w:eastAsia="Segoe UI" w:hAnsi="Segoe UI" w:cs="Segoe UI"/>
                                <w:b/>
                                <w:color w:val="008080"/>
                                <w:kern w:val="24"/>
                                <w:sz w:val="20"/>
                              </w:rPr>
                              <w:t>Αποτελεσμάτων</w:t>
                            </w:r>
                            <w:r w:rsidRPr="004810B7">
                              <w:rPr>
                                <w:rFonts w:ascii="Segoe UI" w:eastAsia="Segoe UI" w:hAnsi="Segoe UI" w:cs="Segoe UI"/>
                                <w:b/>
                                <w:color w:val="008080"/>
                                <w:kern w:val="24"/>
                                <w:sz w:val="20"/>
                                <w:lang w:val="en-US"/>
                              </w:rPr>
                              <w:t xml:space="preserve"> | </w:t>
                            </w:r>
                            <w:r>
                              <w:rPr>
                                <w:rFonts w:ascii="Segoe UI" w:eastAsia="Segoe UI" w:hAnsi="Segoe UI" w:cs="Segoe UI"/>
                                <w:b/>
                                <w:color w:val="008080"/>
                                <w:kern w:val="24"/>
                                <w:sz w:val="20"/>
                              </w:rPr>
                              <w:t>Όμιλος</w:t>
                            </w:r>
                          </w:p>
                        </w:txbxContent>
                      </wps:txbx>
                      <wps:bodyPr rot="0" vert="horz" wrap="square" lIns="45716" tIns="45716" rIns="45716" bIns="45716"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F0D0EB0" id="Text Placeholder 1" o:spid="_x0000_s1031" style="position:absolute;margin-left:-3.8pt;margin-top:25.75pt;width:234.8pt;height:2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" filled="f" stroked="f">
                <v:path arrowok="t"/>
                <o:lock v:ext="edit" grouping="t"/>
                <v:textbox inset="1.2699mm,1.2699mm,1.2699mm,1.2699mm">
                  <w:txbxContent>
                    <w:p w:rsidR="00DA0337" w:rsidRPr="00053193" w:rsidRDefault="00DA0337" w:rsidP="00E55AED">
                      <w:pPr>
                        <w:kinsoku w:val="0"/>
                        <w:overflowPunct w:val="0"/>
                        <w:spacing w:before="40"/>
                        <w:ind w:left="547" w:hanging="547"/>
                        <w:textAlignment w:val="baseline"/>
                        <w:rPr>
                          <w:b/>
                          <w:color w:val="008080"/>
                          <w:sz w:val="16"/>
                        </w:rPr>
                      </w:pPr>
                      <w:r>
                        <w:rPr>
                          <w:rFonts w:ascii="Segoe UI" w:eastAsia="Segoe UI" w:hAnsi="Segoe UI" w:cs="Segoe UI"/>
                          <w:b/>
                          <w:color w:val="008080"/>
                          <w:kern w:val="24"/>
                          <w:sz w:val="20"/>
                        </w:rPr>
                        <w:t>Κατάσταση</w:t>
                      </w:r>
                      <w:r w:rsidRPr="004810B7">
                        <w:rPr>
                          <w:rFonts w:ascii="Segoe UI" w:eastAsia="Segoe UI" w:hAnsi="Segoe UI" w:cs="Segoe UI"/>
                          <w:b/>
                          <w:color w:val="008080"/>
                          <w:kern w:val="24"/>
                          <w:sz w:val="20"/>
                          <w:lang w:val="en-US"/>
                        </w:rPr>
                        <w:t xml:space="preserve"> </w:t>
                      </w:r>
                      <w:r>
                        <w:rPr>
                          <w:rFonts w:ascii="Segoe UI" w:eastAsia="Segoe UI" w:hAnsi="Segoe UI" w:cs="Segoe UI"/>
                          <w:b/>
                          <w:color w:val="008080"/>
                          <w:kern w:val="24"/>
                          <w:sz w:val="20"/>
                        </w:rPr>
                        <w:t>Αποτελεσμάτων</w:t>
                      </w:r>
                      <w:r w:rsidRPr="004810B7">
                        <w:rPr>
                          <w:rFonts w:ascii="Segoe UI" w:eastAsia="Segoe UI" w:hAnsi="Segoe UI" w:cs="Segoe UI"/>
                          <w:b/>
                          <w:color w:val="008080"/>
                          <w:kern w:val="24"/>
                          <w:sz w:val="20"/>
                          <w:lang w:val="en-US"/>
                        </w:rPr>
                        <w:t xml:space="preserve"> | </w:t>
                      </w:r>
                      <w:r>
                        <w:rPr>
                          <w:rFonts w:ascii="Segoe UI" w:eastAsia="Segoe UI" w:hAnsi="Segoe UI" w:cs="Segoe UI"/>
                          <w:b/>
                          <w:color w:val="008080"/>
                          <w:kern w:val="24"/>
                          <w:sz w:val="20"/>
                        </w:rPr>
                        <w:t>Όμιλος</w:t>
                      </w:r>
                    </w:p>
                  </w:txbxContent>
                </v:textbox>
              </v:rect>
            </w:pict>
          </mc:Fallback>
        </mc:AlternateContent>
      </w:r>
      <w:r w:rsidR="00FC133B">
        <w:rPr>
          <w:rFonts w:ascii="Segoe UI" w:hAnsi="Segoe UI" w:cs="Segoe UI"/>
          <w:noProof/>
          <w:lang w:val="el-GR" w:eastAsia="el-GR"/>
        </w:rPr>
        <w:t xml:space="preserve">Κύρια Χρηματοοικονομικά Μεγέθη </w:t>
      </w:r>
    </w:p>
    <w:p w:rsidR="00E55AED" w:rsidRPr="00EE40A0" w:rsidRDefault="00503C59" w:rsidP="00E55AED">
      <w:pPr>
        <w:spacing w:after="160"/>
        <w:jc w:val="both"/>
        <w:rPr>
          <w:rFonts w:ascii="Segoe UI" w:hAnsi="Segoe UI" w:cs="Segoe UI"/>
          <w:b/>
          <w:sz w:val="20"/>
          <w:szCs w:val="20"/>
        </w:rPr>
      </w:pPr>
      <w:r>
        <w:rPr>
          <w:rFonts w:ascii="Segoe UI" w:hAnsi="Segoe UI" w:cs="Segoe UI"/>
          <w:noProof/>
          <w:sz w:val="14"/>
          <w:szCs w:val="14"/>
          <w:lang w:eastAsia="el-GR"/>
        </w:rPr>
        <mc:AlternateContent>
          <mc:Choice Requires="wps">
            <w:drawing>
              <wp:anchor distT="0" distB="0" distL="114300" distR="114300" simplePos="0" relativeHeight="251652608" behindDoc="0" locked="0" layoutInCell="1" allowOverlap="1" wp14:anchorId="18B2106D" wp14:editId="022CE345">
                <wp:simplePos x="0" y="0"/>
                <wp:positionH relativeFrom="column">
                  <wp:posOffset>2706475</wp:posOffset>
                </wp:positionH>
                <wp:positionV relativeFrom="paragraph">
                  <wp:posOffset>260350</wp:posOffset>
                </wp:positionV>
                <wp:extent cx="611505" cy="2736000"/>
                <wp:effectExtent l="0" t="0" r="17145" b="26670"/>
                <wp:wrapNone/>
                <wp:docPr id="20"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 cy="2736000"/>
                        </a:xfrm>
                        <a:prstGeom prst="roundRect">
                          <a:avLst/>
                        </a:prstGeom>
                        <a:noFill/>
                        <a:ln w="9525" cap="flat" cmpd="sng" algn="ctr">
                          <a:solidFill>
                            <a:srgbClr val="FF7415"/>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roundrect w14:anchorId="0BF7DDED" id="Rounded Rectangle 18" o:spid="_x0000_s1026" style="position:absolute;margin-left:213.1pt;margin-top:20.5pt;width:48.15pt;height:215.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" filled="f" strokecolor="#ff7415">
                <v:path arrowok="t"/>
              </v:roundrect>
            </w:pict>
          </mc:Fallback>
        </mc:AlternateContent>
      </w:r>
    </w:p>
    <w:tbl>
      <w:tblPr>
        <w:tblW w:w="4920" w:type="pct"/>
        <w:tblLayout w:type="fixed"/>
        <w:tblCellMar>
          <w:left w:w="0" w:type="dxa"/>
          <w:right w:w="0" w:type="dxa"/>
        </w:tblCellMar>
        <w:tblLook w:val="0420" w:firstRow="1" w:lastRow="0" w:firstColumn="0" w:lastColumn="0" w:noHBand="0" w:noVBand="1"/>
      </w:tblPr>
      <w:tblGrid>
        <w:gridCol w:w="4320"/>
        <w:gridCol w:w="954"/>
        <w:gridCol w:w="953"/>
        <w:gridCol w:w="953"/>
        <w:gridCol w:w="953"/>
        <w:gridCol w:w="953"/>
        <w:gridCol w:w="949"/>
      </w:tblGrid>
      <w:tr w:rsidR="00225403" w:rsidRPr="00E95FD5" w:rsidTr="0046043D">
        <w:trPr>
          <w:trHeight w:val="170"/>
        </w:trPr>
        <w:tc>
          <w:tcPr>
            <w:tcW w:w="2152" w:type="pct"/>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tcPr>
          <w:p w:rsidR="00225403" w:rsidRPr="0098297F" w:rsidRDefault="00225403" w:rsidP="00AE6D40">
            <w:pPr>
              <w:spacing w:before="38"/>
              <w:textAlignment w:val="baseline"/>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 xml:space="preserve">€ </w:t>
            </w:r>
            <w:r>
              <w:rPr>
                <w:rFonts w:ascii="Segoe UI" w:eastAsia="Segoe UI" w:hAnsi="Segoe UI" w:cs="Segoe UI"/>
                <w:b/>
                <w:bCs/>
                <w:color w:val="000000"/>
                <w:kern w:val="24"/>
                <w:sz w:val="14"/>
                <w:szCs w:val="14"/>
                <w:lang w:eastAsia="el-GR"/>
              </w:rPr>
              <w:t>εκατ.</w:t>
            </w:r>
          </w:p>
        </w:tc>
        <w:tc>
          <w:tcPr>
            <w:tcW w:w="475" w:type="pct"/>
            <w:tcBorders>
              <w:top w:val="single" w:sz="8" w:space="0" w:color="000000"/>
              <w:left w:val="nil"/>
              <w:bottom w:val="single" w:sz="8" w:space="0" w:color="000000"/>
              <w:right w:val="nil"/>
            </w:tcBorders>
            <w:vAlign w:val="center"/>
          </w:tcPr>
          <w:p w:rsidR="00225403" w:rsidRPr="00503C59" w:rsidRDefault="00225403" w:rsidP="003A412B">
            <w:pPr>
              <w:ind w:right="114"/>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Α</w:t>
            </w:r>
            <w:r w:rsidRPr="00503C59">
              <w:rPr>
                <w:rFonts w:ascii="Segoe UI" w:eastAsia="Times New Roman" w:hAnsi="Segoe UI" w:cs="Segoe UI"/>
                <w:b/>
                <w:bCs/>
                <w:color w:val="000000" w:themeColor="text1"/>
                <w:kern w:val="24"/>
                <w:sz w:val="14"/>
                <w:szCs w:val="14"/>
                <w:lang w:eastAsia="el-GR"/>
              </w:rPr>
              <w:t xml:space="preserve">‘ </w:t>
            </w:r>
            <w:r>
              <w:rPr>
                <w:rFonts w:ascii="Segoe UI" w:eastAsia="Times New Roman" w:hAnsi="Segoe UI" w:cs="Segoe UI"/>
                <w:b/>
                <w:bCs/>
                <w:color w:val="000000" w:themeColor="text1"/>
                <w:kern w:val="24"/>
                <w:sz w:val="14"/>
                <w:szCs w:val="14"/>
                <w:lang w:eastAsia="el-GR"/>
              </w:rPr>
              <w:t>εξάμηνο</w:t>
            </w:r>
            <w:r w:rsidRPr="00503C59">
              <w:rPr>
                <w:rFonts w:ascii="Segoe UI" w:eastAsia="Times New Roman" w:hAnsi="Segoe UI" w:cs="Segoe UI"/>
                <w:b/>
                <w:bCs/>
                <w:color w:val="000000" w:themeColor="text1"/>
                <w:kern w:val="24"/>
                <w:sz w:val="14"/>
                <w:szCs w:val="14"/>
                <w:lang w:eastAsia="el-GR"/>
              </w:rPr>
              <w:t xml:space="preserve"> 202</w:t>
            </w:r>
            <w:r>
              <w:rPr>
                <w:rFonts w:ascii="Segoe UI" w:eastAsia="Times New Roman" w:hAnsi="Segoe UI" w:cs="Segoe UI"/>
                <w:b/>
                <w:bCs/>
                <w:color w:val="000000" w:themeColor="text1"/>
                <w:kern w:val="24"/>
                <w:sz w:val="14"/>
                <w:szCs w:val="14"/>
                <w:lang w:eastAsia="el-GR"/>
              </w:rPr>
              <w:t>1</w:t>
            </w:r>
          </w:p>
        </w:tc>
        <w:tc>
          <w:tcPr>
            <w:tcW w:w="475" w:type="pct"/>
            <w:tcBorders>
              <w:top w:val="single" w:sz="8" w:space="0" w:color="000000"/>
              <w:left w:val="nil"/>
              <w:bottom w:val="single" w:sz="8" w:space="0" w:color="000000"/>
              <w:right w:val="nil"/>
            </w:tcBorders>
            <w:vAlign w:val="center"/>
          </w:tcPr>
          <w:p w:rsidR="00225403" w:rsidRPr="00503C59" w:rsidRDefault="00225403" w:rsidP="003A412B">
            <w:pPr>
              <w:ind w:right="114"/>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Α</w:t>
            </w:r>
            <w:r w:rsidRPr="00503C59">
              <w:rPr>
                <w:rFonts w:ascii="Segoe UI" w:eastAsia="Times New Roman" w:hAnsi="Segoe UI" w:cs="Segoe UI"/>
                <w:b/>
                <w:bCs/>
                <w:color w:val="000000" w:themeColor="text1"/>
                <w:kern w:val="24"/>
                <w:sz w:val="14"/>
                <w:szCs w:val="14"/>
                <w:lang w:eastAsia="el-GR"/>
              </w:rPr>
              <w:t>‘</w:t>
            </w:r>
            <w:r w:rsidR="00CF19D1">
              <w:rPr>
                <w:rFonts w:ascii="Segoe UI" w:eastAsia="Times New Roman" w:hAnsi="Segoe UI" w:cs="Segoe UI"/>
                <w:b/>
                <w:bCs/>
                <w:color w:val="000000" w:themeColor="text1"/>
                <w:kern w:val="24"/>
                <w:sz w:val="14"/>
                <w:szCs w:val="14"/>
                <w:lang w:eastAsia="el-GR"/>
              </w:rPr>
              <w:t xml:space="preserve"> </w:t>
            </w:r>
            <w:r w:rsidRPr="00225403">
              <w:rPr>
                <w:rFonts w:ascii="Segoe UI" w:eastAsia="Times New Roman" w:hAnsi="Segoe UI" w:cs="Segoe UI"/>
                <w:b/>
                <w:bCs/>
                <w:color w:val="000000" w:themeColor="text1"/>
                <w:kern w:val="24"/>
                <w:sz w:val="14"/>
                <w:szCs w:val="14"/>
                <w:lang w:eastAsia="el-GR"/>
              </w:rPr>
              <w:t xml:space="preserve">εξάμηνο </w:t>
            </w:r>
            <w:r w:rsidRPr="00503C59">
              <w:rPr>
                <w:rFonts w:ascii="Segoe UI" w:eastAsia="Times New Roman" w:hAnsi="Segoe UI" w:cs="Segoe UI"/>
                <w:b/>
                <w:bCs/>
                <w:color w:val="000000" w:themeColor="text1"/>
                <w:kern w:val="24"/>
                <w:sz w:val="14"/>
                <w:szCs w:val="14"/>
                <w:lang w:eastAsia="el-GR"/>
              </w:rPr>
              <w:t>2020</w:t>
            </w:r>
          </w:p>
        </w:tc>
        <w:tc>
          <w:tcPr>
            <w:tcW w:w="475" w:type="pct"/>
            <w:tcBorders>
              <w:top w:val="single" w:sz="8" w:space="0" w:color="000000"/>
              <w:left w:val="nil"/>
              <w:bottom w:val="single" w:sz="8" w:space="0" w:color="000000"/>
              <w:right w:val="nil"/>
            </w:tcBorders>
            <w:vAlign w:val="center"/>
          </w:tcPr>
          <w:p w:rsidR="00225403" w:rsidRPr="00E95FD5" w:rsidRDefault="00225403" w:rsidP="003A412B">
            <w:pPr>
              <w:spacing w:before="38"/>
              <w:ind w:right="142"/>
              <w:jc w:val="right"/>
              <w:textAlignment w:val="baseline"/>
              <w:rPr>
                <w:rFonts w:ascii="Segoe UI" w:eastAsia="Times New Roman" w:hAnsi="Segoe UI" w:cs="Segoe UI"/>
                <w:i/>
                <w:sz w:val="14"/>
                <w:szCs w:val="14"/>
                <w:lang w:eastAsia="el-GR"/>
              </w:rPr>
            </w:pPr>
            <w:r w:rsidRPr="00E95FD5">
              <w:rPr>
                <w:rFonts w:ascii="Segoe UI" w:eastAsia="Segoe UI" w:hAnsi="Segoe UI" w:cs="Segoe UI"/>
                <w:b/>
                <w:bCs/>
                <w:i/>
                <w:color w:val="000000"/>
                <w:kern w:val="24"/>
                <w:sz w:val="14"/>
                <w:szCs w:val="14"/>
                <w:lang w:eastAsia="el-GR"/>
              </w:rPr>
              <w:t>Δ (%)</w:t>
            </w:r>
          </w:p>
        </w:tc>
        <w:tc>
          <w:tcPr>
            <w:tcW w:w="475" w:type="pct"/>
            <w:tcBorders>
              <w:top w:val="single" w:sz="8" w:space="0" w:color="000000"/>
              <w:left w:val="nil"/>
              <w:bottom w:val="single" w:sz="8" w:space="0" w:color="000000"/>
              <w:right w:val="nil"/>
            </w:tcBorders>
            <w:vAlign w:val="center"/>
          </w:tcPr>
          <w:p w:rsidR="00225403" w:rsidRPr="00503C59" w:rsidRDefault="00225403" w:rsidP="003A412B">
            <w:pPr>
              <w:ind w:right="114"/>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Β</w:t>
            </w:r>
            <w:r w:rsidRPr="00503C59">
              <w:rPr>
                <w:rFonts w:ascii="Segoe UI" w:eastAsia="Times New Roman" w:hAnsi="Segoe UI" w:cs="Segoe UI"/>
                <w:b/>
                <w:bCs/>
                <w:color w:val="000000" w:themeColor="text1"/>
                <w:kern w:val="24"/>
                <w:sz w:val="14"/>
                <w:szCs w:val="14"/>
                <w:lang w:eastAsia="el-GR"/>
              </w:rPr>
              <w:t>‘ τρίμηνο 202</w:t>
            </w:r>
            <w:r>
              <w:rPr>
                <w:rFonts w:ascii="Segoe UI" w:eastAsia="Times New Roman" w:hAnsi="Segoe UI" w:cs="Segoe UI"/>
                <w:b/>
                <w:bCs/>
                <w:color w:val="000000" w:themeColor="text1"/>
                <w:kern w:val="24"/>
                <w:sz w:val="14"/>
                <w:szCs w:val="14"/>
                <w:lang w:eastAsia="el-GR"/>
              </w:rPr>
              <w:t>1</w:t>
            </w:r>
          </w:p>
        </w:tc>
        <w:tc>
          <w:tcPr>
            <w:tcW w:w="475" w:type="pct"/>
            <w:tcBorders>
              <w:top w:val="single" w:sz="8" w:space="0" w:color="000000"/>
              <w:left w:val="nil"/>
              <w:bottom w:val="single" w:sz="8" w:space="0" w:color="000000"/>
              <w:right w:val="nil"/>
            </w:tcBorders>
            <w:vAlign w:val="center"/>
          </w:tcPr>
          <w:p w:rsidR="00225403" w:rsidRPr="00503C59" w:rsidRDefault="00225403" w:rsidP="003A412B">
            <w:pPr>
              <w:ind w:right="114"/>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Α</w:t>
            </w:r>
            <w:r w:rsidRPr="00503C59">
              <w:rPr>
                <w:rFonts w:ascii="Segoe UI" w:eastAsia="Times New Roman" w:hAnsi="Segoe UI" w:cs="Segoe UI"/>
                <w:b/>
                <w:bCs/>
                <w:color w:val="000000" w:themeColor="text1"/>
                <w:kern w:val="24"/>
                <w:sz w:val="14"/>
                <w:szCs w:val="14"/>
                <w:lang w:eastAsia="el-GR"/>
              </w:rPr>
              <w:t>‘ τρίμηνο 202</w:t>
            </w:r>
            <w:r>
              <w:rPr>
                <w:rFonts w:ascii="Segoe UI" w:eastAsia="Times New Roman" w:hAnsi="Segoe UI" w:cs="Segoe UI"/>
                <w:b/>
                <w:bCs/>
                <w:color w:val="000000" w:themeColor="text1"/>
                <w:kern w:val="24"/>
                <w:sz w:val="14"/>
                <w:szCs w:val="14"/>
                <w:lang w:eastAsia="el-GR"/>
              </w:rPr>
              <w:t>1</w:t>
            </w:r>
          </w:p>
        </w:tc>
        <w:tc>
          <w:tcPr>
            <w:tcW w:w="473" w:type="pct"/>
            <w:tcBorders>
              <w:top w:val="single" w:sz="8" w:space="0" w:color="000000"/>
              <w:left w:val="nil"/>
              <w:bottom w:val="single" w:sz="8" w:space="0" w:color="000000"/>
              <w:right w:val="nil"/>
            </w:tcBorders>
            <w:shd w:val="clear" w:color="auto" w:fill="auto"/>
            <w:tcMar>
              <w:top w:w="15" w:type="dxa"/>
              <w:left w:w="15" w:type="dxa"/>
              <w:bottom w:w="0" w:type="dxa"/>
              <w:right w:w="82" w:type="dxa"/>
            </w:tcMar>
            <w:vAlign w:val="center"/>
          </w:tcPr>
          <w:p w:rsidR="00225403" w:rsidRPr="00E95FD5" w:rsidRDefault="00225403" w:rsidP="003A412B">
            <w:pPr>
              <w:spacing w:before="38"/>
              <w:jc w:val="right"/>
              <w:textAlignment w:val="baseline"/>
              <w:rPr>
                <w:rFonts w:ascii="Segoe UI" w:eastAsia="Times New Roman" w:hAnsi="Segoe UI" w:cs="Segoe UI"/>
                <w:i/>
                <w:sz w:val="14"/>
                <w:szCs w:val="14"/>
                <w:lang w:eastAsia="el-GR"/>
              </w:rPr>
            </w:pPr>
            <w:r w:rsidRPr="00E95FD5">
              <w:rPr>
                <w:rFonts w:ascii="Segoe UI" w:eastAsia="Segoe UI" w:hAnsi="Segoe UI" w:cs="Segoe UI"/>
                <w:b/>
                <w:bCs/>
                <w:i/>
                <w:color w:val="000000"/>
                <w:kern w:val="24"/>
                <w:sz w:val="14"/>
                <w:szCs w:val="14"/>
                <w:lang w:eastAsia="el-GR"/>
              </w:rPr>
              <w:t>Δ (%)</w:t>
            </w:r>
          </w:p>
        </w:tc>
      </w:tr>
      <w:tr w:rsidR="00553098" w:rsidRPr="00E95FD5" w:rsidTr="00250B3E">
        <w:trPr>
          <w:trHeight w:hRule="exact" w:val="227"/>
        </w:trPr>
        <w:tc>
          <w:tcPr>
            <w:tcW w:w="2152" w:type="pct"/>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553098" w:rsidRPr="00E95FD5" w:rsidRDefault="00553098" w:rsidP="00553098">
            <w:pPr>
              <w:textAlignment w:val="center"/>
              <w:rPr>
                <w:rFonts w:ascii="Segoe UI" w:eastAsia="Times New Roman" w:hAnsi="Segoe UI" w:cs="Segoe UI"/>
                <w:sz w:val="14"/>
                <w:szCs w:val="14"/>
                <w:lang w:eastAsia="el-GR"/>
              </w:rPr>
            </w:pPr>
            <w:r w:rsidRPr="00E95FD5">
              <w:rPr>
                <w:rFonts w:ascii="Segoe UI" w:eastAsia="Segoe UI" w:hAnsi="Segoe UI" w:cs="Segoe UI"/>
                <w:color w:val="000000"/>
                <w:kern w:val="24"/>
                <w:sz w:val="14"/>
                <w:szCs w:val="14"/>
                <w:lang w:eastAsia="el-GR"/>
              </w:rPr>
              <w:t>Καθαρά έσοδα από τόκους</w:t>
            </w:r>
          </w:p>
        </w:tc>
        <w:tc>
          <w:tcPr>
            <w:tcW w:w="475" w:type="pct"/>
            <w:tcBorders>
              <w:top w:val="single" w:sz="8" w:space="0" w:color="000000"/>
              <w:bottom w:val="nil"/>
            </w:tcBorders>
            <w:vAlign w:val="center"/>
          </w:tcPr>
          <w:p w:rsidR="00553098" w:rsidRPr="00553098" w:rsidRDefault="00553098" w:rsidP="00553098">
            <w:pPr>
              <w:pStyle w:val="NormalWeb"/>
              <w:spacing w:before="0" w:beforeAutospacing="0" w:after="0" w:afterAutospacing="0"/>
              <w:ind w:right="148"/>
              <w:jc w:val="right"/>
              <w:textAlignment w:val="center"/>
              <w:rPr>
                <w:rFonts w:ascii="Segoe UI" w:hAnsi="Segoe UI" w:cs="Segoe UI"/>
                <w:sz w:val="14"/>
                <w:szCs w:val="16"/>
                <w:lang w:val="en-US"/>
              </w:rPr>
            </w:pPr>
            <w:r w:rsidRPr="00553098">
              <w:rPr>
                <w:rFonts w:ascii="Segoe UI" w:hAnsi="Segoe UI" w:cs="Segoe UI"/>
                <w:sz w:val="14"/>
                <w:szCs w:val="16"/>
                <w:lang w:val="en-US"/>
              </w:rPr>
              <w:t xml:space="preserve">591 </w:t>
            </w:r>
          </w:p>
        </w:tc>
        <w:tc>
          <w:tcPr>
            <w:tcW w:w="475" w:type="pct"/>
            <w:tcBorders>
              <w:top w:val="single" w:sz="8" w:space="0" w:color="000000"/>
              <w:bottom w:val="nil"/>
            </w:tcBorders>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sz w:val="14"/>
                <w:szCs w:val="16"/>
                <w:lang w:val="en-US"/>
              </w:rPr>
            </w:pPr>
            <w:r w:rsidRPr="00CF19D1">
              <w:rPr>
                <w:rFonts w:ascii="Segoe UI" w:hAnsi="Segoe UI" w:cs="Segoe UI"/>
                <w:sz w:val="14"/>
                <w:szCs w:val="16"/>
                <w:lang w:val="en-US"/>
              </w:rPr>
              <w:t xml:space="preserve">551 </w:t>
            </w:r>
          </w:p>
        </w:tc>
        <w:tc>
          <w:tcPr>
            <w:tcW w:w="475" w:type="pct"/>
            <w:tcBorders>
              <w:top w:val="single" w:sz="8" w:space="0" w:color="000000"/>
              <w:bottom w:val="nil"/>
            </w:tcBorders>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i/>
                <w:sz w:val="14"/>
                <w:szCs w:val="16"/>
                <w:lang w:val="en-US"/>
              </w:rPr>
            </w:pPr>
            <w:r w:rsidRPr="00CF19D1">
              <w:rPr>
                <w:rFonts w:ascii="Segoe UI" w:hAnsi="Segoe UI" w:cs="Segoe UI"/>
                <w:i/>
                <w:sz w:val="14"/>
                <w:szCs w:val="16"/>
                <w:lang w:val="en-US"/>
              </w:rPr>
              <w:t>7%</w:t>
            </w:r>
          </w:p>
        </w:tc>
        <w:tc>
          <w:tcPr>
            <w:tcW w:w="475" w:type="pct"/>
            <w:tcBorders>
              <w:top w:val="single" w:sz="8" w:space="0" w:color="000000"/>
              <w:bottom w:val="nil"/>
            </w:tcBorders>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sz w:val="14"/>
                <w:szCs w:val="16"/>
                <w:lang w:val="en-US"/>
              </w:rPr>
            </w:pPr>
            <w:r w:rsidRPr="00CF19D1">
              <w:rPr>
                <w:rFonts w:ascii="Segoe UI" w:hAnsi="Segoe UI" w:cs="Segoe UI"/>
                <w:sz w:val="14"/>
                <w:szCs w:val="16"/>
                <w:lang w:val="en-US"/>
              </w:rPr>
              <w:t>29</w:t>
            </w:r>
            <w:r>
              <w:rPr>
                <w:rFonts w:ascii="Segoe UI" w:hAnsi="Segoe UI" w:cs="Segoe UI"/>
                <w:sz w:val="14"/>
                <w:szCs w:val="16"/>
                <w:lang w:val="en-US"/>
              </w:rPr>
              <w:t>7</w:t>
            </w:r>
            <w:r w:rsidRPr="00CF19D1">
              <w:rPr>
                <w:rFonts w:ascii="Segoe UI" w:hAnsi="Segoe UI" w:cs="Segoe UI"/>
                <w:sz w:val="14"/>
                <w:szCs w:val="16"/>
                <w:lang w:val="en-US"/>
              </w:rPr>
              <w:t xml:space="preserve"> </w:t>
            </w:r>
          </w:p>
        </w:tc>
        <w:tc>
          <w:tcPr>
            <w:tcW w:w="475" w:type="pct"/>
            <w:tcBorders>
              <w:top w:val="single" w:sz="8" w:space="0" w:color="000000"/>
              <w:bottom w:val="nil"/>
              <w:right w:val="nil"/>
            </w:tcBorders>
            <w:shd w:val="clear" w:color="auto" w:fill="auto"/>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sz w:val="14"/>
                <w:szCs w:val="16"/>
                <w:lang w:val="en-US"/>
              </w:rPr>
            </w:pPr>
            <w:r w:rsidRPr="00CF19D1">
              <w:rPr>
                <w:rFonts w:ascii="Segoe UI" w:hAnsi="Segoe UI" w:cs="Segoe UI"/>
                <w:sz w:val="14"/>
                <w:szCs w:val="16"/>
                <w:lang w:val="en-US"/>
              </w:rPr>
              <w:t xml:space="preserve">294 </w:t>
            </w:r>
          </w:p>
        </w:tc>
        <w:tc>
          <w:tcPr>
            <w:tcW w:w="473" w:type="pct"/>
            <w:tcBorders>
              <w:top w:val="single" w:sz="4" w:space="0" w:color="auto"/>
              <w:left w:val="nil"/>
              <w:bottom w:val="nil"/>
              <w:right w:val="nil"/>
            </w:tcBorders>
            <w:shd w:val="clear" w:color="auto" w:fill="auto"/>
            <w:tcMar>
              <w:top w:w="15" w:type="dxa"/>
              <w:left w:w="15" w:type="dxa"/>
              <w:bottom w:w="0" w:type="dxa"/>
              <w:right w:w="78" w:type="dxa"/>
            </w:tcMar>
            <w:vAlign w:val="bottom"/>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i/>
                <w:sz w:val="14"/>
                <w:szCs w:val="16"/>
                <w:lang w:val="en-US"/>
              </w:rPr>
            </w:pPr>
            <w:r w:rsidRPr="00CF19D1">
              <w:rPr>
                <w:rFonts w:ascii="Segoe UI" w:hAnsi="Segoe UI" w:cs="Segoe UI"/>
                <w:i/>
                <w:sz w:val="14"/>
                <w:szCs w:val="16"/>
                <w:lang w:val="en-US"/>
              </w:rPr>
              <w:t>1%</w:t>
            </w:r>
          </w:p>
        </w:tc>
      </w:tr>
      <w:tr w:rsidR="00553098" w:rsidRPr="00E95FD5" w:rsidTr="00250B3E">
        <w:trPr>
          <w:trHeight w:hRule="exact" w:val="227"/>
        </w:trPr>
        <w:tc>
          <w:tcPr>
            <w:tcW w:w="2152" w:type="pct"/>
            <w:tcBorders>
              <w:top w:val="nil"/>
              <w:left w:val="nil"/>
              <w:bottom w:val="nil"/>
              <w:right w:val="nil"/>
            </w:tcBorders>
            <w:shd w:val="clear" w:color="auto" w:fill="auto"/>
            <w:tcMar>
              <w:top w:w="15" w:type="dxa"/>
              <w:left w:w="42" w:type="dxa"/>
              <w:bottom w:w="0" w:type="dxa"/>
              <w:right w:w="15" w:type="dxa"/>
            </w:tcMar>
            <w:vAlign w:val="center"/>
            <w:hideMark/>
          </w:tcPr>
          <w:p w:rsidR="00553098" w:rsidRPr="00E95FD5" w:rsidRDefault="00553098" w:rsidP="00553098">
            <w:pPr>
              <w:textAlignment w:val="center"/>
              <w:rPr>
                <w:rFonts w:ascii="Segoe UI" w:eastAsia="Times New Roman" w:hAnsi="Segoe UI" w:cs="Segoe UI"/>
                <w:sz w:val="14"/>
                <w:szCs w:val="14"/>
                <w:lang w:eastAsia="el-GR"/>
              </w:rPr>
            </w:pPr>
            <w:r w:rsidRPr="00E95FD5">
              <w:rPr>
                <w:rFonts w:ascii="Segoe UI" w:eastAsia="Segoe UI" w:hAnsi="Segoe UI" w:cs="Segoe UI"/>
                <w:color w:val="000000" w:themeColor="text1"/>
                <w:kern w:val="24"/>
                <w:sz w:val="14"/>
                <w:szCs w:val="14"/>
                <w:lang w:eastAsia="el-GR"/>
              </w:rPr>
              <w:t>Καθαρά έσοδα από προμήθειες</w:t>
            </w:r>
          </w:p>
        </w:tc>
        <w:tc>
          <w:tcPr>
            <w:tcW w:w="475" w:type="pct"/>
            <w:tcBorders>
              <w:top w:val="nil"/>
              <w:bottom w:val="nil"/>
            </w:tcBorders>
            <w:vAlign w:val="center"/>
          </w:tcPr>
          <w:p w:rsidR="00553098" w:rsidRPr="00553098" w:rsidRDefault="00553098" w:rsidP="00553098">
            <w:pPr>
              <w:pStyle w:val="NormalWeb"/>
              <w:spacing w:before="0" w:beforeAutospacing="0" w:after="0" w:afterAutospacing="0"/>
              <w:ind w:right="148"/>
              <w:jc w:val="right"/>
              <w:textAlignment w:val="center"/>
              <w:rPr>
                <w:rFonts w:ascii="Segoe UI" w:hAnsi="Segoe UI" w:cs="Segoe UI"/>
                <w:sz w:val="14"/>
                <w:szCs w:val="16"/>
                <w:lang w:val="en-US"/>
              </w:rPr>
            </w:pPr>
            <w:r w:rsidRPr="00553098">
              <w:rPr>
                <w:rFonts w:ascii="Segoe UI" w:hAnsi="Segoe UI" w:cs="Segoe UI"/>
                <w:sz w:val="14"/>
                <w:szCs w:val="16"/>
                <w:lang w:val="en-US"/>
              </w:rPr>
              <w:t xml:space="preserve">136 </w:t>
            </w:r>
          </w:p>
        </w:tc>
        <w:tc>
          <w:tcPr>
            <w:tcW w:w="475" w:type="pct"/>
            <w:tcBorders>
              <w:top w:val="nil"/>
              <w:bottom w:val="nil"/>
            </w:tcBorders>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sz w:val="14"/>
                <w:szCs w:val="16"/>
                <w:lang w:val="en-US"/>
              </w:rPr>
            </w:pPr>
            <w:r w:rsidRPr="00CF19D1">
              <w:rPr>
                <w:rFonts w:ascii="Segoe UI" w:hAnsi="Segoe UI" w:cs="Segoe UI"/>
                <w:sz w:val="14"/>
                <w:szCs w:val="16"/>
                <w:lang w:val="en-US"/>
              </w:rPr>
              <w:t xml:space="preserve">123 </w:t>
            </w:r>
          </w:p>
        </w:tc>
        <w:tc>
          <w:tcPr>
            <w:tcW w:w="475" w:type="pct"/>
            <w:tcBorders>
              <w:top w:val="nil"/>
              <w:bottom w:val="nil"/>
            </w:tcBorders>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i/>
                <w:sz w:val="14"/>
                <w:szCs w:val="16"/>
                <w:lang w:val="en-US"/>
              </w:rPr>
            </w:pPr>
            <w:r w:rsidRPr="00CF19D1">
              <w:rPr>
                <w:rFonts w:ascii="Segoe UI" w:hAnsi="Segoe UI" w:cs="Segoe UI"/>
                <w:i/>
                <w:sz w:val="14"/>
                <w:szCs w:val="16"/>
                <w:lang w:val="en-US"/>
              </w:rPr>
              <w:t>10%</w:t>
            </w:r>
          </w:p>
        </w:tc>
        <w:tc>
          <w:tcPr>
            <w:tcW w:w="475" w:type="pct"/>
            <w:tcBorders>
              <w:top w:val="nil"/>
              <w:bottom w:val="nil"/>
            </w:tcBorders>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sz w:val="14"/>
                <w:szCs w:val="16"/>
                <w:lang w:val="en-US"/>
              </w:rPr>
            </w:pPr>
            <w:r w:rsidRPr="00CF19D1">
              <w:rPr>
                <w:rFonts w:ascii="Segoe UI" w:hAnsi="Segoe UI" w:cs="Segoe UI"/>
                <w:sz w:val="14"/>
                <w:szCs w:val="16"/>
                <w:lang w:val="en-US"/>
              </w:rPr>
              <w:t xml:space="preserve">69 </w:t>
            </w:r>
          </w:p>
        </w:tc>
        <w:tc>
          <w:tcPr>
            <w:tcW w:w="475" w:type="pct"/>
            <w:tcBorders>
              <w:top w:val="nil"/>
              <w:bottom w:val="nil"/>
              <w:right w:val="nil"/>
            </w:tcBorders>
            <w:shd w:val="clear" w:color="auto" w:fill="auto"/>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sz w:val="14"/>
                <w:szCs w:val="16"/>
                <w:lang w:val="en-US"/>
              </w:rPr>
            </w:pPr>
            <w:r w:rsidRPr="00CF19D1">
              <w:rPr>
                <w:rFonts w:ascii="Segoe UI" w:hAnsi="Segoe UI" w:cs="Segoe UI"/>
                <w:sz w:val="14"/>
                <w:szCs w:val="16"/>
                <w:lang w:val="en-US"/>
              </w:rPr>
              <w:t xml:space="preserve">67 </w:t>
            </w:r>
          </w:p>
        </w:tc>
        <w:tc>
          <w:tcPr>
            <w:tcW w:w="473" w:type="pct"/>
            <w:tcBorders>
              <w:top w:val="nil"/>
              <w:left w:val="nil"/>
              <w:bottom w:val="nil"/>
              <w:right w:val="nil"/>
            </w:tcBorders>
            <w:shd w:val="clear" w:color="auto" w:fill="auto"/>
            <w:tcMar>
              <w:top w:w="15" w:type="dxa"/>
              <w:left w:w="15" w:type="dxa"/>
              <w:bottom w:w="0" w:type="dxa"/>
              <w:right w:w="78" w:type="dxa"/>
            </w:tcMar>
            <w:vAlign w:val="bottom"/>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i/>
                <w:sz w:val="14"/>
                <w:szCs w:val="16"/>
                <w:lang w:val="en-US"/>
              </w:rPr>
            </w:pPr>
            <w:r w:rsidRPr="00CF19D1">
              <w:rPr>
                <w:rFonts w:ascii="Segoe UI" w:hAnsi="Segoe UI" w:cs="Segoe UI"/>
                <w:i/>
                <w:sz w:val="14"/>
                <w:szCs w:val="16"/>
                <w:lang w:val="en-US"/>
              </w:rPr>
              <w:t>4%</w:t>
            </w:r>
          </w:p>
        </w:tc>
      </w:tr>
      <w:tr w:rsidR="00553098" w:rsidRPr="00E95FD5" w:rsidTr="00250B3E">
        <w:trPr>
          <w:trHeight w:hRule="exact" w:val="227"/>
        </w:trPr>
        <w:tc>
          <w:tcPr>
            <w:tcW w:w="2152" w:type="pct"/>
            <w:tcBorders>
              <w:top w:val="nil"/>
              <w:left w:val="nil"/>
              <w:bottom w:val="nil"/>
              <w:right w:val="nil"/>
            </w:tcBorders>
            <w:shd w:val="clear" w:color="auto" w:fill="F2F2F2"/>
            <w:tcMar>
              <w:top w:w="15" w:type="dxa"/>
              <w:left w:w="42" w:type="dxa"/>
              <w:bottom w:w="0" w:type="dxa"/>
              <w:right w:w="15" w:type="dxa"/>
            </w:tcMar>
            <w:vAlign w:val="center"/>
            <w:hideMark/>
          </w:tcPr>
          <w:p w:rsidR="00553098" w:rsidRPr="00E95FD5" w:rsidRDefault="00553098" w:rsidP="00553098">
            <w:pPr>
              <w:textAlignment w:val="center"/>
              <w:rPr>
                <w:rFonts w:ascii="Segoe UI" w:eastAsia="Times New Roman" w:hAnsi="Segoe UI" w:cs="Segoe UI"/>
                <w:sz w:val="14"/>
                <w:szCs w:val="14"/>
                <w:lang w:eastAsia="el-GR"/>
              </w:rPr>
            </w:pPr>
            <w:r w:rsidRPr="00E95FD5">
              <w:rPr>
                <w:rFonts w:ascii="Segoe UI" w:eastAsia="Segoe UI" w:hAnsi="Segoe UI" w:cs="Segoe UI"/>
                <w:b/>
                <w:bCs/>
                <w:color w:val="000000" w:themeColor="text1"/>
                <w:kern w:val="24"/>
                <w:sz w:val="14"/>
                <w:szCs w:val="14"/>
                <w:lang w:eastAsia="el-GR"/>
              </w:rPr>
              <w:t>Οργανικά έσοδα</w:t>
            </w:r>
          </w:p>
        </w:tc>
        <w:tc>
          <w:tcPr>
            <w:tcW w:w="475" w:type="pct"/>
            <w:tcBorders>
              <w:top w:val="nil"/>
              <w:bottom w:val="nil"/>
            </w:tcBorders>
            <w:shd w:val="clear" w:color="000000" w:fill="F2F2F2"/>
            <w:vAlign w:val="center"/>
          </w:tcPr>
          <w:p w:rsidR="00553098" w:rsidRPr="00553098" w:rsidRDefault="00553098" w:rsidP="00553098">
            <w:pPr>
              <w:pStyle w:val="NormalWeb"/>
              <w:spacing w:before="0" w:beforeAutospacing="0" w:after="0" w:afterAutospacing="0"/>
              <w:ind w:right="148"/>
              <w:jc w:val="right"/>
              <w:textAlignment w:val="center"/>
              <w:rPr>
                <w:rFonts w:ascii="Segoe UI" w:hAnsi="Segoe UI" w:cs="Segoe UI"/>
                <w:b/>
                <w:sz w:val="14"/>
                <w:szCs w:val="16"/>
                <w:lang w:val="en-US"/>
              </w:rPr>
            </w:pPr>
            <w:r w:rsidRPr="00553098">
              <w:rPr>
                <w:rFonts w:ascii="Segoe UI" w:hAnsi="Segoe UI" w:cs="Segoe UI"/>
                <w:b/>
                <w:sz w:val="14"/>
                <w:szCs w:val="16"/>
                <w:lang w:val="en-US"/>
              </w:rPr>
              <w:t xml:space="preserve">727 </w:t>
            </w:r>
          </w:p>
        </w:tc>
        <w:tc>
          <w:tcPr>
            <w:tcW w:w="475" w:type="pct"/>
            <w:tcBorders>
              <w:top w:val="nil"/>
              <w:bottom w:val="nil"/>
            </w:tcBorders>
            <w:shd w:val="clear" w:color="000000" w:fill="F2F2F2"/>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b/>
                <w:sz w:val="14"/>
                <w:szCs w:val="16"/>
                <w:lang w:val="en-US"/>
              </w:rPr>
            </w:pPr>
            <w:r w:rsidRPr="00CF19D1">
              <w:rPr>
                <w:rFonts w:ascii="Segoe UI" w:hAnsi="Segoe UI" w:cs="Segoe UI"/>
                <w:b/>
                <w:sz w:val="14"/>
                <w:szCs w:val="16"/>
                <w:lang w:val="en-US"/>
              </w:rPr>
              <w:t xml:space="preserve">674 </w:t>
            </w:r>
          </w:p>
        </w:tc>
        <w:tc>
          <w:tcPr>
            <w:tcW w:w="475" w:type="pct"/>
            <w:tcBorders>
              <w:top w:val="nil"/>
              <w:bottom w:val="nil"/>
            </w:tcBorders>
            <w:shd w:val="clear" w:color="000000" w:fill="F2F2F2"/>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b/>
                <w:i/>
                <w:sz w:val="14"/>
                <w:szCs w:val="16"/>
                <w:lang w:val="en-US"/>
              </w:rPr>
            </w:pPr>
            <w:r w:rsidRPr="00CF19D1">
              <w:rPr>
                <w:rFonts w:ascii="Segoe UI" w:hAnsi="Segoe UI" w:cs="Segoe UI"/>
                <w:b/>
                <w:i/>
                <w:sz w:val="14"/>
                <w:szCs w:val="16"/>
                <w:lang w:val="en-US"/>
              </w:rPr>
              <w:t>8%</w:t>
            </w:r>
          </w:p>
        </w:tc>
        <w:tc>
          <w:tcPr>
            <w:tcW w:w="475" w:type="pct"/>
            <w:tcBorders>
              <w:top w:val="nil"/>
              <w:bottom w:val="nil"/>
            </w:tcBorders>
            <w:shd w:val="clear" w:color="000000" w:fill="F2F2F2"/>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b/>
                <w:sz w:val="14"/>
                <w:szCs w:val="16"/>
                <w:lang w:val="en-US"/>
              </w:rPr>
            </w:pPr>
            <w:r w:rsidRPr="00CF19D1">
              <w:rPr>
                <w:rFonts w:ascii="Segoe UI" w:hAnsi="Segoe UI" w:cs="Segoe UI"/>
                <w:b/>
                <w:sz w:val="14"/>
                <w:szCs w:val="16"/>
                <w:lang w:val="en-US"/>
              </w:rPr>
              <w:t xml:space="preserve">367 </w:t>
            </w:r>
          </w:p>
        </w:tc>
        <w:tc>
          <w:tcPr>
            <w:tcW w:w="475" w:type="pct"/>
            <w:tcBorders>
              <w:top w:val="nil"/>
              <w:bottom w:val="nil"/>
              <w:right w:val="nil"/>
            </w:tcBorders>
            <w:shd w:val="clear" w:color="000000" w:fill="F2F2F2"/>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b/>
                <w:sz w:val="14"/>
                <w:szCs w:val="16"/>
                <w:lang w:val="en-US"/>
              </w:rPr>
            </w:pPr>
            <w:r w:rsidRPr="00CF19D1">
              <w:rPr>
                <w:rFonts w:ascii="Segoe UI" w:hAnsi="Segoe UI" w:cs="Segoe UI"/>
                <w:b/>
                <w:sz w:val="14"/>
                <w:szCs w:val="16"/>
                <w:lang w:val="en-US"/>
              </w:rPr>
              <w:t xml:space="preserve">361 </w:t>
            </w:r>
          </w:p>
        </w:tc>
        <w:tc>
          <w:tcPr>
            <w:tcW w:w="473" w:type="pct"/>
            <w:tcBorders>
              <w:top w:val="nil"/>
              <w:left w:val="nil"/>
              <w:bottom w:val="nil"/>
              <w:right w:val="nil"/>
            </w:tcBorders>
            <w:shd w:val="clear" w:color="000000" w:fill="F2F2F2"/>
            <w:tcMar>
              <w:top w:w="15" w:type="dxa"/>
              <w:left w:w="15" w:type="dxa"/>
              <w:bottom w:w="0" w:type="dxa"/>
              <w:right w:w="78" w:type="dxa"/>
            </w:tcMar>
            <w:vAlign w:val="bottom"/>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b/>
                <w:i/>
                <w:sz w:val="14"/>
                <w:szCs w:val="16"/>
                <w:lang w:val="en-US"/>
              </w:rPr>
            </w:pPr>
            <w:r w:rsidRPr="00CF19D1">
              <w:rPr>
                <w:rFonts w:ascii="Segoe UI" w:hAnsi="Segoe UI" w:cs="Segoe UI"/>
                <w:b/>
                <w:i/>
                <w:sz w:val="14"/>
                <w:szCs w:val="16"/>
                <w:lang w:val="en-US"/>
              </w:rPr>
              <w:t>2%</w:t>
            </w:r>
          </w:p>
        </w:tc>
      </w:tr>
      <w:tr w:rsidR="00553098" w:rsidRPr="00E95FD5" w:rsidTr="00250B3E">
        <w:trPr>
          <w:trHeight w:hRule="exact" w:val="227"/>
        </w:trPr>
        <w:tc>
          <w:tcPr>
            <w:tcW w:w="2152" w:type="pct"/>
            <w:tcBorders>
              <w:top w:val="nil"/>
              <w:left w:val="nil"/>
              <w:bottom w:val="nil"/>
              <w:right w:val="nil"/>
            </w:tcBorders>
            <w:shd w:val="clear" w:color="auto" w:fill="auto"/>
            <w:tcMar>
              <w:top w:w="15" w:type="dxa"/>
              <w:left w:w="42" w:type="dxa"/>
              <w:bottom w:w="0" w:type="dxa"/>
              <w:right w:w="15" w:type="dxa"/>
            </w:tcMar>
            <w:vAlign w:val="center"/>
            <w:hideMark/>
          </w:tcPr>
          <w:p w:rsidR="00553098" w:rsidRPr="00E95FD5" w:rsidRDefault="00553098" w:rsidP="00553098">
            <w:pPr>
              <w:textAlignment w:val="center"/>
              <w:rPr>
                <w:rFonts w:ascii="Segoe UI" w:eastAsia="Times New Roman" w:hAnsi="Segoe UI" w:cs="Segoe UI"/>
                <w:sz w:val="14"/>
                <w:szCs w:val="14"/>
                <w:lang w:eastAsia="el-GR"/>
              </w:rPr>
            </w:pPr>
            <w:r w:rsidRPr="00E95FD5">
              <w:rPr>
                <w:rFonts w:ascii="Segoe UI" w:eastAsia="Segoe UI" w:hAnsi="Segoe UI" w:cs="Segoe UI"/>
                <w:color w:val="000000"/>
                <w:kern w:val="24"/>
                <w:sz w:val="14"/>
                <w:szCs w:val="14"/>
                <w:lang w:eastAsia="el-GR"/>
              </w:rPr>
              <w:t xml:space="preserve">Έσοδα από </w:t>
            </w:r>
            <w:r w:rsidRPr="00286F74">
              <w:rPr>
                <w:rFonts w:ascii="Segoe UI" w:eastAsia="Segoe UI" w:hAnsi="Segoe UI" w:cs="Segoe UI"/>
                <w:color w:val="000000"/>
                <w:kern w:val="24"/>
                <w:sz w:val="14"/>
                <w:szCs w:val="14"/>
                <w:lang w:eastAsia="el-GR"/>
              </w:rPr>
              <w:t xml:space="preserve">χρηματοοικονομικές </w:t>
            </w:r>
            <w:r w:rsidRPr="00E95FD5">
              <w:rPr>
                <w:rFonts w:ascii="Segoe UI" w:eastAsia="Segoe UI" w:hAnsi="Segoe UI" w:cs="Segoe UI"/>
                <w:color w:val="000000"/>
                <w:kern w:val="24"/>
                <w:sz w:val="14"/>
                <w:szCs w:val="14"/>
                <w:lang w:eastAsia="el-GR"/>
              </w:rPr>
              <w:t>πράξεις και λοιπά έσοδα</w:t>
            </w:r>
            <w:r w:rsidRPr="0020487F">
              <w:rPr>
                <w:rFonts w:ascii="Segoe UI" w:eastAsia="Segoe UI" w:hAnsi="Segoe UI" w:cs="Segoe UI"/>
                <w:color w:val="000000"/>
                <w:kern w:val="24"/>
                <w:sz w:val="16"/>
                <w:szCs w:val="14"/>
                <w:vertAlign w:val="superscript"/>
                <w:lang w:eastAsia="el-GR"/>
              </w:rPr>
              <w:t>1</w:t>
            </w:r>
          </w:p>
        </w:tc>
        <w:tc>
          <w:tcPr>
            <w:tcW w:w="475" w:type="pct"/>
            <w:tcBorders>
              <w:top w:val="nil"/>
              <w:bottom w:val="nil"/>
            </w:tcBorders>
            <w:vAlign w:val="center"/>
          </w:tcPr>
          <w:p w:rsidR="00553098" w:rsidRPr="00553098" w:rsidRDefault="00553098" w:rsidP="00553098">
            <w:pPr>
              <w:pStyle w:val="NormalWeb"/>
              <w:spacing w:before="0" w:beforeAutospacing="0" w:after="0" w:afterAutospacing="0"/>
              <w:ind w:right="148"/>
              <w:jc w:val="right"/>
              <w:textAlignment w:val="center"/>
              <w:rPr>
                <w:rFonts w:ascii="Segoe UI" w:hAnsi="Segoe UI" w:cs="Segoe UI"/>
                <w:sz w:val="14"/>
                <w:szCs w:val="16"/>
                <w:lang w:val="en-US"/>
              </w:rPr>
            </w:pPr>
            <w:r w:rsidRPr="00553098">
              <w:rPr>
                <w:rFonts w:ascii="Segoe UI" w:hAnsi="Segoe UI" w:cs="Segoe UI"/>
                <w:sz w:val="14"/>
                <w:szCs w:val="16"/>
                <w:lang w:val="en-US"/>
              </w:rPr>
              <w:t>449</w:t>
            </w:r>
          </w:p>
        </w:tc>
        <w:tc>
          <w:tcPr>
            <w:tcW w:w="475" w:type="pct"/>
            <w:tcBorders>
              <w:top w:val="nil"/>
              <w:bottom w:val="nil"/>
            </w:tcBorders>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sz w:val="14"/>
                <w:szCs w:val="16"/>
                <w:lang w:val="en-US"/>
              </w:rPr>
            </w:pPr>
            <w:r w:rsidRPr="00CF19D1">
              <w:rPr>
                <w:rFonts w:ascii="Segoe UI" w:hAnsi="Segoe UI" w:cs="Segoe UI"/>
                <w:sz w:val="14"/>
                <w:szCs w:val="16"/>
                <w:lang w:val="en-US"/>
              </w:rPr>
              <w:t xml:space="preserve">786 </w:t>
            </w:r>
          </w:p>
        </w:tc>
        <w:tc>
          <w:tcPr>
            <w:tcW w:w="475" w:type="pct"/>
            <w:tcBorders>
              <w:top w:val="nil"/>
              <w:bottom w:val="nil"/>
            </w:tcBorders>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i/>
                <w:sz w:val="14"/>
                <w:szCs w:val="16"/>
                <w:lang w:val="en-US"/>
              </w:rPr>
            </w:pPr>
            <w:r w:rsidRPr="00CF19D1">
              <w:rPr>
                <w:rFonts w:ascii="Segoe UI" w:hAnsi="Segoe UI" w:cs="Segoe UI"/>
                <w:i/>
                <w:sz w:val="14"/>
                <w:szCs w:val="16"/>
                <w:lang w:val="en-US"/>
              </w:rPr>
              <w:t>-43%</w:t>
            </w:r>
          </w:p>
        </w:tc>
        <w:tc>
          <w:tcPr>
            <w:tcW w:w="475" w:type="pct"/>
            <w:tcBorders>
              <w:top w:val="nil"/>
              <w:bottom w:val="nil"/>
            </w:tcBorders>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sz w:val="14"/>
                <w:szCs w:val="16"/>
                <w:lang w:val="en-US"/>
              </w:rPr>
            </w:pPr>
            <w:r w:rsidRPr="00CF19D1">
              <w:rPr>
                <w:rFonts w:ascii="Segoe UI" w:hAnsi="Segoe UI" w:cs="Segoe UI"/>
                <w:sz w:val="14"/>
                <w:szCs w:val="16"/>
                <w:lang w:val="en-US"/>
              </w:rPr>
              <w:t xml:space="preserve">(42) </w:t>
            </w:r>
          </w:p>
        </w:tc>
        <w:tc>
          <w:tcPr>
            <w:tcW w:w="475" w:type="pct"/>
            <w:tcBorders>
              <w:top w:val="nil"/>
              <w:bottom w:val="nil"/>
              <w:right w:val="nil"/>
            </w:tcBorders>
            <w:shd w:val="clear" w:color="auto" w:fill="auto"/>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sz w:val="14"/>
                <w:szCs w:val="16"/>
                <w:lang w:val="en-US"/>
              </w:rPr>
            </w:pPr>
            <w:r w:rsidRPr="00CF19D1">
              <w:rPr>
                <w:rFonts w:ascii="Segoe UI" w:hAnsi="Segoe UI" w:cs="Segoe UI"/>
                <w:sz w:val="14"/>
                <w:szCs w:val="16"/>
                <w:lang w:val="en-US"/>
              </w:rPr>
              <w:t xml:space="preserve">491 </w:t>
            </w:r>
          </w:p>
        </w:tc>
        <w:tc>
          <w:tcPr>
            <w:tcW w:w="473" w:type="pct"/>
            <w:tcBorders>
              <w:top w:val="nil"/>
              <w:left w:val="nil"/>
              <w:bottom w:val="nil"/>
              <w:right w:val="nil"/>
            </w:tcBorders>
            <w:shd w:val="clear" w:color="auto" w:fill="auto"/>
            <w:tcMar>
              <w:top w:w="15" w:type="dxa"/>
              <w:left w:w="15" w:type="dxa"/>
              <w:bottom w:w="0" w:type="dxa"/>
              <w:right w:w="78" w:type="dxa"/>
            </w:tcMar>
            <w:vAlign w:val="bottom"/>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i/>
                <w:sz w:val="14"/>
                <w:szCs w:val="16"/>
              </w:rPr>
            </w:pPr>
            <w:r>
              <w:rPr>
                <w:rFonts w:ascii="Segoe UI" w:hAnsi="Segoe UI" w:cs="Segoe UI"/>
                <w:i/>
                <w:sz w:val="14"/>
                <w:szCs w:val="16"/>
              </w:rPr>
              <w:t>--</w:t>
            </w:r>
          </w:p>
        </w:tc>
      </w:tr>
      <w:tr w:rsidR="00553098" w:rsidRPr="00E95FD5" w:rsidTr="00250B3E">
        <w:trPr>
          <w:trHeight w:hRule="exact" w:val="227"/>
        </w:trPr>
        <w:tc>
          <w:tcPr>
            <w:tcW w:w="2152" w:type="pct"/>
            <w:tcBorders>
              <w:top w:val="nil"/>
              <w:left w:val="nil"/>
              <w:bottom w:val="nil"/>
              <w:right w:val="nil"/>
            </w:tcBorders>
            <w:shd w:val="clear" w:color="auto" w:fill="F2F2F2"/>
            <w:tcMar>
              <w:top w:w="15" w:type="dxa"/>
              <w:left w:w="42" w:type="dxa"/>
              <w:bottom w:w="0" w:type="dxa"/>
              <w:right w:w="15" w:type="dxa"/>
            </w:tcMar>
            <w:vAlign w:val="center"/>
            <w:hideMark/>
          </w:tcPr>
          <w:p w:rsidR="00553098" w:rsidRPr="00E95FD5" w:rsidRDefault="00553098" w:rsidP="00553098">
            <w:pPr>
              <w:textAlignment w:val="center"/>
              <w:rPr>
                <w:rFonts w:ascii="Segoe UI" w:eastAsia="Times New Roman" w:hAnsi="Segoe UI" w:cs="Segoe UI"/>
                <w:sz w:val="14"/>
                <w:szCs w:val="14"/>
                <w:lang w:eastAsia="el-GR"/>
              </w:rPr>
            </w:pPr>
            <w:r w:rsidRPr="00E95FD5">
              <w:rPr>
                <w:rFonts w:ascii="Segoe UI" w:eastAsia="Segoe UI" w:hAnsi="Segoe UI" w:cs="Segoe UI"/>
                <w:b/>
                <w:bCs/>
                <w:color w:val="000000"/>
                <w:kern w:val="24"/>
                <w:sz w:val="14"/>
                <w:szCs w:val="14"/>
                <w:lang w:eastAsia="el-GR"/>
              </w:rPr>
              <w:t xml:space="preserve">Καθαρά λειτουργικά έσοδα </w:t>
            </w:r>
          </w:p>
        </w:tc>
        <w:tc>
          <w:tcPr>
            <w:tcW w:w="475" w:type="pct"/>
            <w:tcBorders>
              <w:top w:val="nil"/>
              <w:bottom w:val="nil"/>
            </w:tcBorders>
            <w:shd w:val="clear" w:color="000000" w:fill="F2F2F2"/>
            <w:vAlign w:val="center"/>
          </w:tcPr>
          <w:p w:rsidR="00553098" w:rsidRPr="00553098" w:rsidRDefault="00553098" w:rsidP="00553098">
            <w:pPr>
              <w:pStyle w:val="NormalWeb"/>
              <w:spacing w:before="0" w:beforeAutospacing="0" w:after="0" w:afterAutospacing="0"/>
              <w:ind w:right="148"/>
              <w:jc w:val="right"/>
              <w:textAlignment w:val="center"/>
              <w:rPr>
                <w:rFonts w:ascii="Segoe UI" w:hAnsi="Segoe UI" w:cs="Segoe UI"/>
                <w:b/>
                <w:sz w:val="14"/>
                <w:szCs w:val="16"/>
              </w:rPr>
            </w:pPr>
            <w:r w:rsidRPr="00553098">
              <w:rPr>
                <w:rFonts w:ascii="Segoe UI" w:hAnsi="Segoe UI" w:cs="Segoe UI"/>
                <w:b/>
                <w:sz w:val="14"/>
                <w:szCs w:val="16"/>
              </w:rPr>
              <w:t>1.176</w:t>
            </w:r>
          </w:p>
        </w:tc>
        <w:tc>
          <w:tcPr>
            <w:tcW w:w="475" w:type="pct"/>
            <w:tcBorders>
              <w:top w:val="nil"/>
              <w:bottom w:val="nil"/>
            </w:tcBorders>
            <w:shd w:val="clear" w:color="000000" w:fill="F2F2F2"/>
            <w:vAlign w:val="center"/>
          </w:tcPr>
          <w:p w:rsidR="00553098" w:rsidRPr="00553098" w:rsidRDefault="00553098" w:rsidP="00553098">
            <w:pPr>
              <w:pStyle w:val="NormalWeb"/>
              <w:spacing w:before="0" w:beforeAutospacing="0" w:after="0" w:afterAutospacing="0"/>
              <w:ind w:right="148"/>
              <w:jc w:val="right"/>
              <w:textAlignment w:val="center"/>
              <w:rPr>
                <w:rFonts w:ascii="Segoe UI" w:hAnsi="Segoe UI" w:cs="Segoe UI"/>
                <w:b/>
                <w:sz w:val="14"/>
                <w:szCs w:val="16"/>
              </w:rPr>
            </w:pPr>
            <w:r w:rsidRPr="00553098">
              <w:rPr>
                <w:rFonts w:ascii="Segoe UI" w:hAnsi="Segoe UI" w:cs="Segoe UI"/>
                <w:b/>
                <w:sz w:val="14"/>
                <w:szCs w:val="16"/>
              </w:rPr>
              <w:t>1</w:t>
            </w:r>
            <w:r>
              <w:rPr>
                <w:rFonts w:ascii="Segoe UI" w:hAnsi="Segoe UI" w:cs="Segoe UI"/>
                <w:b/>
                <w:sz w:val="14"/>
                <w:szCs w:val="16"/>
              </w:rPr>
              <w:t>.</w:t>
            </w:r>
            <w:r w:rsidRPr="00553098">
              <w:rPr>
                <w:rFonts w:ascii="Segoe UI" w:hAnsi="Segoe UI" w:cs="Segoe UI"/>
                <w:b/>
                <w:sz w:val="14"/>
                <w:szCs w:val="16"/>
              </w:rPr>
              <w:t xml:space="preserve">460 </w:t>
            </w:r>
          </w:p>
        </w:tc>
        <w:tc>
          <w:tcPr>
            <w:tcW w:w="475" w:type="pct"/>
            <w:tcBorders>
              <w:top w:val="nil"/>
              <w:bottom w:val="nil"/>
            </w:tcBorders>
            <w:shd w:val="clear" w:color="000000" w:fill="F2F2F2"/>
            <w:vAlign w:val="center"/>
          </w:tcPr>
          <w:p w:rsidR="00553098" w:rsidRPr="00553098" w:rsidRDefault="00553098" w:rsidP="00553098">
            <w:pPr>
              <w:pStyle w:val="NormalWeb"/>
              <w:spacing w:before="0" w:beforeAutospacing="0" w:after="0" w:afterAutospacing="0"/>
              <w:ind w:right="148"/>
              <w:jc w:val="right"/>
              <w:textAlignment w:val="center"/>
              <w:rPr>
                <w:rFonts w:ascii="Segoe UI" w:hAnsi="Segoe UI" w:cs="Segoe UI"/>
                <w:b/>
                <w:i/>
                <w:sz w:val="14"/>
                <w:szCs w:val="16"/>
              </w:rPr>
            </w:pPr>
            <w:r w:rsidRPr="00553098">
              <w:rPr>
                <w:rFonts w:ascii="Segoe UI" w:hAnsi="Segoe UI" w:cs="Segoe UI"/>
                <w:b/>
                <w:i/>
                <w:sz w:val="14"/>
                <w:szCs w:val="16"/>
              </w:rPr>
              <w:t>-19%</w:t>
            </w:r>
          </w:p>
        </w:tc>
        <w:tc>
          <w:tcPr>
            <w:tcW w:w="475" w:type="pct"/>
            <w:tcBorders>
              <w:top w:val="nil"/>
              <w:bottom w:val="nil"/>
            </w:tcBorders>
            <w:shd w:val="clear" w:color="000000" w:fill="F2F2F2"/>
            <w:vAlign w:val="center"/>
          </w:tcPr>
          <w:p w:rsidR="00553098" w:rsidRPr="00553098" w:rsidRDefault="00553098" w:rsidP="00553098">
            <w:pPr>
              <w:pStyle w:val="NormalWeb"/>
              <w:spacing w:before="0" w:beforeAutospacing="0" w:after="0" w:afterAutospacing="0"/>
              <w:ind w:right="148"/>
              <w:jc w:val="right"/>
              <w:textAlignment w:val="center"/>
              <w:rPr>
                <w:rFonts w:ascii="Segoe UI" w:hAnsi="Segoe UI" w:cs="Segoe UI"/>
                <w:b/>
                <w:sz w:val="14"/>
                <w:szCs w:val="16"/>
              </w:rPr>
            </w:pPr>
            <w:r w:rsidRPr="00553098">
              <w:rPr>
                <w:rFonts w:ascii="Segoe UI" w:hAnsi="Segoe UI" w:cs="Segoe UI"/>
                <w:b/>
                <w:sz w:val="14"/>
                <w:szCs w:val="16"/>
              </w:rPr>
              <w:t xml:space="preserve">325 </w:t>
            </w:r>
          </w:p>
        </w:tc>
        <w:tc>
          <w:tcPr>
            <w:tcW w:w="475" w:type="pct"/>
            <w:tcBorders>
              <w:top w:val="nil"/>
              <w:bottom w:val="nil"/>
              <w:right w:val="nil"/>
            </w:tcBorders>
            <w:shd w:val="clear" w:color="000000" w:fill="F2F2F2"/>
            <w:vAlign w:val="center"/>
          </w:tcPr>
          <w:p w:rsidR="00553098" w:rsidRPr="00553098" w:rsidRDefault="00553098" w:rsidP="00553098">
            <w:pPr>
              <w:pStyle w:val="NormalWeb"/>
              <w:spacing w:before="0" w:beforeAutospacing="0" w:after="0" w:afterAutospacing="0"/>
              <w:ind w:right="148"/>
              <w:jc w:val="right"/>
              <w:textAlignment w:val="center"/>
              <w:rPr>
                <w:rFonts w:ascii="Segoe UI" w:hAnsi="Segoe UI" w:cs="Segoe UI"/>
                <w:b/>
                <w:sz w:val="14"/>
                <w:szCs w:val="16"/>
              </w:rPr>
            </w:pPr>
            <w:r w:rsidRPr="00553098">
              <w:rPr>
                <w:rFonts w:ascii="Segoe UI" w:hAnsi="Segoe UI" w:cs="Segoe UI"/>
                <w:b/>
                <w:sz w:val="14"/>
                <w:szCs w:val="16"/>
              </w:rPr>
              <w:t xml:space="preserve">852 </w:t>
            </w:r>
          </w:p>
        </w:tc>
        <w:tc>
          <w:tcPr>
            <w:tcW w:w="473" w:type="pct"/>
            <w:tcBorders>
              <w:top w:val="nil"/>
              <w:left w:val="nil"/>
              <w:bottom w:val="nil"/>
              <w:right w:val="nil"/>
            </w:tcBorders>
            <w:shd w:val="clear" w:color="000000" w:fill="F2F2F2"/>
            <w:tcMar>
              <w:top w:w="15" w:type="dxa"/>
              <w:left w:w="15" w:type="dxa"/>
              <w:bottom w:w="0" w:type="dxa"/>
              <w:right w:w="78" w:type="dxa"/>
            </w:tcMar>
            <w:vAlign w:val="bottom"/>
          </w:tcPr>
          <w:p w:rsidR="00553098" w:rsidRPr="00553098" w:rsidRDefault="00553098" w:rsidP="00553098">
            <w:pPr>
              <w:pStyle w:val="NormalWeb"/>
              <w:spacing w:before="0" w:beforeAutospacing="0" w:after="0" w:afterAutospacing="0"/>
              <w:ind w:right="148"/>
              <w:jc w:val="right"/>
              <w:textAlignment w:val="center"/>
              <w:rPr>
                <w:rFonts w:ascii="Segoe UI" w:hAnsi="Segoe UI" w:cs="Segoe UI"/>
                <w:b/>
                <w:i/>
                <w:sz w:val="14"/>
                <w:szCs w:val="16"/>
              </w:rPr>
            </w:pPr>
            <w:r w:rsidRPr="00553098">
              <w:rPr>
                <w:rFonts w:ascii="Segoe UI" w:hAnsi="Segoe UI" w:cs="Segoe UI"/>
                <w:b/>
                <w:i/>
                <w:sz w:val="14"/>
                <w:szCs w:val="16"/>
              </w:rPr>
              <w:t>-62%</w:t>
            </w:r>
          </w:p>
        </w:tc>
      </w:tr>
      <w:tr w:rsidR="00553098" w:rsidRPr="00E95FD5" w:rsidTr="00250B3E">
        <w:trPr>
          <w:trHeight w:hRule="exact" w:val="227"/>
        </w:trPr>
        <w:tc>
          <w:tcPr>
            <w:tcW w:w="2152" w:type="pct"/>
            <w:tcBorders>
              <w:top w:val="nil"/>
              <w:left w:val="nil"/>
              <w:bottom w:val="nil"/>
              <w:right w:val="nil"/>
            </w:tcBorders>
            <w:shd w:val="clear" w:color="auto" w:fill="auto"/>
            <w:tcMar>
              <w:top w:w="15" w:type="dxa"/>
              <w:left w:w="42" w:type="dxa"/>
              <w:bottom w:w="0" w:type="dxa"/>
              <w:right w:w="15" w:type="dxa"/>
            </w:tcMar>
            <w:vAlign w:val="center"/>
            <w:hideMark/>
          </w:tcPr>
          <w:p w:rsidR="00553098" w:rsidRPr="00E95FD5" w:rsidRDefault="00553098" w:rsidP="00553098">
            <w:pPr>
              <w:textAlignment w:val="center"/>
              <w:rPr>
                <w:rFonts w:ascii="Segoe UI" w:eastAsia="Times New Roman" w:hAnsi="Segoe UI" w:cs="Segoe UI"/>
                <w:sz w:val="14"/>
                <w:szCs w:val="14"/>
                <w:lang w:eastAsia="el-GR"/>
              </w:rPr>
            </w:pPr>
            <w:r w:rsidRPr="00E95FD5">
              <w:rPr>
                <w:rFonts w:ascii="Segoe UI" w:eastAsia="Segoe UI" w:hAnsi="Segoe UI" w:cs="Segoe UI"/>
                <w:color w:val="000000"/>
                <w:kern w:val="24"/>
                <w:sz w:val="14"/>
                <w:szCs w:val="14"/>
                <w:lang w:eastAsia="el-GR"/>
              </w:rPr>
              <w:t>Λειτουργικές δαπάνες</w:t>
            </w:r>
          </w:p>
        </w:tc>
        <w:tc>
          <w:tcPr>
            <w:tcW w:w="475" w:type="pct"/>
            <w:tcBorders>
              <w:top w:val="nil"/>
              <w:bottom w:val="nil"/>
            </w:tcBorders>
            <w:vAlign w:val="center"/>
          </w:tcPr>
          <w:p w:rsidR="00553098" w:rsidRPr="00553098" w:rsidRDefault="00553098" w:rsidP="00553098">
            <w:pPr>
              <w:pStyle w:val="NormalWeb"/>
              <w:spacing w:before="0" w:beforeAutospacing="0" w:after="0" w:afterAutospacing="0"/>
              <w:ind w:right="148"/>
              <w:jc w:val="right"/>
              <w:textAlignment w:val="center"/>
              <w:rPr>
                <w:rFonts w:ascii="Segoe UI" w:hAnsi="Segoe UI" w:cs="Segoe UI"/>
                <w:sz w:val="14"/>
                <w:szCs w:val="16"/>
              </w:rPr>
            </w:pPr>
            <w:r w:rsidRPr="00553098">
              <w:rPr>
                <w:rFonts w:ascii="Segoe UI" w:hAnsi="Segoe UI" w:cs="Segoe UI"/>
                <w:sz w:val="14"/>
                <w:szCs w:val="16"/>
              </w:rPr>
              <w:t xml:space="preserve">(373) </w:t>
            </w:r>
          </w:p>
        </w:tc>
        <w:tc>
          <w:tcPr>
            <w:tcW w:w="475" w:type="pct"/>
            <w:tcBorders>
              <w:top w:val="nil"/>
              <w:bottom w:val="nil"/>
            </w:tcBorders>
            <w:vAlign w:val="center"/>
          </w:tcPr>
          <w:p w:rsidR="00553098" w:rsidRPr="00553098" w:rsidRDefault="00553098" w:rsidP="00553098">
            <w:pPr>
              <w:pStyle w:val="NormalWeb"/>
              <w:spacing w:before="0" w:beforeAutospacing="0" w:after="0" w:afterAutospacing="0"/>
              <w:ind w:right="148"/>
              <w:jc w:val="right"/>
              <w:textAlignment w:val="center"/>
              <w:rPr>
                <w:rFonts w:ascii="Segoe UI" w:hAnsi="Segoe UI" w:cs="Segoe UI"/>
                <w:sz w:val="14"/>
                <w:szCs w:val="16"/>
              </w:rPr>
            </w:pPr>
            <w:r w:rsidRPr="00553098">
              <w:rPr>
                <w:rFonts w:ascii="Segoe UI" w:hAnsi="Segoe UI" w:cs="Segoe UI"/>
                <w:sz w:val="14"/>
                <w:szCs w:val="16"/>
              </w:rPr>
              <w:t xml:space="preserve">(406) </w:t>
            </w:r>
          </w:p>
        </w:tc>
        <w:tc>
          <w:tcPr>
            <w:tcW w:w="475" w:type="pct"/>
            <w:tcBorders>
              <w:top w:val="nil"/>
              <w:bottom w:val="nil"/>
            </w:tcBorders>
            <w:vAlign w:val="center"/>
          </w:tcPr>
          <w:p w:rsidR="00553098" w:rsidRPr="00553098" w:rsidRDefault="00553098" w:rsidP="00553098">
            <w:pPr>
              <w:pStyle w:val="NormalWeb"/>
              <w:spacing w:before="0" w:beforeAutospacing="0" w:after="0" w:afterAutospacing="0"/>
              <w:ind w:right="148"/>
              <w:jc w:val="right"/>
              <w:textAlignment w:val="center"/>
              <w:rPr>
                <w:rFonts w:ascii="Segoe UI" w:hAnsi="Segoe UI" w:cs="Segoe UI"/>
                <w:i/>
                <w:sz w:val="14"/>
                <w:szCs w:val="16"/>
              </w:rPr>
            </w:pPr>
            <w:r w:rsidRPr="00553098">
              <w:rPr>
                <w:rFonts w:ascii="Segoe UI" w:hAnsi="Segoe UI" w:cs="Segoe UI"/>
                <w:i/>
                <w:sz w:val="14"/>
                <w:szCs w:val="16"/>
              </w:rPr>
              <w:t>-8%</w:t>
            </w:r>
          </w:p>
        </w:tc>
        <w:tc>
          <w:tcPr>
            <w:tcW w:w="475" w:type="pct"/>
            <w:tcBorders>
              <w:top w:val="nil"/>
              <w:bottom w:val="nil"/>
            </w:tcBorders>
            <w:vAlign w:val="center"/>
          </w:tcPr>
          <w:p w:rsidR="00553098" w:rsidRPr="00553098" w:rsidRDefault="00553098" w:rsidP="00553098">
            <w:pPr>
              <w:pStyle w:val="NormalWeb"/>
              <w:spacing w:before="0" w:beforeAutospacing="0" w:after="0" w:afterAutospacing="0"/>
              <w:ind w:right="148"/>
              <w:jc w:val="right"/>
              <w:textAlignment w:val="center"/>
              <w:rPr>
                <w:rFonts w:ascii="Segoe UI" w:hAnsi="Segoe UI" w:cs="Segoe UI"/>
                <w:sz w:val="14"/>
                <w:szCs w:val="16"/>
              </w:rPr>
            </w:pPr>
            <w:r w:rsidRPr="00553098">
              <w:rPr>
                <w:rFonts w:ascii="Segoe UI" w:hAnsi="Segoe UI" w:cs="Segoe UI"/>
                <w:sz w:val="14"/>
                <w:szCs w:val="16"/>
              </w:rPr>
              <w:t xml:space="preserve">(185) </w:t>
            </w:r>
          </w:p>
        </w:tc>
        <w:tc>
          <w:tcPr>
            <w:tcW w:w="475" w:type="pct"/>
            <w:tcBorders>
              <w:top w:val="nil"/>
              <w:bottom w:val="nil"/>
              <w:right w:val="nil"/>
            </w:tcBorders>
            <w:shd w:val="clear" w:color="auto" w:fill="auto"/>
            <w:vAlign w:val="center"/>
          </w:tcPr>
          <w:p w:rsidR="00553098" w:rsidRPr="00553098" w:rsidRDefault="00553098" w:rsidP="00553098">
            <w:pPr>
              <w:pStyle w:val="NormalWeb"/>
              <w:spacing w:before="0" w:beforeAutospacing="0" w:after="0" w:afterAutospacing="0"/>
              <w:ind w:right="148"/>
              <w:jc w:val="right"/>
              <w:textAlignment w:val="center"/>
              <w:rPr>
                <w:rFonts w:ascii="Segoe UI" w:hAnsi="Segoe UI" w:cs="Segoe UI"/>
                <w:sz w:val="14"/>
                <w:szCs w:val="16"/>
              </w:rPr>
            </w:pPr>
            <w:r w:rsidRPr="00553098">
              <w:rPr>
                <w:rFonts w:ascii="Segoe UI" w:hAnsi="Segoe UI" w:cs="Segoe UI"/>
                <w:sz w:val="14"/>
                <w:szCs w:val="16"/>
              </w:rPr>
              <w:t xml:space="preserve">(189) </w:t>
            </w:r>
          </w:p>
        </w:tc>
        <w:tc>
          <w:tcPr>
            <w:tcW w:w="473" w:type="pct"/>
            <w:tcBorders>
              <w:top w:val="nil"/>
              <w:left w:val="nil"/>
              <w:bottom w:val="nil"/>
              <w:right w:val="nil"/>
            </w:tcBorders>
            <w:shd w:val="clear" w:color="auto" w:fill="auto"/>
            <w:tcMar>
              <w:top w:w="15" w:type="dxa"/>
              <w:left w:w="15" w:type="dxa"/>
              <w:bottom w:w="0" w:type="dxa"/>
              <w:right w:w="78" w:type="dxa"/>
            </w:tcMar>
            <w:vAlign w:val="bottom"/>
          </w:tcPr>
          <w:p w:rsidR="00553098" w:rsidRPr="00553098" w:rsidRDefault="00553098" w:rsidP="00553098">
            <w:pPr>
              <w:pStyle w:val="NormalWeb"/>
              <w:spacing w:before="0" w:beforeAutospacing="0" w:after="0" w:afterAutospacing="0"/>
              <w:ind w:right="148"/>
              <w:jc w:val="right"/>
              <w:textAlignment w:val="center"/>
              <w:rPr>
                <w:rFonts w:ascii="Segoe UI" w:hAnsi="Segoe UI" w:cs="Segoe UI"/>
                <w:i/>
                <w:sz w:val="14"/>
                <w:szCs w:val="16"/>
              </w:rPr>
            </w:pPr>
            <w:r w:rsidRPr="00553098">
              <w:rPr>
                <w:rFonts w:ascii="Segoe UI" w:hAnsi="Segoe UI" w:cs="Segoe UI"/>
                <w:i/>
                <w:sz w:val="14"/>
                <w:szCs w:val="16"/>
              </w:rPr>
              <w:t>-2%</w:t>
            </w:r>
          </w:p>
        </w:tc>
      </w:tr>
      <w:tr w:rsidR="00553098" w:rsidRPr="00E95FD5" w:rsidTr="00250B3E">
        <w:trPr>
          <w:trHeight w:hRule="exact" w:val="227"/>
        </w:trPr>
        <w:tc>
          <w:tcPr>
            <w:tcW w:w="2152" w:type="pct"/>
            <w:tcBorders>
              <w:top w:val="nil"/>
              <w:left w:val="nil"/>
              <w:bottom w:val="nil"/>
              <w:right w:val="nil"/>
            </w:tcBorders>
            <w:shd w:val="clear" w:color="auto" w:fill="F2F2F2"/>
            <w:tcMar>
              <w:top w:w="15" w:type="dxa"/>
              <w:left w:w="42" w:type="dxa"/>
              <w:bottom w:w="0" w:type="dxa"/>
              <w:right w:w="15" w:type="dxa"/>
            </w:tcMar>
            <w:vAlign w:val="center"/>
            <w:hideMark/>
          </w:tcPr>
          <w:p w:rsidR="00553098" w:rsidRPr="00E95FD5" w:rsidRDefault="00553098" w:rsidP="00553098">
            <w:pPr>
              <w:textAlignment w:val="center"/>
              <w:rPr>
                <w:rFonts w:ascii="Segoe UI" w:eastAsia="Times New Roman" w:hAnsi="Segoe UI" w:cs="Segoe UI"/>
                <w:sz w:val="14"/>
                <w:szCs w:val="14"/>
                <w:lang w:eastAsia="el-GR"/>
              </w:rPr>
            </w:pPr>
            <w:r w:rsidRPr="00E95FD5">
              <w:rPr>
                <w:rFonts w:ascii="Segoe UI" w:eastAsia="Segoe UI" w:hAnsi="Segoe UI" w:cs="Segoe UI"/>
                <w:b/>
                <w:bCs/>
                <w:color w:val="000000"/>
                <w:kern w:val="24"/>
                <w:sz w:val="14"/>
                <w:szCs w:val="14"/>
                <w:lang w:eastAsia="el-GR"/>
              </w:rPr>
              <w:t xml:space="preserve">Οργανικά κέρδη / (ζημίες) προ προβλέψεων </w:t>
            </w:r>
          </w:p>
        </w:tc>
        <w:tc>
          <w:tcPr>
            <w:tcW w:w="475" w:type="pct"/>
            <w:tcBorders>
              <w:top w:val="nil"/>
              <w:bottom w:val="nil"/>
            </w:tcBorders>
            <w:shd w:val="clear" w:color="000000" w:fill="F2F2F2"/>
            <w:vAlign w:val="center"/>
          </w:tcPr>
          <w:p w:rsidR="00553098" w:rsidRPr="00553098" w:rsidRDefault="00553098" w:rsidP="00553098">
            <w:pPr>
              <w:pStyle w:val="NormalWeb"/>
              <w:spacing w:before="0" w:beforeAutospacing="0" w:after="0" w:afterAutospacing="0"/>
              <w:ind w:right="148"/>
              <w:jc w:val="right"/>
              <w:textAlignment w:val="center"/>
              <w:rPr>
                <w:rFonts w:ascii="Segoe UI" w:hAnsi="Segoe UI" w:cs="Segoe UI"/>
                <w:b/>
                <w:sz w:val="14"/>
                <w:szCs w:val="16"/>
                <w:lang w:val="en-US"/>
              </w:rPr>
            </w:pPr>
            <w:r w:rsidRPr="00553098">
              <w:rPr>
                <w:rFonts w:ascii="Segoe UI" w:hAnsi="Segoe UI" w:cs="Segoe UI"/>
                <w:b/>
                <w:sz w:val="14"/>
                <w:szCs w:val="16"/>
                <w:lang w:val="en-US"/>
              </w:rPr>
              <w:t xml:space="preserve">354 </w:t>
            </w:r>
          </w:p>
        </w:tc>
        <w:tc>
          <w:tcPr>
            <w:tcW w:w="475" w:type="pct"/>
            <w:tcBorders>
              <w:top w:val="nil"/>
              <w:bottom w:val="nil"/>
            </w:tcBorders>
            <w:shd w:val="clear" w:color="000000" w:fill="F2F2F2"/>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b/>
                <w:sz w:val="14"/>
                <w:szCs w:val="16"/>
                <w:lang w:val="en-US"/>
              </w:rPr>
            </w:pPr>
            <w:r w:rsidRPr="00CF19D1">
              <w:rPr>
                <w:rFonts w:ascii="Segoe UI" w:hAnsi="Segoe UI" w:cs="Segoe UI"/>
                <w:b/>
                <w:sz w:val="14"/>
                <w:szCs w:val="16"/>
                <w:lang w:val="en-US"/>
              </w:rPr>
              <w:t xml:space="preserve">268 </w:t>
            </w:r>
          </w:p>
        </w:tc>
        <w:tc>
          <w:tcPr>
            <w:tcW w:w="475" w:type="pct"/>
            <w:tcBorders>
              <w:top w:val="nil"/>
              <w:bottom w:val="nil"/>
            </w:tcBorders>
            <w:shd w:val="clear" w:color="000000" w:fill="F2F2F2"/>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b/>
                <w:i/>
                <w:sz w:val="14"/>
                <w:szCs w:val="16"/>
                <w:lang w:val="en-US"/>
              </w:rPr>
            </w:pPr>
            <w:r w:rsidRPr="00CF19D1">
              <w:rPr>
                <w:rFonts w:ascii="Segoe UI" w:hAnsi="Segoe UI" w:cs="Segoe UI"/>
                <w:b/>
                <w:i/>
                <w:sz w:val="14"/>
                <w:szCs w:val="16"/>
                <w:lang w:val="en-US"/>
              </w:rPr>
              <w:t>32%</w:t>
            </w:r>
          </w:p>
        </w:tc>
        <w:tc>
          <w:tcPr>
            <w:tcW w:w="475" w:type="pct"/>
            <w:tcBorders>
              <w:top w:val="nil"/>
              <w:bottom w:val="nil"/>
            </w:tcBorders>
            <w:shd w:val="clear" w:color="000000" w:fill="F2F2F2"/>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b/>
                <w:sz w:val="14"/>
                <w:szCs w:val="16"/>
                <w:lang w:val="en-US"/>
              </w:rPr>
            </w:pPr>
            <w:r w:rsidRPr="00CF19D1">
              <w:rPr>
                <w:rFonts w:ascii="Segoe UI" w:hAnsi="Segoe UI" w:cs="Segoe UI"/>
                <w:b/>
                <w:sz w:val="14"/>
                <w:szCs w:val="16"/>
                <w:lang w:val="en-US"/>
              </w:rPr>
              <w:t xml:space="preserve">182 </w:t>
            </w:r>
          </w:p>
        </w:tc>
        <w:tc>
          <w:tcPr>
            <w:tcW w:w="475" w:type="pct"/>
            <w:tcBorders>
              <w:top w:val="nil"/>
              <w:bottom w:val="nil"/>
              <w:right w:val="nil"/>
            </w:tcBorders>
            <w:shd w:val="clear" w:color="000000" w:fill="F2F2F2"/>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b/>
                <w:sz w:val="14"/>
                <w:szCs w:val="16"/>
                <w:lang w:val="en-US"/>
              </w:rPr>
            </w:pPr>
            <w:r w:rsidRPr="00CF19D1">
              <w:rPr>
                <w:rFonts w:ascii="Segoe UI" w:hAnsi="Segoe UI" w:cs="Segoe UI"/>
                <w:b/>
                <w:sz w:val="14"/>
                <w:szCs w:val="16"/>
                <w:lang w:val="en-US"/>
              </w:rPr>
              <w:t xml:space="preserve">172 </w:t>
            </w:r>
          </w:p>
        </w:tc>
        <w:tc>
          <w:tcPr>
            <w:tcW w:w="473" w:type="pct"/>
            <w:tcBorders>
              <w:top w:val="nil"/>
              <w:left w:val="nil"/>
              <w:bottom w:val="nil"/>
              <w:right w:val="nil"/>
            </w:tcBorders>
            <w:shd w:val="clear" w:color="000000" w:fill="F2F2F2"/>
            <w:tcMar>
              <w:top w:w="15" w:type="dxa"/>
              <w:left w:w="15" w:type="dxa"/>
              <w:bottom w:w="0" w:type="dxa"/>
              <w:right w:w="78" w:type="dxa"/>
            </w:tcMar>
            <w:vAlign w:val="bottom"/>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b/>
                <w:i/>
                <w:sz w:val="14"/>
                <w:szCs w:val="16"/>
                <w:lang w:val="en-US"/>
              </w:rPr>
            </w:pPr>
            <w:r w:rsidRPr="00CF19D1">
              <w:rPr>
                <w:rFonts w:ascii="Segoe UI" w:hAnsi="Segoe UI" w:cs="Segoe UI"/>
                <w:b/>
                <w:i/>
                <w:sz w:val="14"/>
                <w:szCs w:val="16"/>
                <w:lang w:val="en-US"/>
              </w:rPr>
              <w:t>6%</w:t>
            </w:r>
          </w:p>
        </w:tc>
      </w:tr>
      <w:tr w:rsidR="00553098" w:rsidRPr="00E95FD5" w:rsidTr="00250B3E">
        <w:trPr>
          <w:trHeight w:hRule="exact" w:val="227"/>
        </w:trPr>
        <w:tc>
          <w:tcPr>
            <w:tcW w:w="2152" w:type="pct"/>
            <w:tcBorders>
              <w:top w:val="nil"/>
              <w:left w:val="nil"/>
              <w:bottom w:val="nil"/>
              <w:right w:val="nil"/>
            </w:tcBorders>
            <w:shd w:val="clear" w:color="auto" w:fill="F2F2F2"/>
            <w:tcMar>
              <w:top w:w="15" w:type="dxa"/>
              <w:left w:w="42" w:type="dxa"/>
              <w:bottom w:w="0" w:type="dxa"/>
              <w:right w:w="15" w:type="dxa"/>
            </w:tcMar>
            <w:vAlign w:val="center"/>
            <w:hideMark/>
          </w:tcPr>
          <w:p w:rsidR="00553098" w:rsidRPr="00E95FD5" w:rsidRDefault="00553098" w:rsidP="00553098">
            <w:pPr>
              <w:textAlignment w:val="center"/>
              <w:rPr>
                <w:rFonts w:ascii="Segoe UI" w:eastAsia="Times New Roman" w:hAnsi="Segoe UI" w:cs="Segoe UI"/>
                <w:sz w:val="14"/>
                <w:szCs w:val="14"/>
                <w:lang w:eastAsia="el-GR"/>
              </w:rPr>
            </w:pPr>
            <w:r w:rsidRPr="00E95FD5">
              <w:rPr>
                <w:rFonts w:ascii="Segoe UI" w:eastAsia="Segoe UI" w:hAnsi="Segoe UI" w:cs="Segoe UI"/>
                <w:b/>
                <w:bCs/>
                <w:color w:val="000000"/>
                <w:kern w:val="24"/>
                <w:sz w:val="14"/>
                <w:szCs w:val="14"/>
                <w:lang w:eastAsia="el-GR"/>
              </w:rPr>
              <w:t>Κέρδη / (ζημίες) προ προβλέψεων</w:t>
            </w:r>
          </w:p>
        </w:tc>
        <w:tc>
          <w:tcPr>
            <w:tcW w:w="475" w:type="pct"/>
            <w:tcBorders>
              <w:top w:val="nil"/>
              <w:bottom w:val="nil"/>
            </w:tcBorders>
            <w:shd w:val="clear" w:color="000000" w:fill="F2F2F2"/>
            <w:vAlign w:val="center"/>
          </w:tcPr>
          <w:p w:rsidR="00553098" w:rsidRPr="00553098" w:rsidRDefault="00553098" w:rsidP="00553098">
            <w:pPr>
              <w:pStyle w:val="NormalWeb"/>
              <w:spacing w:before="0" w:beforeAutospacing="0" w:after="0" w:afterAutospacing="0"/>
              <w:ind w:right="148"/>
              <w:jc w:val="right"/>
              <w:textAlignment w:val="center"/>
              <w:rPr>
                <w:rFonts w:ascii="Segoe UI" w:hAnsi="Segoe UI" w:cs="Segoe UI"/>
                <w:b/>
                <w:sz w:val="14"/>
                <w:szCs w:val="16"/>
                <w:lang w:val="en-US"/>
              </w:rPr>
            </w:pPr>
            <w:r w:rsidRPr="00553098">
              <w:rPr>
                <w:rFonts w:ascii="Segoe UI" w:hAnsi="Segoe UI" w:cs="Segoe UI"/>
                <w:b/>
                <w:sz w:val="14"/>
                <w:szCs w:val="16"/>
                <w:lang w:val="en-US"/>
              </w:rPr>
              <w:t xml:space="preserve">803 </w:t>
            </w:r>
          </w:p>
        </w:tc>
        <w:tc>
          <w:tcPr>
            <w:tcW w:w="475" w:type="pct"/>
            <w:tcBorders>
              <w:top w:val="nil"/>
              <w:bottom w:val="nil"/>
            </w:tcBorders>
            <w:shd w:val="clear" w:color="000000" w:fill="F2F2F2"/>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b/>
                <w:sz w:val="14"/>
                <w:szCs w:val="16"/>
                <w:lang w:val="en-US"/>
              </w:rPr>
            </w:pPr>
            <w:r w:rsidRPr="00CF19D1">
              <w:rPr>
                <w:rFonts w:ascii="Segoe UI" w:hAnsi="Segoe UI" w:cs="Segoe UI"/>
                <w:b/>
                <w:sz w:val="14"/>
                <w:szCs w:val="16"/>
                <w:lang w:val="en-US"/>
              </w:rPr>
              <w:t>1</w:t>
            </w:r>
            <w:r>
              <w:rPr>
                <w:rFonts w:ascii="Segoe UI" w:hAnsi="Segoe UI" w:cs="Segoe UI"/>
                <w:b/>
                <w:sz w:val="14"/>
                <w:szCs w:val="16"/>
              </w:rPr>
              <w:t>.</w:t>
            </w:r>
            <w:r w:rsidRPr="00CF19D1">
              <w:rPr>
                <w:rFonts w:ascii="Segoe UI" w:hAnsi="Segoe UI" w:cs="Segoe UI"/>
                <w:b/>
                <w:sz w:val="14"/>
                <w:szCs w:val="16"/>
                <w:lang w:val="en-US"/>
              </w:rPr>
              <w:t xml:space="preserve">054 </w:t>
            </w:r>
          </w:p>
        </w:tc>
        <w:tc>
          <w:tcPr>
            <w:tcW w:w="475" w:type="pct"/>
            <w:tcBorders>
              <w:top w:val="nil"/>
              <w:bottom w:val="nil"/>
            </w:tcBorders>
            <w:shd w:val="clear" w:color="000000" w:fill="F2F2F2"/>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b/>
                <w:i/>
                <w:sz w:val="14"/>
                <w:szCs w:val="16"/>
                <w:lang w:val="en-US"/>
              </w:rPr>
            </w:pPr>
            <w:r w:rsidRPr="00CF19D1">
              <w:rPr>
                <w:rFonts w:ascii="Segoe UI" w:hAnsi="Segoe UI" w:cs="Segoe UI"/>
                <w:b/>
                <w:i/>
                <w:sz w:val="14"/>
                <w:szCs w:val="16"/>
                <w:lang w:val="en-US"/>
              </w:rPr>
              <w:t>-24%</w:t>
            </w:r>
          </w:p>
        </w:tc>
        <w:tc>
          <w:tcPr>
            <w:tcW w:w="475" w:type="pct"/>
            <w:tcBorders>
              <w:top w:val="nil"/>
              <w:bottom w:val="nil"/>
            </w:tcBorders>
            <w:shd w:val="clear" w:color="000000" w:fill="F2F2F2"/>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b/>
                <w:sz w:val="14"/>
                <w:szCs w:val="16"/>
                <w:lang w:val="en-US"/>
              </w:rPr>
            </w:pPr>
            <w:r w:rsidRPr="00CF19D1">
              <w:rPr>
                <w:rFonts w:ascii="Segoe UI" w:hAnsi="Segoe UI" w:cs="Segoe UI"/>
                <w:b/>
                <w:sz w:val="14"/>
                <w:szCs w:val="16"/>
                <w:lang w:val="en-US"/>
              </w:rPr>
              <w:t>140</w:t>
            </w:r>
          </w:p>
        </w:tc>
        <w:tc>
          <w:tcPr>
            <w:tcW w:w="475" w:type="pct"/>
            <w:tcBorders>
              <w:top w:val="nil"/>
              <w:bottom w:val="nil"/>
              <w:right w:val="nil"/>
            </w:tcBorders>
            <w:shd w:val="clear" w:color="000000" w:fill="F2F2F2"/>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b/>
                <w:sz w:val="14"/>
                <w:szCs w:val="16"/>
                <w:lang w:val="en-US"/>
              </w:rPr>
            </w:pPr>
            <w:r w:rsidRPr="00CF19D1">
              <w:rPr>
                <w:rFonts w:ascii="Segoe UI" w:hAnsi="Segoe UI" w:cs="Segoe UI"/>
                <w:b/>
                <w:sz w:val="14"/>
                <w:szCs w:val="16"/>
                <w:lang w:val="en-US"/>
              </w:rPr>
              <w:t xml:space="preserve">663 </w:t>
            </w:r>
          </w:p>
        </w:tc>
        <w:tc>
          <w:tcPr>
            <w:tcW w:w="473" w:type="pct"/>
            <w:tcBorders>
              <w:top w:val="nil"/>
              <w:left w:val="nil"/>
              <w:bottom w:val="nil"/>
              <w:right w:val="nil"/>
            </w:tcBorders>
            <w:shd w:val="clear" w:color="000000" w:fill="F2F2F2"/>
            <w:tcMar>
              <w:top w:w="15" w:type="dxa"/>
              <w:left w:w="15" w:type="dxa"/>
              <w:bottom w:w="0" w:type="dxa"/>
              <w:right w:w="78" w:type="dxa"/>
            </w:tcMar>
            <w:vAlign w:val="bottom"/>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b/>
                <w:i/>
                <w:sz w:val="14"/>
                <w:szCs w:val="16"/>
                <w:lang w:val="en-US"/>
              </w:rPr>
            </w:pPr>
            <w:r w:rsidRPr="00CF19D1">
              <w:rPr>
                <w:rFonts w:ascii="Segoe UI" w:hAnsi="Segoe UI" w:cs="Segoe UI"/>
                <w:b/>
                <w:i/>
                <w:sz w:val="14"/>
                <w:szCs w:val="16"/>
                <w:lang w:val="en-US"/>
              </w:rPr>
              <w:t>-79%</w:t>
            </w:r>
          </w:p>
        </w:tc>
      </w:tr>
      <w:tr w:rsidR="00553098" w:rsidRPr="00E95FD5" w:rsidTr="00250B3E">
        <w:trPr>
          <w:trHeight w:hRule="exact" w:val="227"/>
        </w:trPr>
        <w:tc>
          <w:tcPr>
            <w:tcW w:w="2152" w:type="pct"/>
            <w:tcBorders>
              <w:top w:val="nil"/>
              <w:left w:val="nil"/>
              <w:bottom w:val="nil"/>
              <w:right w:val="nil"/>
            </w:tcBorders>
            <w:shd w:val="clear" w:color="auto" w:fill="auto"/>
            <w:tcMar>
              <w:top w:w="15" w:type="dxa"/>
              <w:left w:w="42" w:type="dxa"/>
              <w:bottom w:w="0" w:type="dxa"/>
              <w:right w:w="15" w:type="dxa"/>
            </w:tcMar>
            <w:vAlign w:val="center"/>
            <w:hideMark/>
          </w:tcPr>
          <w:p w:rsidR="00553098" w:rsidRPr="00E95FD5" w:rsidRDefault="00553098" w:rsidP="00553098">
            <w:pPr>
              <w:textAlignment w:val="center"/>
              <w:rPr>
                <w:rFonts w:ascii="Segoe UI" w:eastAsia="Times New Roman" w:hAnsi="Segoe UI" w:cs="Segoe UI"/>
                <w:sz w:val="14"/>
                <w:szCs w:val="14"/>
                <w:lang w:eastAsia="el-GR"/>
              </w:rPr>
            </w:pPr>
            <w:r w:rsidRPr="00E95FD5">
              <w:rPr>
                <w:rFonts w:ascii="Segoe UI" w:eastAsia="Segoe UI" w:hAnsi="Segoe UI" w:cs="Segoe UI"/>
                <w:color w:val="000000"/>
                <w:kern w:val="24"/>
                <w:sz w:val="14"/>
                <w:szCs w:val="14"/>
                <w:lang w:eastAsia="el-GR"/>
              </w:rPr>
              <w:t>Προβλέψεις για επισφαλή δάνεια</w:t>
            </w:r>
          </w:p>
        </w:tc>
        <w:tc>
          <w:tcPr>
            <w:tcW w:w="475" w:type="pct"/>
            <w:tcBorders>
              <w:top w:val="nil"/>
              <w:bottom w:val="nil"/>
            </w:tcBorders>
            <w:vAlign w:val="center"/>
          </w:tcPr>
          <w:p w:rsidR="00553098" w:rsidRPr="00553098" w:rsidRDefault="00553098" w:rsidP="00553098">
            <w:pPr>
              <w:pStyle w:val="NormalWeb"/>
              <w:spacing w:before="0" w:beforeAutospacing="0" w:after="0" w:afterAutospacing="0"/>
              <w:ind w:right="148"/>
              <w:jc w:val="right"/>
              <w:textAlignment w:val="center"/>
              <w:rPr>
                <w:rFonts w:ascii="Segoe UI" w:hAnsi="Segoe UI" w:cs="Segoe UI"/>
                <w:sz w:val="14"/>
                <w:szCs w:val="16"/>
                <w:lang w:val="en-US"/>
              </w:rPr>
            </w:pPr>
            <w:r w:rsidRPr="00553098">
              <w:rPr>
                <w:rFonts w:ascii="Segoe UI" w:hAnsi="Segoe UI" w:cs="Segoe UI"/>
                <w:sz w:val="14"/>
                <w:szCs w:val="16"/>
                <w:lang w:val="en-US"/>
              </w:rPr>
              <w:t xml:space="preserve">(147) </w:t>
            </w:r>
          </w:p>
        </w:tc>
        <w:tc>
          <w:tcPr>
            <w:tcW w:w="475" w:type="pct"/>
            <w:tcBorders>
              <w:top w:val="nil"/>
              <w:bottom w:val="nil"/>
            </w:tcBorders>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sz w:val="14"/>
                <w:szCs w:val="16"/>
                <w:lang w:val="en-US"/>
              </w:rPr>
            </w:pPr>
            <w:r w:rsidRPr="00CF19D1">
              <w:rPr>
                <w:rFonts w:ascii="Segoe UI" w:hAnsi="Segoe UI" w:cs="Segoe UI"/>
                <w:sz w:val="14"/>
                <w:szCs w:val="16"/>
                <w:lang w:val="en-US"/>
              </w:rPr>
              <w:t xml:space="preserve">(562) </w:t>
            </w:r>
          </w:p>
        </w:tc>
        <w:tc>
          <w:tcPr>
            <w:tcW w:w="475" w:type="pct"/>
            <w:tcBorders>
              <w:top w:val="nil"/>
              <w:bottom w:val="nil"/>
            </w:tcBorders>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i/>
                <w:sz w:val="14"/>
                <w:szCs w:val="16"/>
                <w:lang w:val="en-US"/>
              </w:rPr>
            </w:pPr>
            <w:r w:rsidRPr="00CF19D1">
              <w:rPr>
                <w:rFonts w:ascii="Segoe UI" w:hAnsi="Segoe UI" w:cs="Segoe UI"/>
                <w:i/>
                <w:sz w:val="14"/>
                <w:szCs w:val="16"/>
                <w:lang w:val="en-US"/>
              </w:rPr>
              <w:t>-74%</w:t>
            </w:r>
          </w:p>
        </w:tc>
        <w:tc>
          <w:tcPr>
            <w:tcW w:w="475" w:type="pct"/>
            <w:tcBorders>
              <w:top w:val="nil"/>
              <w:bottom w:val="nil"/>
            </w:tcBorders>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sz w:val="14"/>
                <w:szCs w:val="16"/>
                <w:lang w:val="en-US"/>
              </w:rPr>
            </w:pPr>
            <w:r w:rsidRPr="00CF19D1">
              <w:rPr>
                <w:rFonts w:ascii="Segoe UI" w:hAnsi="Segoe UI" w:cs="Segoe UI"/>
                <w:sz w:val="14"/>
                <w:szCs w:val="16"/>
                <w:lang w:val="en-US"/>
              </w:rPr>
              <w:t xml:space="preserve">(70) </w:t>
            </w:r>
          </w:p>
        </w:tc>
        <w:tc>
          <w:tcPr>
            <w:tcW w:w="475" w:type="pct"/>
            <w:tcBorders>
              <w:top w:val="nil"/>
              <w:bottom w:val="nil"/>
              <w:right w:val="nil"/>
            </w:tcBorders>
            <w:shd w:val="clear" w:color="auto" w:fill="auto"/>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sz w:val="14"/>
                <w:szCs w:val="16"/>
                <w:lang w:val="en-US"/>
              </w:rPr>
            </w:pPr>
            <w:r w:rsidRPr="00CF19D1">
              <w:rPr>
                <w:rFonts w:ascii="Segoe UI" w:hAnsi="Segoe UI" w:cs="Segoe UI"/>
                <w:sz w:val="14"/>
                <w:szCs w:val="16"/>
                <w:lang w:val="en-US"/>
              </w:rPr>
              <w:t xml:space="preserve">(77) </w:t>
            </w:r>
          </w:p>
        </w:tc>
        <w:tc>
          <w:tcPr>
            <w:tcW w:w="473" w:type="pct"/>
            <w:tcBorders>
              <w:top w:val="nil"/>
              <w:left w:val="nil"/>
              <w:bottom w:val="nil"/>
              <w:right w:val="nil"/>
            </w:tcBorders>
            <w:shd w:val="clear" w:color="auto" w:fill="auto"/>
            <w:tcMar>
              <w:top w:w="15" w:type="dxa"/>
              <w:left w:w="15" w:type="dxa"/>
              <w:bottom w:w="0" w:type="dxa"/>
              <w:right w:w="78" w:type="dxa"/>
            </w:tcMar>
            <w:vAlign w:val="bottom"/>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i/>
                <w:sz w:val="14"/>
                <w:szCs w:val="16"/>
                <w:lang w:val="en-US"/>
              </w:rPr>
            </w:pPr>
            <w:r w:rsidRPr="00CF19D1">
              <w:rPr>
                <w:rFonts w:ascii="Segoe UI" w:hAnsi="Segoe UI" w:cs="Segoe UI"/>
                <w:i/>
                <w:sz w:val="14"/>
                <w:szCs w:val="16"/>
                <w:lang w:val="en-US"/>
              </w:rPr>
              <w:t>-9%</w:t>
            </w:r>
          </w:p>
        </w:tc>
      </w:tr>
      <w:tr w:rsidR="00553098" w:rsidRPr="00E95FD5" w:rsidTr="00250B3E">
        <w:trPr>
          <w:trHeight w:hRule="exact" w:val="227"/>
        </w:trPr>
        <w:tc>
          <w:tcPr>
            <w:tcW w:w="2152" w:type="pct"/>
            <w:tcBorders>
              <w:top w:val="nil"/>
              <w:left w:val="nil"/>
              <w:bottom w:val="nil"/>
              <w:right w:val="nil"/>
            </w:tcBorders>
            <w:shd w:val="clear" w:color="auto" w:fill="auto"/>
            <w:tcMar>
              <w:top w:w="15" w:type="dxa"/>
              <w:left w:w="42" w:type="dxa"/>
              <w:bottom w:w="0" w:type="dxa"/>
              <w:right w:w="15" w:type="dxa"/>
            </w:tcMar>
            <w:vAlign w:val="center"/>
            <w:hideMark/>
          </w:tcPr>
          <w:p w:rsidR="00553098" w:rsidRPr="00E95FD5" w:rsidRDefault="00553098" w:rsidP="00553098">
            <w:pPr>
              <w:textAlignment w:val="center"/>
              <w:rPr>
                <w:rFonts w:ascii="Segoe UI" w:eastAsia="Times New Roman" w:hAnsi="Segoe UI" w:cs="Segoe UI"/>
                <w:sz w:val="14"/>
                <w:szCs w:val="14"/>
                <w:lang w:eastAsia="el-GR"/>
              </w:rPr>
            </w:pPr>
            <w:r w:rsidRPr="00E95FD5">
              <w:rPr>
                <w:rFonts w:ascii="Segoe UI" w:eastAsia="Segoe UI" w:hAnsi="Segoe UI" w:cs="Segoe UI"/>
                <w:b/>
                <w:bCs/>
                <w:color w:val="000000"/>
                <w:kern w:val="24"/>
                <w:sz w:val="14"/>
                <w:szCs w:val="14"/>
                <w:lang w:eastAsia="el-GR"/>
              </w:rPr>
              <w:t>Λειτουργικά κέρδη / (ζημίες)</w:t>
            </w:r>
          </w:p>
        </w:tc>
        <w:tc>
          <w:tcPr>
            <w:tcW w:w="475" w:type="pct"/>
            <w:tcBorders>
              <w:top w:val="nil"/>
            </w:tcBorders>
            <w:vAlign w:val="center"/>
          </w:tcPr>
          <w:p w:rsidR="00553098" w:rsidRPr="00553098" w:rsidRDefault="00553098" w:rsidP="00553098">
            <w:pPr>
              <w:pStyle w:val="NormalWeb"/>
              <w:spacing w:before="0" w:beforeAutospacing="0" w:after="0" w:afterAutospacing="0"/>
              <w:ind w:right="148"/>
              <w:jc w:val="right"/>
              <w:textAlignment w:val="center"/>
              <w:rPr>
                <w:rFonts w:ascii="Segoe UI" w:hAnsi="Segoe UI" w:cs="Segoe UI"/>
                <w:b/>
                <w:sz w:val="14"/>
                <w:szCs w:val="16"/>
                <w:lang w:val="en-US"/>
              </w:rPr>
            </w:pPr>
            <w:r w:rsidRPr="00553098">
              <w:rPr>
                <w:rFonts w:ascii="Segoe UI" w:hAnsi="Segoe UI" w:cs="Segoe UI"/>
                <w:b/>
                <w:sz w:val="14"/>
                <w:szCs w:val="16"/>
                <w:lang w:val="en-US"/>
              </w:rPr>
              <w:t xml:space="preserve">656 </w:t>
            </w:r>
          </w:p>
        </w:tc>
        <w:tc>
          <w:tcPr>
            <w:tcW w:w="475" w:type="pct"/>
            <w:tcBorders>
              <w:top w:val="nil"/>
            </w:tcBorders>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b/>
                <w:sz w:val="14"/>
                <w:szCs w:val="16"/>
                <w:lang w:val="en-US"/>
              </w:rPr>
            </w:pPr>
            <w:r w:rsidRPr="00CF19D1">
              <w:rPr>
                <w:rFonts w:ascii="Segoe UI" w:hAnsi="Segoe UI" w:cs="Segoe UI"/>
                <w:b/>
                <w:sz w:val="14"/>
                <w:szCs w:val="16"/>
                <w:lang w:val="en-US"/>
              </w:rPr>
              <w:t xml:space="preserve">492 </w:t>
            </w:r>
          </w:p>
        </w:tc>
        <w:tc>
          <w:tcPr>
            <w:tcW w:w="475" w:type="pct"/>
            <w:tcBorders>
              <w:top w:val="nil"/>
            </w:tcBorders>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b/>
                <w:i/>
                <w:sz w:val="14"/>
                <w:szCs w:val="16"/>
                <w:lang w:val="en-US"/>
              </w:rPr>
            </w:pPr>
            <w:r w:rsidRPr="00CF19D1">
              <w:rPr>
                <w:rFonts w:ascii="Segoe UI" w:hAnsi="Segoe UI" w:cs="Segoe UI"/>
                <w:b/>
                <w:i/>
                <w:sz w:val="14"/>
                <w:szCs w:val="16"/>
                <w:lang w:val="en-US"/>
              </w:rPr>
              <w:t>34%</w:t>
            </w:r>
          </w:p>
        </w:tc>
        <w:tc>
          <w:tcPr>
            <w:tcW w:w="475" w:type="pct"/>
            <w:tcBorders>
              <w:top w:val="nil"/>
            </w:tcBorders>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b/>
                <w:sz w:val="14"/>
                <w:szCs w:val="16"/>
                <w:lang w:val="en-US"/>
              </w:rPr>
            </w:pPr>
            <w:r w:rsidRPr="00CF19D1">
              <w:rPr>
                <w:rFonts w:ascii="Segoe UI" w:hAnsi="Segoe UI" w:cs="Segoe UI"/>
                <w:b/>
                <w:sz w:val="14"/>
                <w:szCs w:val="16"/>
                <w:lang w:val="en-US"/>
              </w:rPr>
              <w:t>70</w:t>
            </w:r>
          </w:p>
        </w:tc>
        <w:tc>
          <w:tcPr>
            <w:tcW w:w="475" w:type="pct"/>
            <w:tcBorders>
              <w:top w:val="nil"/>
              <w:bottom w:val="nil"/>
              <w:right w:val="nil"/>
            </w:tcBorders>
            <w:shd w:val="clear" w:color="auto" w:fill="auto"/>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b/>
                <w:sz w:val="14"/>
                <w:szCs w:val="16"/>
                <w:lang w:val="en-US"/>
              </w:rPr>
            </w:pPr>
            <w:r w:rsidRPr="00CF19D1">
              <w:rPr>
                <w:rFonts w:ascii="Segoe UI" w:hAnsi="Segoe UI" w:cs="Segoe UI"/>
                <w:b/>
                <w:sz w:val="14"/>
                <w:szCs w:val="16"/>
                <w:lang w:val="en-US"/>
              </w:rPr>
              <w:t xml:space="preserve">586 </w:t>
            </w:r>
          </w:p>
        </w:tc>
        <w:tc>
          <w:tcPr>
            <w:tcW w:w="473" w:type="pct"/>
            <w:tcBorders>
              <w:top w:val="nil"/>
              <w:left w:val="nil"/>
              <w:bottom w:val="nil"/>
              <w:right w:val="nil"/>
            </w:tcBorders>
            <w:shd w:val="clear" w:color="auto" w:fill="auto"/>
            <w:tcMar>
              <w:top w:w="15" w:type="dxa"/>
              <w:left w:w="15" w:type="dxa"/>
              <w:bottom w:w="0" w:type="dxa"/>
              <w:right w:w="78" w:type="dxa"/>
            </w:tcMar>
            <w:vAlign w:val="bottom"/>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b/>
                <w:i/>
                <w:sz w:val="14"/>
                <w:szCs w:val="16"/>
                <w:lang w:val="en-US"/>
              </w:rPr>
            </w:pPr>
            <w:r w:rsidRPr="00CF19D1">
              <w:rPr>
                <w:rFonts w:ascii="Segoe UI" w:hAnsi="Segoe UI" w:cs="Segoe UI"/>
                <w:b/>
                <w:i/>
                <w:sz w:val="14"/>
                <w:szCs w:val="16"/>
                <w:lang w:val="en-US"/>
              </w:rPr>
              <w:t>-88%</w:t>
            </w:r>
          </w:p>
        </w:tc>
      </w:tr>
      <w:tr w:rsidR="00553098" w:rsidRPr="00E95FD5" w:rsidTr="00DF5691">
        <w:trPr>
          <w:trHeight w:hRule="exact" w:val="227"/>
        </w:trPr>
        <w:tc>
          <w:tcPr>
            <w:tcW w:w="2152" w:type="pct"/>
            <w:tcBorders>
              <w:top w:val="nil"/>
              <w:left w:val="nil"/>
              <w:bottom w:val="nil"/>
              <w:right w:val="nil"/>
            </w:tcBorders>
            <w:shd w:val="clear" w:color="auto" w:fill="F2F2F2" w:themeFill="background1" w:themeFillShade="F2"/>
            <w:tcMar>
              <w:top w:w="15" w:type="dxa"/>
              <w:left w:w="42" w:type="dxa"/>
              <w:bottom w:w="0" w:type="dxa"/>
              <w:right w:w="15" w:type="dxa"/>
            </w:tcMar>
            <w:vAlign w:val="center"/>
          </w:tcPr>
          <w:p w:rsidR="00553098" w:rsidRPr="00E95FD5" w:rsidRDefault="00553098" w:rsidP="00553098">
            <w:pPr>
              <w:textAlignment w:val="center"/>
              <w:rPr>
                <w:rFonts w:ascii="Segoe UI" w:eastAsia="Segoe UI" w:hAnsi="Segoe UI" w:cs="Segoe UI"/>
                <w:b/>
                <w:bCs/>
                <w:color w:val="000000"/>
                <w:kern w:val="24"/>
                <w:sz w:val="14"/>
                <w:szCs w:val="14"/>
                <w:lang w:eastAsia="el-GR"/>
              </w:rPr>
            </w:pPr>
            <w:r w:rsidRPr="00897890">
              <w:rPr>
                <w:rFonts w:ascii="Segoe UI" w:eastAsia="Segoe UI" w:hAnsi="Segoe UI" w:cs="Segoe UI"/>
                <w:b/>
                <w:bCs/>
                <w:color w:val="000000"/>
                <w:kern w:val="24"/>
                <w:sz w:val="14"/>
                <w:szCs w:val="14"/>
                <w:lang w:eastAsia="el-GR"/>
              </w:rPr>
              <w:t>Οργανικά κέρδη / (ζημίες)</w:t>
            </w:r>
            <w:r w:rsidRPr="00467E58">
              <w:rPr>
                <w:rFonts w:ascii="Segoe UI" w:eastAsia="Segoe UI" w:hAnsi="Segoe UI" w:cs="Segoe UI"/>
                <w:b/>
                <w:bCs/>
                <w:color w:val="000000"/>
                <w:kern w:val="24"/>
                <w:sz w:val="14"/>
                <w:szCs w:val="14"/>
                <w:vertAlign w:val="superscript"/>
                <w:lang w:eastAsia="el-GR"/>
              </w:rPr>
              <w:t>2</w:t>
            </w:r>
            <w:r w:rsidRPr="00897890">
              <w:rPr>
                <w:rFonts w:ascii="Segoe UI" w:eastAsia="Segoe UI" w:hAnsi="Segoe UI" w:cs="Segoe UI"/>
                <w:b/>
                <w:bCs/>
                <w:color w:val="000000"/>
                <w:kern w:val="24"/>
                <w:sz w:val="14"/>
                <w:szCs w:val="14"/>
                <w:lang w:eastAsia="el-GR"/>
              </w:rPr>
              <w:t xml:space="preserve"> </w:t>
            </w:r>
          </w:p>
        </w:tc>
        <w:tc>
          <w:tcPr>
            <w:tcW w:w="475" w:type="pct"/>
            <w:tcBorders>
              <w:top w:val="nil"/>
              <w:bottom w:val="nil"/>
            </w:tcBorders>
            <w:shd w:val="clear" w:color="auto" w:fill="F2F2F2" w:themeFill="background1" w:themeFillShade="F2"/>
            <w:vAlign w:val="center"/>
          </w:tcPr>
          <w:p w:rsidR="00553098" w:rsidRPr="00553098" w:rsidRDefault="00553098" w:rsidP="00553098">
            <w:pPr>
              <w:pStyle w:val="NormalWeb"/>
              <w:spacing w:before="0" w:beforeAutospacing="0" w:after="0" w:afterAutospacing="0"/>
              <w:ind w:right="148"/>
              <w:jc w:val="right"/>
              <w:textAlignment w:val="center"/>
              <w:rPr>
                <w:rFonts w:ascii="Segoe UI" w:hAnsi="Segoe UI" w:cs="Segoe UI"/>
                <w:b/>
                <w:sz w:val="14"/>
                <w:szCs w:val="16"/>
                <w:lang w:val="en-US"/>
              </w:rPr>
            </w:pPr>
            <w:r w:rsidRPr="00553098">
              <w:rPr>
                <w:rFonts w:ascii="Segoe UI" w:hAnsi="Segoe UI" w:cs="Segoe UI"/>
                <w:b/>
                <w:sz w:val="14"/>
                <w:szCs w:val="16"/>
                <w:lang w:val="en-US"/>
              </w:rPr>
              <w:t xml:space="preserve">208 </w:t>
            </w:r>
          </w:p>
        </w:tc>
        <w:tc>
          <w:tcPr>
            <w:tcW w:w="475" w:type="pct"/>
            <w:tcBorders>
              <w:top w:val="nil"/>
              <w:bottom w:val="nil"/>
            </w:tcBorders>
            <w:shd w:val="clear" w:color="000000" w:fill="F2F2F2"/>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b/>
                <w:sz w:val="14"/>
                <w:szCs w:val="16"/>
                <w:lang w:val="en-US"/>
              </w:rPr>
            </w:pPr>
            <w:r w:rsidRPr="00CF19D1">
              <w:rPr>
                <w:rFonts w:ascii="Segoe UI" w:hAnsi="Segoe UI" w:cs="Segoe UI"/>
                <w:b/>
                <w:sz w:val="14"/>
                <w:szCs w:val="16"/>
                <w:lang w:val="en-US"/>
              </w:rPr>
              <w:t xml:space="preserve">132 </w:t>
            </w:r>
          </w:p>
        </w:tc>
        <w:tc>
          <w:tcPr>
            <w:tcW w:w="475" w:type="pct"/>
            <w:tcBorders>
              <w:top w:val="nil"/>
              <w:bottom w:val="nil"/>
            </w:tcBorders>
            <w:shd w:val="clear" w:color="000000" w:fill="F2F2F2"/>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b/>
                <w:i/>
                <w:sz w:val="14"/>
                <w:szCs w:val="16"/>
                <w:lang w:val="en-US"/>
              </w:rPr>
            </w:pPr>
            <w:r w:rsidRPr="00CF19D1">
              <w:rPr>
                <w:rFonts w:ascii="Segoe UI" w:hAnsi="Segoe UI" w:cs="Segoe UI"/>
                <w:b/>
                <w:i/>
                <w:sz w:val="14"/>
                <w:szCs w:val="16"/>
                <w:lang w:val="en-US"/>
              </w:rPr>
              <w:t>58%</w:t>
            </w:r>
          </w:p>
        </w:tc>
        <w:tc>
          <w:tcPr>
            <w:tcW w:w="475" w:type="pct"/>
            <w:tcBorders>
              <w:top w:val="nil"/>
              <w:bottom w:val="nil"/>
            </w:tcBorders>
            <w:shd w:val="clear" w:color="000000" w:fill="F2F2F2"/>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b/>
                <w:sz w:val="14"/>
                <w:szCs w:val="16"/>
                <w:lang w:val="en-US"/>
              </w:rPr>
            </w:pPr>
            <w:r w:rsidRPr="00CF19D1">
              <w:rPr>
                <w:rFonts w:ascii="Segoe UI" w:hAnsi="Segoe UI" w:cs="Segoe UI"/>
                <w:b/>
                <w:sz w:val="14"/>
                <w:szCs w:val="16"/>
                <w:lang w:val="en-US"/>
              </w:rPr>
              <w:t xml:space="preserve">112 </w:t>
            </w:r>
          </w:p>
        </w:tc>
        <w:tc>
          <w:tcPr>
            <w:tcW w:w="475" w:type="pct"/>
            <w:tcBorders>
              <w:top w:val="nil"/>
              <w:bottom w:val="nil"/>
              <w:right w:val="nil"/>
            </w:tcBorders>
            <w:shd w:val="clear" w:color="000000" w:fill="F2F2F2"/>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b/>
                <w:sz w:val="14"/>
                <w:szCs w:val="16"/>
                <w:lang w:val="en-US"/>
              </w:rPr>
            </w:pPr>
            <w:r w:rsidRPr="00CF19D1">
              <w:rPr>
                <w:rFonts w:ascii="Segoe UI" w:hAnsi="Segoe UI" w:cs="Segoe UI"/>
                <w:b/>
                <w:sz w:val="14"/>
                <w:szCs w:val="16"/>
                <w:lang w:val="en-US"/>
              </w:rPr>
              <w:t xml:space="preserve">95 </w:t>
            </w:r>
          </w:p>
        </w:tc>
        <w:tc>
          <w:tcPr>
            <w:tcW w:w="473" w:type="pct"/>
            <w:tcBorders>
              <w:top w:val="nil"/>
              <w:left w:val="nil"/>
              <w:bottom w:val="nil"/>
              <w:right w:val="nil"/>
            </w:tcBorders>
            <w:shd w:val="clear" w:color="000000" w:fill="F2F2F2"/>
            <w:tcMar>
              <w:top w:w="15" w:type="dxa"/>
              <w:left w:w="15" w:type="dxa"/>
              <w:bottom w:w="0" w:type="dxa"/>
              <w:right w:w="78" w:type="dxa"/>
            </w:tcMar>
            <w:vAlign w:val="bottom"/>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b/>
                <w:i/>
                <w:sz w:val="14"/>
                <w:szCs w:val="16"/>
                <w:lang w:val="en-US"/>
              </w:rPr>
            </w:pPr>
            <w:r w:rsidRPr="00CF19D1">
              <w:rPr>
                <w:rFonts w:ascii="Segoe UI" w:hAnsi="Segoe UI" w:cs="Segoe UI"/>
                <w:b/>
                <w:i/>
                <w:sz w:val="14"/>
                <w:szCs w:val="16"/>
                <w:lang w:val="en-US"/>
              </w:rPr>
              <w:t>18%</w:t>
            </w:r>
          </w:p>
        </w:tc>
      </w:tr>
      <w:tr w:rsidR="00553098" w:rsidRPr="00E95FD5" w:rsidTr="00250B3E">
        <w:trPr>
          <w:trHeight w:hRule="exact" w:val="227"/>
        </w:trPr>
        <w:tc>
          <w:tcPr>
            <w:tcW w:w="2152" w:type="pct"/>
            <w:tcBorders>
              <w:top w:val="nil"/>
              <w:left w:val="nil"/>
              <w:bottom w:val="nil"/>
              <w:right w:val="nil"/>
            </w:tcBorders>
            <w:shd w:val="clear" w:color="auto" w:fill="auto"/>
            <w:tcMar>
              <w:top w:w="15" w:type="dxa"/>
              <w:left w:w="42" w:type="dxa"/>
              <w:bottom w:w="0" w:type="dxa"/>
              <w:right w:w="15" w:type="dxa"/>
            </w:tcMar>
            <w:vAlign w:val="center"/>
            <w:hideMark/>
          </w:tcPr>
          <w:p w:rsidR="00553098" w:rsidRPr="00E95FD5" w:rsidRDefault="00553098" w:rsidP="00553098">
            <w:pPr>
              <w:textAlignment w:val="center"/>
              <w:rPr>
                <w:rFonts w:ascii="Segoe UI" w:eastAsia="Times New Roman" w:hAnsi="Segoe UI" w:cs="Segoe UI"/>
                <w:sz w:val="14"/>
                <w:szCs w:val="14"/>
                <w:lang w:eastAsia="el-GR"/>
              </w:rPr>
            </w:pPr>
            <w:r w:rsidRPr="00E95FD5">
              <w:rPr>
                <w:rFonts w:ascii="Segoe UI" w:eastAsia="Segoe UI" w:hAnsi="Segoe UI" w:cs="Segoe UI"/>
                <w:color w:val="000000"/>
                <w:kern w:val="24"/>
                <w:sz w:val="14"/>
                <w:szCs w:val="14"/>
                <w:lang w:eastAsia="el-GR"/>
              </w:rPr>
              <w:t>Λοιπές προβλέψεις</w:t>
            </w:r>
            <w:r>
              <w:rPr>
                <w:rFonts w:ascii="Segoe UI" w:eastAsia="Segoe UI" w:hAnsi="Segoe UI" w:cs="Segoe UI"/>
                <w:color w:val="000000"/>
                <w:kern w:val="24"/>
                <w:sz w:val="14"/>
                <w:szCs w:val="14"/>
                <w:lang w:eastAsia="el-GR"/>
              </w:rPr>
              <w:t xml:space="preserve"> / αντιλογισμός προβλέψεων </w:t>
            </w:r>
          </w:p>
        </w:tc>
        <w:tc>
          <w:tcPr>
            <w:tcW w:w="475" w:type="pct"/>
            <w:tcBorders>
              <w:top w:val="nil"/>
              <w:bottom w:val="nil"/>
            </w:tcBorders>
            <w:vAlign w:val="center"/>
          </w:tcPr>
          <w:p w:rsidR="00553098" w:rsidRPr="00553098" w:rsidRDefault="00553098" w:rsidP="00553098">
            <w:pPr>
              <w:pStyle w:val="NormalWeb"/>
              <w:spacing w:before="0" w:beforeAutospacing="0" w:after="0" w:afterAutospacing="0"/>
              <w:ind w:right="148"/>
              <w:jc w:val="right"/>
              <w:textAlignment w:val="center"/>
              <w:rPr>
                <w:rFonts w:ascii="Segoe UI" w:hAnsi="Segoe UI" w:cs="Segoe UI"/>
                <w:sz w:val="14"/>
                <w:szCs w:val="16"/>
                <w:lang w:val="en-US"/>
              </w:rPr>
            </w:pPr>
            <w:r w:rsidRPr="00553098">
              <w:rPr>
                <w:rFonts w:ascii="Segoe UI" w:hAnsi="Segoe UI" w:cs="Segoe UI"/>
                <w:sz w:val="14"/>
                <w:szCs w:val="16"/>
                <w:lang w:val="en-US"/>
              </w:rPr>
              <w:t xml:space="preserve">(29) </w:t>
            </w:r>
          </w:p>
        </w:tc>
        <w:tc>
          <w:tcPr>
            <w:tcW w:w="475" w:type="pct"/>
            <w:tcBorders>
              <w:top w:val="nil"/>
              <w:bottom w:val="nil"/>
            </w:tcBorders>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sz w:val="14"/>
                <w:szCs w:val="16"/>
                <w:lang w:val="en-US"/>
              </w:rPr>
            </w:pPr>
            <w:r w:rsidRPr="00CF19D1">
              <w:rPr>
                <w:rFonts w:ascii="Segoe UI" w:hAnsi="Segoe UI" w:cs="Segoe UI"/>
                <w:sz w:val="14"/>
                <w:szCs w:val="16"/>
                <w:lang w:val="en-US"/>
              </w:rPr>
              <w:t xml:space="preserve">(19) </w:t>
            </w:r>
          </w:p>
        </w:tc>
        <w:tc>
          <w:tcPr>
            <w:tcW w:w="475" w:type="pct"/>
            <w:tcBorders>
              <w:top w:val="nil"/>
              <w:bottom w:val="nil"/>
            </w:tcBorders>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i/>
                <w:sz w:val="14"/>
                <w:szCs w:val="16"/>
                <w:lang w:val="en-US"/>
              </w:rPr>
            </w:pPr>
            <w:r w:rsidRPr="00CF19D1">
              <w:rPr>
                <w:rFonts w:ascii="Segoe UI" w:hAnsi="Segoe UI" w:cs="Segoe UI"/>
                <w:i/>
                <w:sz w:val="14"/>
                <w:szCs w:val="16"/>
                <w:lang w:val="en-US"/>
              </w:rPr>
              <w:t>52%</w:t>
            </w:r>
          </w:p>
        </w:tc>
        <w:tc>
          <w:tcPr>
            <w:tcW w:w="475" w:type="pct"/>
            <w:tcBorders>
              <w:top w:val="nil"/>
              <w:bottom w:val="nil"/>
            </w:tcBorders>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sz w:val="14"/>
                <w:szCs w:val="16"/>
                <w:lang w:val="en-US"/>
              </w:rPr>
            </w:pPr>
            <w:r w:rsidRPr="00CF19D1">
              <w:rPr>
                <w:rFonts w:ascii="Segoe UI" w:hAnsi="Segoe UI" w:cs="Segoe UI"/>
                <w:sz w:val="14"/>
                <w:szCs w:val="16"/>
                <w:lang w:val="en-US"/>
              </w:rPr>
              <w:t xml:space="preserve">(23) </w:t>
            </w:r>
          </w:p>
        </w:tc>
        <w:tc>
          <w:tcPr>
            <w:tcW w:w="475" w:type="pct"/>
            <w:tcBorders>
              <w:top w:val="nil"/>
              <w:bottom w:val="nil"/>
              <w:right w:val="nil"/>
            </w:tcBorders>
            <w:shd w:val="clear" w:color="auto" w:fill="auto"/>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sz w:val="14"/>
                <w:szCs w:val="16"/>
                <w:lang w:val="en-US"/>
              </w:rPr>
            </w:pPr>
            <w:r w:rsidRPr="00CF19D1">
              <w:rPr>
                <w:rFonts w:ascii="Segoe UI" w:hAnsi="Segoe UI" w:cs="Segoe UI"/>
                <w:sz w:val="14"/>
                <w:szCs w:val="16"/>
                <w:lang w:val="en-US"/>
              </w:rPr>
              <w:t xml:space="preserve">(6) </w:t>
            </w:r>
          </w:p>
        </w:tc>
        <w:tc>
          <w:tcPr>
            <w:tcW w:w="473" w:type="pct"/>
            <w:tcBorders>
              <w:top w:val="nil"/>
              <w:left w:val="nil"/>
              <w:bottom w:val="nil"/>
              <w:right w:val="nil"/>
            </w:tcBorders>
            <w:shd w:val="clear" w:color="auto" w:fill="auto"/>
            <w:tcMar>
              <w:top w:w="15" w:type="dxa"/>
              <w:left w:w="15" w:type="dxa"/>
              <w:bottom w:w="0" w:type="dxa"/>
              <w:right w:w="84" w:type="dxa"/>
            </w:tcMar>
            <w:vAlign w:val="bottom"/>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i/>
                <w:sz w:val="14"/>
                <w:szCs w:val="16"/>
                <w:lang w:val="en-US"/>
              </w:rPr>
            </w:pPr>
            <w:r w:rsidRPr="00CF19D1">
              <w:rPr>
                <w:rFonts w:ascii="Segoe UI" w:hAnsi="Segoe UI" w:cs="Segoe UI"/>
                <w:i/>
                <w:sz w:val="14"/>
                <w:szCs w:val="16"/>
                <w:lang w:val="en-US"/>
              </w:rPr>
              <w:t>&gt;100%</w:t>
            </w:r>
          </w:p>
        </w:tc>
      </w:tr>
      <w:tr w:rsidR="00553098" w:rsidRPr="00E95FD5" w:rsidTr="00250B3E">
        <w:trPr>
          <w:trHeight w:hRule="exact" w:val="227"/>
        </w:trPr>
        <w:tc>
          <w:tcPr>
            <w:tcW w:w="2152" w:type="pct"/>
            <w:tcBorders>
              <w:top w:val="nil"/>
              <w:left w:val="nil"/>
              <w:bottom w:val="nil"/>
              <w:right w:val="nil"/>
            </w:tcBorders>
            <w:shd w:val="clear" w:color="auto" w:fill="auto"/>
            <w:tcMar>
              <w:top w:w="15" w:type="dxa"/>
              <w:left w:w="42" w:type="dxa"/>
              <w:bottom w:w="0" w:type="dxa"/>
              <w:right w:w="15" w:type="dxa"/>
            </w:tcMar>
            <w:vAlign w:val="center"/>
            <w:hideMark/>
          </w:tcPr>
          <w:p w:rsidR="00553098" w:rsidRPr="00E95FD5" w:rsidRDefault="00553098" w:rsidP="00553098">
            <w:pPr>
              <w:textAlignment w:val="center"/>
              <w:rPr>
                <w:rFonts w:ascii="Segoe UI" w:eastAsia="Times New Roman" w:hAnsi="Segoe UI" w:cs="Segoe UI"/>
                <w:b/>
                <w:sz w:val="14"/>
                <w:szCs w:val="14"/>
                <w:lang w:eastAsia="el-GR"/>
              </w:rPr>
            </w:pPr>
            <w:r w:rsidRPr="00E95FD5">
              <w:rPr>
                <w:rFonts w:ascii="Segoe UI" w:eastAsia="Segoe UI" w:hAnsi="Segoe UI" w:cs="Segoe UI"/>
                <w:b/>
                <w:color w:val="000000"/>
                <w:kern w:val="24"/>
                <w:sz w:val="14"/>
                <w:szCs w:val="14"/>
                <w:lang w:eastAsia="el-GR"/>
              </w:rPr>
              <w:t>Κέρδη / (ζημίες) προ φόρων</w:t>
            </w:r>
          </w:p>
        </w:tc>
        <w:tc>
          <w:tcPr>
            <w:tcW w:w="475" w:type="pct"/>
            <w:tcBorders>
              <w:top w:val="nil"/>
              <w:bottom w:val="nil"/>
            </w:tcBorders>
            <w:vAlign w:val="center"/>
          </w:tcPr>
          <w:p w:rsidR="00553098" w:rsidRPr="00553098" w:rsidRDefault="00553098" w:rsidP="00553098">
            <w:pPr>
              <w:pStyle w:val="NormalWeb"/>
              <w:spacing w:before="0" w:beforeAutospacing="0" w:after="0" w:afterAutospacing="0"/>
              <w:ind w:right="148"/>
              <w:jc w:val="right"/>
              <w:textAlignment w:val="center"/>
              <w:rPr>
                <w:rFonts w:ascii="Segoe UI" w:hAnsi="Segoe UI" w:cs="Segoe UI"/>
                <w:b/>
                <w:sz w:val="14"/>
                <w:szCs w:val="16"/>
                <w:lang w:val="en-US"/>
              </w:rPr>
            </w:pPr>
            <w:r w:rsidRPr="00553098">
              <w:rPr>
                <w:rFonts w:ascii="Segoe UI" w:hAnsi="Segoe UI" w:cs="Segoe UI"/>
                <w:b/>
                <w:sz w:val="14"/>
                <w:szCs w:val="16"/>
                <w:lang w:val="en-US"/>
              </w:rPr>
              <w:t xml:space="preserve">627 </w:t>
            </w:r>
          </w:p>
        </w:tc>
        <w:tc>
          <w:tcPr>
            <w:tcW w:w="475" w:type="pct"/>
            <w:tcBorders>
              <w:top w:val="nil"/>
              <w:bottom w:val="nil"/>
            </w:tcBorders>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b/>
                <w:sz w:val="14"/>
                <w:szCs w:val="16"/>
                <w:lang w:val="en-US"/>
              </w:rPr>
            </w:pPr>
            <w:r w:rsidRPr="00CF19D1">
              <w:rPr>
                <w:rFonts w:ascii="Segoe UI" w:hAnsi="Segoe UI" w:cs="Segoe UI"/>
                <w:b/>
                <w:sz w:val="14"/>
                <w:szCs w:val="16"/>
                <w:lang w:val="en-US"/>
              </w:rPr>
              <w:t xml:space="preserve">472 </w:t>
            </w:r>
          </w:p>
        </w:tc>
        <w:tc>
          <w:tcPr>
            <w:tcW w:w="475" w:type="pct"/>
            <w:tcBorders>
              <w:top w:val="nil"/>
              <w:bottom w:val="nil"/>
            </w:tcBorders>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b/>
                <w:i/>
                <w:sz w:val="14"/>
                <w:szCs w:val="16"/>
                <w:lang w:val="en-US"/>
              </w:rPr>
            </w:pPr>
            <w:r w:rsidRPr="00CF19D1">
              <w:rPr>
                <w:rFonts w:ascii="Segoe UI" w:hAnsi="Segoe UI" w:cs="Segoe UI"/>
                <w:b/>
                <w:i/>
                <w:sz w:val="14"/>
                <w:szCs w:val="16"/>
                <w:lang w:val="en-US"/>
              </w:rPr>
              <w:t>33%</w:t>
            </w:r>
          </w:p>
        </w:tc>
        <w:tc>
          <w:tcPr>
            <w:tcW w:w="475" w:type="pct"/>
            <w:tcBorders>
              <w:top w:val="nil"/>
              <w:bottom w:val="nil"/>
            </w:tcBorders>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b/>
                <w:sz w:val="14"/>
                <w:szCs w:val="16"/>
                <w:lang w:val="en-US"/>
              </w:rPr>
            </w:pPr>
            <w:r w:rsidRPr="00CF19D1">
              <w:rPr>
                <w:rFonts w:ascii="Segoe UI" w:hAnsi="Segoe UI" w:cs="Segoe UI"/>
                <w:b/>
                <w:sz w:val="14"/>
                <w:szCs w:val="16"/>
                <w:lang w:val="en-US"/>
              </w:rPr>
              <w:t xml:space="preserve">47 </w:t>
            </w:r>
          </w:p>
        </w:tc>
        <w:tc>
          <w:tcPr>
            <w:tcW w:w="475" w:type="pct"/>
            <w:tcBorders>
              <w:top w:val="nil"/>
              <w:bottom w:val="nil"/>
              <w:right w:val="nil"/>
            </w:tcBorders>
            <w:shd w:val="clear" w:color="auto" w:fill="auto"/>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b/>
                <w:sz w:val="14"/>
                <w:szCs w:val="16"/>
                <w:lang w:val="en-US"/>
              </w:rPr>
            </w:pPr>
            <w:r w:rsidRPr="00CF19D1">
              <w:rPr>
                <w:rFonts w:ascii="Segoe UI" w:hAnsi="Segoe UI" w:cs="Segoe UI"/>
                <w:b/>
                <w:sz w:val="14"/>
                <w:szCs w:val="16"/>
                <w:lang w:val="en-US"/>
              </w:rPr>
              <w:t xml:space="preserve">581 </w:t>
            </w:r>
          </w:p>
        </w:tc>
        <w:tc>
          <w:tcPr>
            <w:tcW w:w="473" w:type="pct"/>
            <w:tcBorders>
              <w:top w:val="nil"/>
              <w:left w:val="nil"/>
              <w:bottom w:val="nil"/>
              <w:right w:val="nil"/>
            </w:tcBorders>
            <w:shd w:val="clear" w:color="auto" w:fill="auto"/>
            <w:tcMar>
              <w:top w:w="15" w:type="dxa"/>
              <w:left w:w="15" w:type="dxa"/>
              <w:bottom w:w="0" w:type="dxa"/>
              <w:right w:w="84" w:type="dxa"/>
            </w:tcMar>
            <w:vAlign w:val="bottom"/>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b/>
                <w:i/>
                <w:sz w:val="14"/>
                <w:szCs w:val="16"/>
                <w:lang w:val="en-US"/>
              </w:rPr>
            </w:pPr>
            <w:r w:rsidRPr="00CF19D1">
              <w:rPr>
                <w:rFonts w:ascii="Segoe UI" w:hAnsi="Segoe UI" w:cs="Segoe UI"/>
                <w:b/>
                <w:i/>
                <w:sz w:val="14"/>
                <w:szCs w:val="16"/>
                <w:lang w:val="en-US"/>
              </w:rPr>
              <w:t>-92%</w:t>
            </w:r>
          </w:p>
        </w:tc>
      </w:tr>
      <w:tr w:rsidR="00553098" w:rsidRPr="00E95FD5" w:rsidTr="00250B3E">
        <w:trPr>
          <w:trHeight w:hRule="exact" w:val="227"/>
        </w:trPr>
        <w:tc>
          <w:tcPr>
            <w:tcW w:w="2152" w:type="pct"/>
            <w:tcBorders>
              <w:top w:val="nil"/>
              <w:left w:val="nil"/>
              <w:bottom w:val="nil"/>
              <w:right w:val="nil"/>
            </w:tcBorders>
            <w:shd w:val="clear" w:color="auto" w:fill="auto"/>
            <w:tcMar>
              <w:top w:w="15" w:type="dxa"/>
              <w:left w:w="42" w:type="dxa"/>
              <w:bottom w:w="0" w:type="dxa"/>
              <w:right w:w="15" w:type="dxa"/>
            </w:tcMar>
            <w:vAlign w:val="center"/>
            <w:hideMark/>
          </w:tcPr>
          <w:p w:rsidR="00553098" w:rsidRPr="00E95FD5" w:rsidRDefault="00553098" w:rsidP="00553098">
            <w:pPr>
              <w:textAlignment w:val="center"/>
              <w:rPr>
                <w:rFonts w:ascii="Segoe UI" w:eastAsia="Times New Roman" w:hAnsi="Segoe UI" w:cs="Segoe UI"/>
                <w:sz w:val="14"/>
                <w:szCs w:val="14"/>
                <w:lang w:eastAsia="el-GR"/>
              </w:rPr>
            </w:pPr>
            <w:r w:rsidRPr="00E95FD5">
              <w:rPr>
                <w:rFonts w:ascii="Segoe UI" w:eastAsia="Segoe UI" w:hAnsi="Segoe UI" w:cs="Segoe UI"/>
                <w:color w:val="000000"/>
                <w:kern w:val="24"/>
                <w:sz w:val="14"/>
                <w:szCs w:val="14"/>
                <w:lang w:eastAsia="el-GR"/>
              </w:rPr>
              <w:t xml:space="preserve">Φόροι </w:t>
            </w:r>
          </w:p>
        </w:tc>
        <w:tc>
          <w:tcPr>
            <w:tcW w:w="475" w:type="pct"/>
            <w:tcBorders>
              <w:top w:val="nil"/>
              <w:bottom w:val="nil"/>
            </w:tcBorders>
            <w:vAlign w:val="center"/>
          </w:tcPr>
          <w:p w:rsidR="00553098" w:rsidRPr="00553098" w:rsidRDefault="00553098" w:rsidP="00553098">
            <w:pPr>
              <w:pStyle w:val="NormalWeb"/>
              <w:spacing w:before="0" w:beforeAutospacing="0" w:after="0" w:afterAutospacing="0"/>
              <w:ind w:right="148"/>
              <w:jc w:val="right"/>
              <w:textAlignment w:val="center"/>
              <w:rPr>
                <w:rFonts w:ascii="Segoe UI" w:hAnsi="Segoe UI" w:cs="Segoe UI"/>
                <w:sz w:val="14"/>
                <w:szCs w:val="16"/>
                <w:lang w:val="en-US"/>
              </w:rPr>
            </w:pPr>
            <w:r w:rsidRPr="00553098">
              <w:rPr>
                <w:rFonts w:ascii="Segoe UI" w:hAnsi="Segoe UI" w:cs="Segoe UI"/>
                <w:sz w:val="14"/>
                <w:szCs w:val="16"/>
                <w:lang w:val="en-US"/>
              </w:rPr>
              <w:t xml:space="preserve">(5) </w:t>
            </w:r>
          </w:p>
        </w:tc>
        <w:tc>
          <w:tcPr>
            <w:tcW w:w="475" w:type="pct"/>
            <w:tcBorders>
              <w:top w:val="nil"/>
              <w:bottom w:val="nil"/>
            </w:tcBorders>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sz w:val="14"/>
                <w:szCs w:val="16"/>
                <w:lang w:val="en-US"/>
              </w:rPr>
            </w:pPr>
            <w:r w:rsidRPr="00CF19D1">
              <w:rPr>
                <w:rFonts w:ascii="Segoe UI" w:hAnsi="Segoe UI" w:cs="Segoe UI"/>
                <w:sz w:val="14"/>
                <w:szCs w:val="16"/>
                <w:lang w:val="en-US"/>
              </w:rPr>
              <w:t xml:space="preserve">(8) </w:t>
            </w:r>
          </w:p>
        </w:tc>
        <w:tc>
          <w:tcPr>
            <w:tcW w:w="475" w:type="pct"/>
            <w:tcBorders>
              <w:top w:val="nil"/>
              <w:bottom w:val="nil"/>
            </w:tcBorders>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i/>
                <w:sz w:val="14"/>
                <w:szCs w:val="16"/>
                <w:lang w:val="en-US"/>
              </w:rPr>
            </w:pPr>
            <w:r w:rsidRPr="00CF19D1">
              <w:rPr>
                <w:rFonts w:ascii="Segoe UI" w:hAnsi="Segoe UI" w:cs="Segoe UI"/>
                <w:i/>
                <w:sz w:val="14"/>
                <w:szCs w:val="16"/>
                <w:lang w:val="en-US"/>
              </w:rPr>
              <w:t>-36%</w:t>
            </w:r>
          </w:p>
        </w:tc>
        <w:tc>
          <w:tcPr>
            <w:tcW w:w="475" w:type="pct"/>
            <w:tcBorders>
              <w:top w:val="nil"/>
              <w:bottom w:val="nil"/>
            </w:tcBorders>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sz w:val="14"/>
                <w:szCs w:val="16"/>
                <w:lang w:val="en-US"/>
              </w:rPr>
            </w:pPr>
            <w:r w:rsidRPr="00CF19D1">
              <w:rPr>
                <w:rFonts w:ascii="Segoe UI" w:hAnsi="Segoe UI" w:cs="Segoe UI"/>
                <w:sz w:val="14"/>
                <w:szCs w:val="16"/>
                <w:lang w:val="en-US"/>
              </w:rPr>
              <w:t xml:space="preserve">(2) </w:t>
            </w:r>
          </w:p>
        </w:tc>
        <w:tc>
          <w:tcPr>
            <w:tcW w:w="475" w:type="pct"/>
            <w:tcBorders>
              <w:top w:val="nil"/>
              <w:bottom w:val="nil"/>
              <w:right w:val="nil"/>
            </w:tcBorders>
            <w:shd w:val="clear" w:color="auto" w:fill="auto"/>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sz w:val="14"/>
                <w:szCs w:val="16"/>
                <w:lang w:val="en-US"/>
              </w:rPr>
            </w:pPr>
            <w:r w:rsidRPr="00CF19D1">
              <w:rPr>
                <w:rFonts w:ascii="Segoe UI" w:hAnsi="Segoe UI" w:cs="Segoe UI"/>
                <w:sz w:val="14"/>
                <w:szCs w:val="16"/>
                <w:lang w:val="en-US"/>
              </w:rPr>
              <w:t xml:space="preserve">(3) </w:t>
            </w:r>
          </w:p>
        </w:tc>
        <w:tc>
          <w:tcPr>
            <w:tcW w:w="473" w:type="pct"/>
            <w:tcBorders>
              <w:top w:val="nil"/>
              <w:left w:val="nil"/>
              <w:bottom w:val="nil"/>
              <w:right w:val="nil"/>
            </w:tcBorders>
            <w:shd w:val="clear" w:color="auto" w:fill="auto"/>
            <w:tcMar>
              <w:top w:w="15" w:type="dxa"/>
              <w:left w:w="15" w:type="dxa"/>
              <w:bottom w:w="0" w:type="dxa"/>
              <w:right w:w="84" w:type="dxa"/>
            </w:tcMar>
            <w:vAlign w:val="bottom"/>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i/>
                <w:sz w:val="14"/>
                <w:szCs w:val="16"/>
                <w:lang w:val="en-US"/>
              </w:rPr>
            </w:pPr>
            <w:r w:rsidRPr="00CF19D1">
              <w:rPr>
                <w:rFonts w:ascii="Segoe UI" w:hAnsi="Segoe UI" w:cs="Segoe UI"/>
                <w:i/>
                <w:sz w:val="14"/>
                <w:szCs w:val="16"/>
                <w:lang w:val="en-US"/>
              </w:rPr>
              <w:t>-25%</w:t>
            </w:r>
          </w:p>
        </w:tc>
      </w:tr>
      <w:tr w:rsidR="00553098" w:rsidRPr="00E95FD5" w:rsidTr="00250B3E">
        <w:trPr>
          <w:trHeight w:hRule="exact" w:val="227"/>
        </w:trPr>
        <w:tc>
          <w:tcPr>
            <w:tcW w:w="2152" w:type="pct"/>
            <w:tcBorders>
              <w:top w:val="nil"/>
              <w:left w:val="nil"/>
              <w:bottom w:val="nil"/>
              <w:right w:val="nil"/>
            </w:tcBorders>
            <w:shd w:val="clear" w:color="auto" w:fill="F2F2F2"/>
            <w:tcMar>
              <w:top w:w="15" w:type="dxa"/>
              <w:left w:w="42" w:type="dxa"/>
              <w:bottom w:w="0" w:type="dxa"/>
              <w:right w:w="15" w:type="dxa"/>
            </w:tcMar>
            <w:vAlign w:val="center"/>
            <w:hideMark/>
          </w:tcPr>
          <w:p w:rsidR="00553098" w:rsidRPr="00E95FD5" w:rsidRDefault="00553098" w:rsidP="00553098">
            <w:pPr>
              <w:textAlignment w:val="center"/>
              <w:rPr>
                <w:rFonts w:ascii="Segoe UI" w:eastAsia="Times New Roman" w:hAnsi="Segoe UI" w:cs="Segoe UI"/>
                <w:sz w:val="14"/>
                <w:szCs w:val="14"/>
                <w:lang w:eastAsia="el-GR"/>
              </w:rPr>
            </w:pPr>
            <w:r w:rsidRPr="00E95FD5">
              <w:rPr>
                <w:rFonts w:ascii="Segoe UI" w:eastAsia="Segoe UI" w:hAnsi="Segoe UI" w:cs="Segoe UI"/>
                <w:b/>
                <w:bCs/>
                <w:color w:val="000000"/>
                <w:kern w:val="24"/>
                <w:sz w:val="14"/>
                <w:szCs w:val="14"/>
                <w:lang w:eastAsia="el-GR"/>
              </w:rPr>
              <w:t xml:space="preserve">Κέρδη / (ζημίες) μετά </w:t>
            </w:r>
            <w:r>
              <w:rPr>
                <w:rFonts w:ascii="Segoe UI" w:eastAsia="Segoe UI" w:hAnsi="Segoe UI" w:cs="Segoe UI"/>
                <w:b/>
                <w:bCs/>
                <w:color w:val="000000"/>
                <w:kern w:val="24"/>
                <w:sz w:val="14"/>
                <w:szCs w:val="14"/>
                <w:lang w:eastAsia="el-GR"/>
              </w:rPr>
              <w:t xml:space="preserve">από </w:t>
            </w:r>
            <w:r w:rsidRPr="00E95FD5">
              <w:rPr>
                <w:rFonts w:ascii="Segoe UI" w:eastAsia="Segoe UI" w:hAnsi="Segoe UI" w:cs="Segoe UI"/>
                <w:b/>
                <w:bCs/>
                <w:color w:val="000000"/>
                <w:kern w:val="24"/>
                <w:sz w:val="14"/>
                <w:szCs w:val="14"/>
                <w:lang w:eastAsia="el-GR"/>
              </w:rPr>
              <w:t>φόρ</w:t>
            </w:r>
            <w:r>
              <w:rPr>
                <w:rFonts w:ascii="Segoe UI" w:eastAsia="Segoe UI" w:hAnsi="Segoe UI" w:cs="Segoe UI"/>
                <w:b/>
                <w:bCs/>
                <w:color w:val="000000"/>
                <w:kern w:val="24"/>
                <w:sz w:val="14"/>
                <w:szCs w:val="14"/>
                <w:lang w:eastAsia="el-GR"/>
              </w:rPr>
              <w:t>ους</w:t>
            </w:r>
            <w:r w:rsidRPr="000D2509">
              <w:rPr>
                <w:rFonts w:ascii="Segoe UI" w:eastAsia="Segoe UI" w:hAnsi="Segoe UI" w:cs="Segoe UI"/>
                <w:b/>
                <w:bCs/>
                <w:color w:val="000000"/>
                <w:kern w:val="24"/>
                <w:sz w:val="14"/>
                <w:szCs w:val="14"/>
                <w:lang w:eastAsia="el-GR"/>
              </w:rPr>
              <w:t xml:space="preserve"> </w:t>
            </w:r>
            <w:r w:rsidRPr="00E95FD5">
              <w:rPr>
                <w:rFonts w:ascii="Segoe UI" w:eastAsia="Segoe UI" w:hAnsi="Segoe UI" w:cs="Segoe UI"/>
                <w:b/>
                <w:bCs/>
                <w:color w:val="000000"/>
                <w:kern w:val="24"/>
                <w:sz w:val="14"/>
                <w:szCs w:val="14"/>
                <w:lang w:eastAsia="el-GR"/>
              </w:rPr>
              <w:t>(συνεχ</w:t>
            </w:r>
            <w:r>
              <w:rPr>
                <w:rFonts w:ascii="Segoe UI" w:eastAsia="Segoe UI" w:hAnsi="Segoe UI" w:cs="Segoe UI"/>
                <w:b/>
                <w:bCs/>
                <w:color w:val="000000"/>
                <w:kern w:val="24"/>
                <w:sz w:val="14"/>
                <w:szCs w:val="14"/>
                <w:lang w:eastAsia="el-GR"/>
              </w:rPr>
              <w:t>/με</w:t>
            </w:r>
            <w:r w:rsidRPr="00E95FD5">
              <w:rPr>
                <w:rFonts w:ascii="Segoe UI" w:eastAsia="Segoe UI" w:hAnsi="Segoe UI" w:cs="Segoe UI"/>
                <w:b/>
                <w:bCs/>
                <w:color w:val="000000"/>
                <w:kern w:val="24"/>
                <w:sz w:val="14"/>
                <w:szCs w:val="14"/>
                <w:lang w:eastAsia="el-GR"/>
              </w:rPr>
              <w:t xml:space="preserve">νες </w:t>
            </w:r>
            <w:r>
              <w:rPr>
                <w:rFonts w:ascii="Segoe UI" w:eastAsia="Segoe UI" w:hAnsi="Segoe UI" w:cs="Segoe UI"/>
                <w:b/>
                <w:bCs/>
                <w:color w:val="000000"/>
                <w:kern w:val="24"/>
                <w:sz w:val="14"/>
                <w:szCs w:val="14"/>
                <w:lang w:eastAsia="el-GR"/>
              </w:rPr>
              <w:t>δ</w:t>
            </w:r>
            <w:r w:rsidRPr="00E95FD5">
              <w:rPr>
                <w:rFonts w:ascii="Segoe UI" w:eastAsia="Segoe UI" w:hAnsi="Segoe UI" w:cs="Segoe UI"/>
                <w:b/>
                <w:bCs/>
                <w:color w:val="000000"/>
                <w:kern w:val="24"/>
                <w:sz w:val="14"/>
                <w:szCs w:val="14"/>
                <w:lang w:eastAsia="el-GR"/>
              </w:rPr>
              <w:t>ραστ</w:t>
            </w:r>
            <w:r>
              <w:rPr>
                <w:rFonts w:ascii="Segoe UI" w:eastAsia="Segoe UI" w:hAnsi="Segoe UI" w:cs="Segoe UI"/>
                <w:b/>
                <w:bCs/>
                <w:color w:val="000000"/>
                <w:kern w:val="24"/>
                <w:sz w:val="14"/>
                <w:szCs w:val="14"/>
                <w:lang w:eastAsia="el-GR"/>
              </w:rPr>
              <w:t>/</w:t>
            </w:r>
            <w:r w:rsidRPr="00E95FD5">
              <w:rPr>
                <w:rFonts w:ascii="Segoe UI" w:eastAsia="Segoe UI" w:hAnsi="Segoe UI" w:cs="Segoe UI"/>
                <w:b/>
                <w:bCs/>
                <w:color w:val="000000"/>
                <w:kern w:val="24"/>
                <w:sz w:val="14"/>
                <w:szCs w:val="14"/>
                <w:lang w:eastAsia="el-GR"/>
              </w:rPr>
              <w:t>τητες)</w:t>
            </w:r>
          </w:p>
        </w:tc>
        <w:tc>
          <w:tcPr>
            <w:tcW w:w="475" w:type="pct"/>
            <w:tcBorders>
              <w:top w:val="nil"/>
              <w:bottom w:val="nil"/>
            </w:tcBorders>
            <w:shd w:val="clear" w:color="000000" w:fill="F2F2F2"/>
            <w:vAlign w:val="center"/>
          </w:tcPr>
          <w:p w:rsidR="00553098" w:rsidRPr="00553098" w:rsidRDefault="00553098" w:rsidP="00553098">
            <w:pPr>
              <w:pStyle w:val="NormalWeb"/>
              <w:spacing w:before="0" w:beforeAutospacing="0" w:after="0" w:afterAutospacing="0"/>
              <w:ind w:right="148"/>
              <w:jc w:val="right"/>
              <w:textAlignment w:val="center"/>
              <w:rPr>
                <w:rFonts w:ascii="Segoe UI" w:hAnsi="Segoe UI" w:cs="Segoe UI"/>
                <w:b/>
                <w:sz w:val="14"/>
                <w:szCs w:val="16"/>
                <w:lang w:val="en-US"/>
              </w:rPr>
            </w:pPr>
            <w:r w:rsidRPr="00553098">
              <w:rPr>
                <w:rFonts w:ascii="Segoe UI" w:hAnsi="Segoe UI" w:cs="Segoe UI"/>
                <w:b/>
                <w:sz w:val="14"/>
                <w:szCs w:val="16"/>
                <w:lang w:val="en-US"/>
              </w:rPr>
              <w:t xml:space="preserve">622 </w:t>
            </w:r>
          </w:p>
        </w:tc>
        <w:tc>
          <w:tcPr>
            <w:tcW w:w="475" w:type="pct"/>
            <w:tcBorders>
              <w:top w:val="nil"/>
              <w:bottom w:val="nil"/>
            </w:tcBorders>
            <w:shd w:val="clear" w:color="000000" w:fill="F2F2F2"/>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b/>
                <w:sz w:val="14"/>
                <w:szCs w:val="16"/>
                <w:lang w:val="en-US"/>
              </w:rPr>
            </w:pPr>
            <w:r w:rsidRPr="00CF19D1">
              <w:rPr>
                <w:rFonts w:ascii="Segoe UI" w:hAnsi="Segoe UI" w:cs="Segoe UI"/>
                <w:b/>
                <w:sz w:val="14"/>
                <w:szCs w:val="16"/>
                <w:lang w:val="en-US"/>
              </w:rPr>
              <w:t xml:space="preserve">465 </w:t>
            </w:r>
          </w:p>
        </w:tc>
        <w:tc>
          <w:tcPr>
            <w:tcW w:w="475" w:type="pct"/>
            <w:tcBorders>
              <w:top w:val="nil"/>
              <w:bottom w:val="nil"/>
            </w:tcBorders>
            <w:shd w:val="clear" w:color="000000" w:fill="F2F2F2"/>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b/>
                <w:i/>
                <w:sz w:val="14"/>
                <w:szCs w:val="16"/>
                <w:lang w:val="en-US"/>
              </w:rPr>
            </w:pPr>
            <w:r w:rsidRPr="00CF19D1">
              <w:rPr>
                <w:rFonts w:ascii="Segoe UI" w:hAnsi="Segoe UI" w:cs="Segoe UI"/>
                <w:b/>
                <w:i/>
                <w:sz w:val="14"/>
                <w:szCs w:val="16"/>
                <w:lang w:val="en-US"/>
              </w:rPr>
              <w:t>34%</w:t>
            </w:r>
          </w:p>
        </w:tc>
        <w:tc>
          <w:tcPr>
            <w:tcW w:w="475" w:type="pct"/>
            <w:tcBorders>
              <w:top w:val="nil"/>
              <w:bottom w:val="nil"/>
            </w:tcBorders>
            <w:shd w:val="clear" w:color="000000" w:fill="F2F2F2"/>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b/>
                <w:sz w:val="14"/>
                <w:szCs w:val="16"/>
                <w:lang w:val="en-US"/>
              </w:rPr>
            </w:pPr>
            <w:r w:rsidRPr="00CF19D1">
              <w:rPr>
                <w:rFonts w:ascii="Segoe UI" w:hAnsi="Segoe UI" w:cs="Segoe UI"/>
                <w:b/>
                <w:sz w:val="14"/>
                <w:szCs w:val="16"/>
                <w:lang w:val="en-US"/>
              </w:rPr>
              <w:t xml:space="preserve">45 </w:t>
            </w:r>
          </w:p>
        </w:tc>
        <w:tc>
          <w:tcPr>
            <w:tcW w:w="475" w:type="pct"/>
            <w:tcBorders>
              <w:top w:val="nil"/>
              <w:bottom w:val="nil"/>
              <w:right w:val="nil"/>
            </w:tcBorders>
            <w:shd w:val="clear" w:color="000000" w:fill="F2F2F2"/>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b/>
                <w:sz w:val="14"/>
                <w:szCs w:val="16"/>
                <w:lang w:val="en-US"/>
              </w:rPr>
            </w:pPr>
            <w:r w:rsidRPr="00CF19D1">
              <w:rPr>
                <w:rFonts w:ascii="Segoe UI" w:hAnsi="Segoe UI" w:cs="Segoe UI"/>
                <w:b/>
                <w:sz w:val="14"/>
                <w:szCs w:val="16"/>
                <w:lang w:val="en-US"/>
              </w:rPr>
              <w:t xml:space="preserve">578 </w:t>
            </w:r>
          </w:p>
        </w:tc>
        <w:tc>
          <w:tcPr>
            <w:tcW w:w="473" w:type="pct"/>
            <w:tcBorders>
              <w:top w:val="nil"/>
              <w:left w:val="nil"/>
              <w:bottom w:val="nil"/>
              <w:right w:val="nil"/>
            </w:tcBorders>
            <w:shd w:val="clear" w:color="000000" w:fill="F2F2F2"/>
            <w:tcMar>
              <w:top w:w="15" w:type="dxa"/>
              <w:left w:w="15" w:type="dxa"/>
              <w:bottom w:w="0" w:type="dxa"/>
              <w:right w:w="84" w:type="dxa"/>
            </w:tcMar>
            <w:vAlign w:val="bottom"/>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b/>
                <w:i/>
                <w:sz w:val="14"/>
                <w:szCs w:val="16"/>
                <w:lang w:val="en-US"/>
              </w:rPr>
            </w:pPr>
            <w:r w:rsidRPr="00CF19D1">
              <w:rPr>
                <w:rFonts w:ascii="Segoe UI" w:hAnsi="Segoe UI" w:cs="Segoe UI"/>
                <w:b/>
                <w:i/>
                <w:sz w:val="14"/>
                <w:szCs w:val="16"/>
                <w:lang w:val="en-US"/>
              </w:rPr>
              <w:t>-92%</w:t>
            </w:r>
          </w:p>
        </w:tc>
      </w:tr>
      <w:tr w:rsidR="00553098" w:rsidRPr="00E95FD5" w:rsidTr="00250B3E">
        <w:trPr>
          <w:trHeight w:hRule="exact" w:val="227"/>
        </w:trPr>
        <w:tc>
          <w:tcPr>
            <w:tcW w:w="2152" w:type="pct"/>
            <w:tcBorders>
              <w:top w:val="nil"/>
              <w:left w:val="nil"/>
              <w:right w:val="nil"/>
            </w:tcBorders>
            <w:shd w:val="clear" w:color="auto" w:fill="auto"/>
            <w:tcMar>
              <w:top w:w="15" w:type="dxa"/>
              <w:left w:w="42" w:type="dxa"/>
              <w:bottom w:w="0" w:type="dxa"/>
              <w:right w:w="15" w:type="dxa"/>
            </w:tcMar>
            <w:vAlign w:val="center"/>
            <w:hideMark/>
          </w:tcPr>
          <w:p w:rsidR="00553098" w:rsidRPr="00E95FD5" w:rsidRDefault="00553098" w:rsidP="00553098">
            <w:pPr>
              <w:textAlignment w:val="center"/>
              <w:rPr>
                <w:rFonts w:ascii="Segoe UI" w:eastAsia="Times New Roman" w:hAnsi="Segoe UI" w:cs="Segoe UI"/>
                <w:sz w:val="14"/>
                <w:szCs w:val="14"/>
                <w:lang w:eastAsia="el-GR"/>
              </w:rPr>
            </w:pPr>
            <w:r>
              <w:rPr>
                <w:rFonts w:ascii="Segoe UI" w:eastAsia="Segoe UI" w:hAnsi="Segoe UI" w:cs="Segoe UI"/>
                <w:bCs/>
                <w:color w:val="000000"/>
                <w:kern w:val="24"/>
                <w:sz w:val="14"/>
                <w:szCs w:val="14"/>
                <w:lang w:eastAsia="el-GR"/>
              </w:rPr>
              <w:t>Δ</w:t>
            </w:r>
            <w:r w:rsidRPr="00E95FD5">
              <w:rPr>
                <w:rFonts w:ascii="Segoe UI" w:eastAsia="Segoe UI" w:hAnsi="Segoe UI" w:cs="Segoe UI"/>
                <w:bCs/>
                <w:color w:val="000000"/>
                <w:kern w:val="24"/>
                <w:sz w:val="14"/>
                <w:szCs w:val="14"/>
                <w:lang w:eastAsia="el-GR"/>
              </w:rPr>
              <w:t>ιακοπείσες δραστηριότητες</w:t>
            </w:r>
            <w:r>
              <w:rPr>
                <w:rFonts w:ascii="Segoe UI" w:eastAsia="Segoe UI" w:hAnsi="Segoe UI" w:cs="Segoe UI"/>
                <w:bCs/>
                <w:color w:val="000000"/>
                <w:kern w:val="24"/>
                <w:sz w:val="14"/>
                <w:szCs w:val="14"/>
                <w:lang w:eastAsia="el-GR"/>
              </w:rPr>
              <w:t>, δι</w:t>
            </w:r>
            <w:r w:rsidRPr="0010213F">
              <w:rPr>
                <w:rFonts w:ascii="Segoe UI" w:eastAsia="Segoe UI" w:hAnsi="Segoe UI" w:cs="Segoe UI"/>
                <w:bCs/>
                <w:color w:val="000000"/>
                <w:kern w:val="24"/>
                <w:sz w:val="14"/>
                <w:szCs w:val="14"/>
                <w:lang w:eastAsia="el-GR"/>
              </w:rPr>
              <w:t>καιώματα μειοψηφίας</w:t>
            </w:r>
            <w:r>
              <w:rPr>
                <w:rFonts w:ascii="Segoe UI" w:eastAsia="Segoe UI" w:hAnsi="Segoe UI" w:cs="Segoe UI"/>
                <w:bCs/>
                <w:color w:val="000000"/>
                <w:kern w:val="24"/>
                <w:sz w:val="14"/>
                <w:szCs w:val="14"/>
                <w:lang w:eastAsia="el-GR"/>
              </w:rPr>
              <w:t xml:space="preserve"> και λοιπά</w:t>
            </w:r>
          </w:p>
        </w:tc>
        <w:tc>
          <w:tcPr>
            <w:tcW w:w="475" w:type="pct"/>
            <w:tcBorders>
              <w:top w:val="nil"/>
              <w:bottom w:val="nil"/>
            </w:tcBorders>
            <w:vAlign w:val="center"/>
          </w:tcPr>
          <w:p w:rsidR="00553098" w:rsidRPr="00553098" w:rsidRDefault="00553098" w:rsidP="00553098">
            <w:pPr>
              <w:pStyle w:val="NormalWeb"/>
              <w:spacing w:before="0" w:beforeAutospacing="0" w:after="0" w:afterAutospacing="0"/>
              <w:ind w:right="148"/>
              <w:jc w:val="right"/>
              <w:textAlignment w:val="center"/>
              <w:rPr>
                <w:rFonts w:ascii="Segoe UI" w:hAnsi="Segoe UI" w:cs="Segoe UI"/>
                <w:sz w:val="14"/>
                <w:szCs w:val="16"/>
                <w:lang w:val="en-US"/>
              </w:rPr>
            </w:pPr>
            <w:r w:rsidRPr="00553098">
              <w:rPr>
                <w:rFonts w:ascii="Segoe UI" w:hAnsi="Segoe UI" w:cs="Segoe UI"/>
                <w:sz w:val="14"/>
                <w:szCs w:val="16"/>
                <w:lang w:val="en-US"/>
              </w:rPr>
              <w:t xml:space="preserve">(47) </w:t>
            </w:r>
          </w:p>
        </w:tc>
        <w:tc>
          <w:tcPr>
            <w:tcW w:w="475" w:type="pct"/>
            <w:tcBorders>
              <w:top w:val="nil"/>
              <w:bottom w:val="nil"/>
            </w:tcBorders>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sz w:val="14"/>
                <w:szCs w:val="16"/>
                <w:lang w:val="en-US"/>
              </w:rPr>
            </w:pPr>
            <w:r w:rsidRPr="00CF19D1">
              <w:rPr>
                <w:rFonts w:ascii="Segoe UI" w:hAnsi="Segoe UI" w:cs="Segoe UI"/>
                <w:sz w:val="14"/>
                <w:szCs w:val="16"/>
                <w:lang w:val="en-US"/>
              </w:rPr>
              <w:t xml:space="preserve">(105) </w:t>
            </w:r>
          </w:p>
        </w:tc>
        <w:tc>
          <w:tcPr>
            <w:tcW w:w="475" w:type="pct"/>
            <w:tcBorders>
              <w:top w:val="nil"/>
              <w:bottom w:val="nil"/>
            </w:tcBorders>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i/>
                <w:sz w:val="14"/>
                <w:szCs w:val="16"/>
                <w:lang w:val="en-US"/>
              </w:rPr>
            </w:pPr>
            <w:r w:rsidRPr="00CF19D1">
              <w:rPr>
                <w:rFonts w:ascii="Segoe UI" w:hAnsi="Segoe UI" w:cs="Segoe UI"/>
                <w:i/>
                <w:sz w:val="14"/>
                <w:szCs w:val="16"/>
                <w:lang w:val="en-US"/>
              </w:rPr>
              <w:t>-55%</w:t>
            </w:r>
          </w:p>
        </w:tc>
        <w:tc>
          <w:tcPr>
            <w:tcW w:w="475" w:type="pct"/>
            <w:tcBorders>
              <w:top w:val="nil"/>
              <w:bottom w:val="nil"/>
            </w:tcBorders>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sz w:val="14"/>
                <w:szCs w:val="16"/>
                <w:lang w:val="en-US"/>
              </w:rPr>
            </w:pPr>
            <w:r w:rsidRPr="00CF19D1">
              <w:rPr>
                <w:rFonts w:ascii="Segoe UI" w:hAnsi="Segoe UI" w:cs="Segoe UI"/>
                <w:sz w:val="14"/>
                <w:szCs w:val="16"/>
                <w:lang w:val="en-US"/>
              </w:rPr>
              <w:t xml:space="preserve">(27) </w:t>
            </w:r>
          </w:p>
        </w:tc>
        <w:tc>
          <w:tcPr>
            <w:tcW w:w="475" w:type="pct"/>
            <w:tcBorders>
              <w:top w:val="nil"/>
              <w:bottom w:val="nil"/>
              <w:right w:val="nil"/>
            </w:tcBorders>
            <w:shd w:val="clear" w:color="auto" w:fill="auto"/>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sz w:val="14"/>
                <w:szCs w:val="16"/>
                <w:lang w:val="en-US"/>
              </w:rPr>
            </w:pPr>
            <w:r w:rsidRPr="00CF19D1">
              <w:rPr>
                <w:rFonts w:ascii="Segoe UI" w:hAnsi="Segoe UI" w:cs="Segoe UI"/>
                <w:sz w:val="14"/>
                <w:szCs w:val="16"/>
                <w:lang w:val="en-US"/>
              </w:rPr>
              <w:t xml:space="preserve">(21) </w:t>
            </w:r>
          </w:p>
        </w:tc>
        <w:tc>
          <w:tcPr>
            <w:tcW w:w="473" w:type="pct"/>
            <w:tcBorders>
              <w:top w:val="nil"/>
              <w:left w:val="nil"/>
              <w:bottom w:val="nil"/>
              <w:right w:val="nil"/>
            </w:tcBorders>
            <w:shd w:val="clear" w:color="auto" w:fill="auto"/>
            <w:tcMar>
              <w:top w:w="15" w:type="dxa"/>
              <w:left w:w="15" w:type="dxa"/>
              <w:bottom w:w="0" w:type="dxa"/>
              <w:right w:w="84" w:type="dxa"/>
            </w:tcMar>
            <w:vAlign w:val="bottom"/>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i/>
                <w:sz w:val="14"/>
                <w:szCs w:val="16"/>
                <w:lang w:val="en-US"/>
              </w:rPr>
            </w:pPr>
            <w:r w:rsidRPr="00CF19D1">
              <w:rPr>
                <w:rFonts w:ascii="Segoe UI" w:hAnsi="Segoe UI" w:cs="Segoe UI"/>
                <w:i/>
                <w:sz w:val="14"/>
                <w:szCs w:val="16"/>
                <w:lang w:val="en-US"/>
              </w:rPr>
              <w:t>30%</w:t>
            </w:r>
          </w:p>
        </w:tc>
      </w:tr>
      <w:tr w:rsidR="00553098" w:rsidRPr="00E95FD5" w:rsidTr="00250B3E">
        <w:trPr>
          <w:trHeight w:hRule="exact" w:val="227"/>
        </w:trPr>
        <w:tc>
          <w:tcPr>
            <w:tcW w:w="2152" w:type="pct"/>
            <w:tcBorders>
              <w:top w:val="nil"/>
              <w:left w:val="nil"/>
              <w:bottom w:val="single" w:sz="12" w:space="0" w:color="auto"/>
              <w:right w:val="nil"/>
            </w:tcBorders>
            <w:shd w:val="clear" w:color="auto" w:fill="F2F2F2" w:themeFill="background1" w:themeFillShade="F2"/>
            <w:tcMar>
              <w:top w:w="15" w:type="dxa"/>
              <w:left w:w="42" w:type="dxa"/>
              <w:bottom w:w="0" w:type="dxa"/>
              <w:right w:w="15" w:type="dxa"/>
            </w:tcMar>
            <w:vAlign w:val="center"/>
          </w:tcPr>
          <w:p w:rsidR="00553098" w:rsidRPr="00E95FD5" w:rsidRDefault="00553098" w:rsidP="00553098">
            <w:pPr>
              <w:textAlignment w:val="center"/>
              <w:rPr>
                <w:rFonts w:ascii="Segoe UI" w:eastAsia="Segoe UI" w:hAnsi="Segoe UI" w:cs="Segoe UI"/>
                <w:color w:val="000000"/>
                <w:kern w:val="24"/>
                <w:sz w:val="14"/>
                <w:szCs w:val="14"/>
                <w:lang w:eastAsia="el-GR"/>
              </w:rPr>
            </w:pPr>
            <w:r w:rsidRPr="00E95FD5">
              <w:rPr>
                <w:rFonts w:ascii="Segoe UI" w:eastAsia="Segoe UI" w:hAnsi="Segoe UI" w:cs="Segoe UI"/>
                <w:b/>
                <w:color w:val="000000"/>
                <w:kern w:val="24"/>
                <w:sz w:val="14"/>
                <w:szCs w:val="14"/>
                <w:lang w:eastAsia="el-GR"/>
              </w:rPr>
              <w:t xml:space="preserve">Κέρδη / (ζημίες) μετά </w:t>
            </w:r>
            <w:r w:rsidRPr="00976026">
              <w:rPr>
                <w:rFonts w:ascii="Segoe UI" w:eastAsia="Segoe UI" w:hAnsi="Segoe UI" w:cs="Segoe UI"/>
                <w:b/>
                <w:color w:val="000000"/>
                <w:kern w:val="24"/>
                <w:sz w:val="14"/>
                <w:szCs w:val="14"/>
                <w:lang w:eastAsia="el-GR"/>
              </w:rPr>
              <w:t xml:space="preserve">από φόρους </w:t>
            </w:r>
            <w:r w:rsidRPr="00E95FD5">
              <w:rPr>
                <w:rFonts w:ascii="Segoe UI" w:eastAsia="Segoe UI" w:hAnsi="Segoe UI" w:cs="Segoe UI"/>
                <w:b/>
                <w:color w:val="000000"/>
                <w:kern w:val="24"/>
                <w:sz w:val="14"/>
                <w:szCs w:val="14"/>
                <w:lang w:eastAsia="el-GR"/>
              </w:rPr>
              <w:t>περιόδου</w:t>
            </w:r>
          </w:p>
        </w:tc>
        <w:tc>
          <w:tcPr>
            <w:tcW w:w="475" w:type="pct"/>
            <w:tcBorders>
              <w:top w:val="nil"/>
              <w:bottom w:val="single" w:sz="8" w:space="0" w:color="000000"/>
            </w:tcBorders>
            <w:shd w:val="clear" w:color="000000" w:fill="F2F2F2"/>
            <w:vAlign w:val="center"/>
          </w:tcPr>
          <w:p w:rsidR="00553098" w:rsidRPr="00553098" w:rsidRDefault="00553098" w:rsidP="00553098">
            <w:pPr>
              <w:pStyle w:val="NormalWeb"/>
              <w:spacing w:before="0" w:beforeAutospacing="0" w:after="0" w:afterAutospacing="0"/>
              <w:ind w:right="148"/>
              <w:jc w:val="right"/>
              <w:textAlignment w:val="center"/>
              <w:rPr>
                <w:rFonts w:ascii="Segoe UI" w:hAnsi="Segoe UI" w:cs="Segoe UI"/>
                <w:b/>
                <w:sz w:val="14"/>
                <w:szCs w:val="16"/>
                <w:lang w:val="en-US"/>
              </w:rPr>
            </w:pPr>
            <w:r w:rsidRPr="00553098">
              <w:rPr>
                <w:rFonts w:ascii="Segoe UI" w:hAnsi="Segoe UI" w:cs="Segoe UI"/>
                <w:b/>
                <w:sz w:val="14"/>
                <w:szCs w:val="16"/>
                <w:lang w:val="en-US"/>
              </w:rPr>
              <w:t xml:space="preserve">575 </w:t>
            </w:r>
          </w:p>
        </w:tc>
        <w:tc>
          <w:tcPr>
            <w:tcW w:w="475" w:type="pct"/>
            <w:tcBorders>
              <w:top w:val="nil"/>
              <w:bottom w:val="single" w:sz="8" w:space="0" w:color="000000"/>
            </w:tcBorders>
            <w:shd w:val="clear" w:color="000000" w:fill="F2F2F2"/>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b/>
                <w:sz w:val="14"/>
                <w:szCs w:val="16"/>
                <w:lang w:val="en-US"/>
              </w:rPr>
            </w:pPr>
            <w:r w:rsidRPr="00CF19D1">
              <w:rPr>
                <w:rFonts w:ascii="Segoe UI" w:hAnsi="Segoe UI" w:cs="Segoe UI"/>
                <w:b/>
                <w:sz w:val="14"/>
                <w:szCs w:val="16"/>
                <w:lang w:val="en-US"/>
              </w:rPr>
              <w:t xml:space="preserve">360 </w:t>
            </w:r>
          </w:p>
        </w:tc>
        <w:tc>
          <w:tcPr>
            <w:tcW w:w="475" w:type="pct"/>
            <w:tcBorders>
              <w:top w:val="nil"/>
              <w:bottom w:val="single" w:sz="8" w:space="0" w:color="000000"/>
            </w:tcBorders>
            <w:shd w:val="clear" w:color="000000" w:fill="F2F2F2"/>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b/>
                <w:i/>
                <w:sz w:val="14"/>
                <w:szCs w:val="16"/>
                <w:lang w:val="en-US"/>
              </w:rPr>
            </w:pPr>
            <w:r w:rsidRPr="00CF19D1">
              <w:rPr>
                <w:rFonts w:ascii="Segoe UI" w:hAnsi="Segoe UI" w:cs="Segoe UI"/>
                <w:b/>
                <w:i/>
                <w:sz w:val="14"/>
                <w:szCs w:val="16"/>
                <w:lang w:val="en-US"/>
              </w:rPr>
              <w:t>60%</w:t>
            </w:r>
          </w:p>
        </w:tc>
        <w:tc>
          <w:tcPr>
            <w:tcW w:w="475" w:type="pct"/>
            <w:tcBorders>
              <w:top w:val="nil"/>
              <w:bottom w:val="single" w:sz="8" w:space="0" w:color="000000"/>
            </w:tcBorders>
            <w:shd w:val="clear" w:color="000000" w:fill="F2F2F2"/>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b/>
                <w:sz w:val="14"/>
                <w:szCs w:val="16"/>
                <w:lang w:val="en-US"/>
              </w:rPr>
            </w:pPr>
            <w:r w:rsidRPr="00CF19D1">
              <w:rPr>
                <w:rFonts w:ascii="Segoe UI" w:hAnsi="Segoe UI" w:cs="Segoe UI"/>
                <w:b/>
                <w:sz w:val="14"/>
                <w:szCs w:val="16"/>
                <w:lang w:val="en-US"/>
              </w:rPr>
              <w:t xml:space="preserve">18 </w:t>
            </w:r>
          </w:p>
        </w:tc>
        <w:tc>
          <w:tcPr>
            <w:tcW w:w="475" w:type="pct"/>
            <w:tcBorders>
              <w:top w:val="nil"/>
              <w:bottom w:val="single" w:sz="8" w:space="0" w:color="000000"/>
              <w:right w:val="nil"/>
            </w:tcBorders>
            <w:shd w:val="clear" w:color="000000" w:fill="F2F2F2"/>
            <w:vAlign w:val="center"/>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b/>
                <w:sz w:val="14"/>
                <w:szCs w:val="16"/>
                <w:lang w:val="en-US"/>
              </w:rPr>
            </w:pPr>
            <w:r w:rsidRPr="00CF19D1">
              <w:rPr>
                <w:rFonts w:ascii="Segoe UI" w:hAnsi="Segoe UI" w:cs="Segoe UI"/>
                <w:b/>
                <w:sz w:val="14"/>
                <w:szCs w:val="16"/>
                <w:lang w:val="en-US"/>
              </w:rPr>
              <w:t xml:space="preserve">557 </w:t>
            </w:r>
          </w:p>
        </w:tc>
        <w:tc>
          <w:tcPr>
            <w:tcW w:w="473" w:type="pct"/>
            <w:tcBorders>
              <w:top w:val="nil"/>
              <w:left w:val="nil"/>
              <w:bottom w:val="single" w:sz="8" w:space="0" w:color="auto"/>
              <w:right w:val="nil"/>
            </w:tcBorders>
            <w:shd w:val="clear" w:color="000000" w:fill="F2F2F2"/>
            <w:tcMar>
              <w:top w:w="15" w:type="dxa"/>
              <w:left w:w="15" w:type="dxa"/>
              <w:bottom w:w="0" w:type="dxa"/>
              <w:right w:w="84" w:type="dxa"/>
            </w:tcMar>
            <w:vAlign w:val="bottom"/>
          </w:tcPr>
          <w:p w:rsidR="00553098" w:rsidRPr="00CF19D1" w:rsidRDefault="00553098" w:rsidP="00553098">
            <w:pPr>
              <w:pStyle w:val="NormalWeb"/>
              <w:spacing w:before="0" w:beforeAutospacing="0" w:after="0" w:afterAutospacing="0"/>
              <w:ind w:right="148"/>
              <w:jc w:val="right"/>
              <w:textAlignment w:val="center"/>
              <w:rPr>
                <w:rFonts w:ascii="Segoe UI" w:hAnsi="Segoe UI" w:cs="Segoe UI"/>
                <w:b/>
                <w:i/>
                <w:sz w:val="14"/>
                <w:szCs w:val="16"/>
                <w:lang w:val="en-US"/>
              </w:rPr>
            </w:pPr>
            <w:r w:rsidRPr="00CF19D1">
              <w:rPr>
                <w:rFonts w:ascii="Segoe UI" w:hAnsi="Segoe UI" w:cs="Segoe UI"/>
                <w:b/>
                <w:i/>
                <w:sz w:val="14"/>
                <w:szCs w:val="16"/>
                <w:lang w:val="en-US"/>
              </w:rPr>
              <w:t>-97%</w:t>
            </w:r>
          </w:p>
        </w:tc>
      </w:tr>
    </w:tbl>
    <w:p w:rsidR="00907DAB" w:rsidRPr="00B315DE" w:rsidRDefault="006313CE" w:rsidP="00BE6158">
      <w:pPr>
        <w:jc w:val="both"/>
        <w:textAlignment w:val="baseline"/>
        <w:rPr>
          <w:rFonts w:ascii="Segoe UI" w:hAnsi="Segoe UI" w:cs="Segoe UI"/>
          <w:b/>
          <w:sz w:val="9"/>
          <w:szCs w:val="7"/>
        </w:rPr>
      </w:pPr>
      <w:r w:rsidRPr="00E457EB">
        <w:rPr>
          <w:rFonts w:ascii="Segoe UI" w:hAnsi="Segoe UI" w:cs="Segoe UI"/>
          <w:color w:val="000000" w:themeColor="text1"/>
          <w:kern w:val="24"/>
          <w:sz w:val="9"/>
          <w:szCs w:val="7"/>
          <w:vertAlign w:val="superscript"/>
        </w:rPr>
        <w:t xml:space="preserve">1 </w:t>
      </w:r>
      <w:r w:rsidR="005748DD" w:rsidRPr="00E457EB">
        <w:rPr>
          <w:rFonts w:ascii="Segoe UI" w:hAnsi="Segoe UI" w:cs="Segoe UI"/>
          <w:color w:val="000000" w:themeColor="text1"/>
          <w:kern w:val="24"/>
          <w:sz w:val="9"/>
          <w:szCs w:val="7"/>
        </w:rPr>
        <w:t>Περιλαμβάνουν μη επαναλαμβανόμενα κέρδη σχετιζόμενα</w:t>
      </w:r>
      <w:r w:rsidR="0020487F" w:rsidRPr="00E457EB">
        <w:rPr>
          <w:rFonts w:ascii="Segoe UI" w:hAnsi="Segoe UI" w:cs="Segoe UI"/>
          <w:color w:val="000000" w:themeColor="text1"/>
          <w:kern w:val="24"/>
          <w:sz w:val="9"/>
          <w:szCs w:val="7"/>
        </w:rPr>
        <w:t xml:space="preserve"> με </w:t>
      </w:r>
      <w:r w:rsidR="00D34341" w:rsidRPr="00E457EB">
        <w:rPr>
          <w:rFonts w:ascii="Segoe UI" w:hAnsi="Segoe UI" w:cs="Segoe UI"/>
          <w:color w:val="000000" w:themeColor="text1"/>
          <w:kern w:val="24"/>
          <w:sz w:val="9"/>
          <w:szCs w:val="7"/>
        </w:rPr>
        <w:t>συναλλαγές χρεογράφων</w:t>
      </w:r>
      <w:r w:rsidR="009C19E7" w:rsidRPr="00E457EB">
        <w:rPr>
          <w:rFonts w:ascii="Segoe UI" w:hAnsi="Segoe UI" w:cs="Segoe UI"/>
          <w:color w:val="000000" w:themeColor="text1"/>
          <w:kern w:val="24"/>
          <w:sz w:val="9"/>
          <w:szCs w:val="7"/>
        </w:rPr>
        <w:t xml:space="preserve"> (κυρίως ΟΕΔ)</w:t>
      </w:r>
      <w:r w:rsidR="00D34341" w:rsidRPr="00E457EB">
        <w:rPr>
          <w:rFonts w:ascii="Segoe UI" w:hAnsi="Segoe UI" w:cs="Segoe UI"/>
          <w:color w:val="000000" w:themeColor="text1"/>
          <w:kern w:val="24"/>
          <w:sz w:val="9"/>
          <w:szCs w:val="7"/>
        </w:rPr>
        <w:t xml:space="preserve"> συνολικού </w:t>
      </w:r>
      <w:r w:rsidR="00676B25" w:rsidRPr="00E457EB">
        <w:rPr>
          <w:rFonts w:ascii="Segoe UI" w:hAnsi="Segoe UI" w:cs="Segoe UI"/>
          <w:color w:val="000000" w:themeColor="text1"/>
          <w:kern w:val="24"/>
          <w:sz w:val="9"/>
          <w:szCs w:val="7"/>
        </w:rPr>
        <w:t>ύψους</w:t>
      </w:r>
      <w:r w:rsidR="008E22E7" w:rsidRPr="00E457EB">
        <w:rPr>
          <w:rFonts w:ascii="Segoe UI" w:hAnsi="Segoe UI" w:cs="Segoe UI"/>
          <w:color w:val="000000" w:themeColor="text1"/>
          <w:kern w:val="24"/>
          <w:sz w:val="9"/>
          <w:szCs w:val="7"/>
        </w:rPr>
        <w:t xml:space="preserve"> </w:t>
      </w:r>
      <w:r w:rsidR="00676B25" w:rsidRPr="00E457EB">
        <w:rPr>
          <w:rFonts w:ascii="Segoe UI" w:hAnsi="Segoe UI" w:cs="Segoe UI"/>
          <w:color w:val="000000" w:themeColor="text1"/>
          <w:kern w:val="24"/>
          <w:sz w:val="9"/>
          <w:szCs w:val="7"/>
        </w:rPr>
        <w:t>€</w:t>
      </w:r>
      <w:r w:rsidR="00FE4545" w:rsidRPr="00E457EB">
        <w:rPr>
          <w:rFonts w:ascii="Segoe UI" w:hAnsi="Segoe UI" w:cs="Segoe UI"/>
          <w:color w:val="000000" w:themeColor="text1"/>
          <w:kern w:val="24"/>
          <w:sz w:val="9"/>
          <w:szCs w:val="7"/>
        </w:rPr>
        <w:t>0.3</w:t>
      </w:r>
      <w:r w:rsidR="00383C2F" w:rsidRPr="00E457EB">
        <w:rPr>
          <w:rFonts w:ascii="Segoe UI" w:hAnsi="Segoe UI" w:cs="Segoe UI"/>
          <w:color w:val="000000" w:themeColor="text1"/>
          <w:kern w:val="24"/>
          <w:sz w:val="9"/>
          <w:szCs w:val="7"/>
        </w:rPr>
        <w:t xml:space="preserve"> δισ. </w:t>
      </w:r>
      <w:r w:rsidR="00B14E2C">
        <w:rPr>
          <w:rFonts w:ascii="Segoe UI" w:hAnsi="Segoe UI" w:cs="Segoe UI"/>
          <w:color w:val="000000" w:themeColor="text1"/>
          <w:kern w:val="24"/>
          <w:sz w:val="9"/>
          <w:szCs w:val="7"/>
        </w:rPr>
        <w:t xml:space="preserve">περίπου </w:t>
      </w:r>
      <w:r w:rsidR="00676B25" w:rsidRPr="00E457EB">
        <w:rPr>
          <w:rFonts w:ascii="Segoe UI" w:hAnsi="Segoe UI" w:cs="Segoe UI"/>
          <w:color w:val="000000" w:themeColor="text1"/>
          <w:kern w:val="24"/>
          <w:sz w:val="9"/>
          <w:szCs w:val="7"/>
        </w:rPr>
        <w:t xml:space="preserve">το </w:t>
      </w:r>
      <w:r w:rsidR="00C10E6E" w:rsidRPr="00E457EB">
        <w:rPr>
          <w:rFonts w:ascii="Segoe UI" w:hAnsi="Segoe UI" w:cs="Segoe UI"/>
          <w:color w:val="000000" w:themeColor="text1"/>
          <w:kern w:val="24"/>
          <w:sz w:val="9"/>
          <w:szCs w:val="7"/>
          <w:lang w:val="en-US"/>
        </w:rPr>
        <w:t>A</w:t>
      </w:r>
      <w:r w:rsidR="00C10E6E" w:rsidRPr="00E457EB">
        <w:rPr>
          <w:rFonts w:ascii="Segoe UI" w:hAnsi="Segoe UI" w:cs="Segoe UI"/>
          <w:color w:val="000000" w:themeColor="text1"/>
          <w:kern w:val="24"/>
          <w:sz w:val="9"/>
          <w:szCs w:val="7"/>
        </w:rPr>
        <w:t xml:space="preserve">’ </w:t>
      </w:r>
      <w:r w:rsidR="00E457EB" w:rsidRPr="00E457EB">
        <w:rPr>
          <w:rFonts w:ascii="Segoe UI" w:hAnsi="Segoe UI" w:cs="Segoe UI"/>
          <w:color w:val="000000" w:themeColor="text1"/>
          <w:kern w:val="24"/>
          <w:sz w:val="9"/>
          <w:szCs w:val="7"/>
        </w:rPr>
        <w:t>εξάμηνο</w:t>
      </w:r>
      <w:r w:rsidR="00826A56" w:rsidRPr="00E457EB">
        <w:rPr>
          <w:rFonts w:ascii="Segoe UI" w:hAnsi="Segoe UI" w:cs="Segoe UI"/>
          <w:color w:val="000000" w:themeColor="text1"/>
          <w:kern w:val="24"/>
          <w:sz w:val="9"/>
          <w:szCs w:val="7"/>
        </w:rPr>
        <w:t xml:space="preserve"> 2021 </w:t>
      </w:r>
      <w:r w:rsidR="00C10E6E" w:rsidRPr="00E457EB">
        <w:rPr>
          <w:rFonts w:ascii="Segoe UI" w:hAnsi="Segoe UI" w:cs="Segoe UI"/>
          <w:color w:val="000000" w:themeColor="text1"/>
          <w:kern w:val="24"/>
          <w:sz w:val="9"/>
          <w:szCs w:val="7"/>
        </w:rPr>
        <w:t>και €0.8 δισ.</w:t>
      </w:r>
      <w:r w:rsidR="00B14E2C">
        <w:t xml:space="preserve"> </w:t>
      </w:r>
      <w:r w:rsidR="00B14E2C" w:rsidRPr="00B14E2C">
        <w:rPr>
          <w:rFonts w:ascii="Segoe UI" w:hAnsi="Segoe UI" w:cs="Segoe UI"/>
          <w:color w:val="000000" w:themeColor="text1"/>
          <w:kern w:val="24"/>
          <w:sz w:val="9"/>
          <w:szCs w:val="7"/>
        </w:rPr>
        <w:t>περίπου</w:t>
      </w:r>
      <w:r w:rsidR="00C10E6E" w:rsidRPr="00E457EB">
        <w:rPr>
          <w:rFonts w:ascii="Segoe UI" w:hAnsi="Segoe UI" w:cs="Segoe UI"/>
          <w:color w:val="000000" w:themeColor="text1"/>
          <w:kern w:val="24"/>
          <w:sz w:val="9"/>
          <w:szCs w:val="7"/>
        </w:rPr>
        <w:t xml:space="preserve"> το </w:t>
      </w:r>
      <w:r w:rsidR="00C10E6E" w:rsidRPr="00E457EB">
        <w:rPr>
          <w:rFonts w:ascii="Segoe UI" w:hAnsi="Segoe UI" w:cs="Segoe UI"/>
          <w:color w:val="000000" w:themeColor="text1"/>
          <w:kern w:val="24"/>
          <w:sz w:val="9"/>
          <w:szCs w:val="7"/>
          <w:lang w:val="en-US"/>
        </w:rPr>
        <w:t>A</w:t>
      </w:r>
      <w:r w:rsidR="00C10E6E" w:rsidRPr="00E457EB">
        <w:rPr>
          <w:rFonts w:ascii="Segoe UI" w:hAnsi="Segoe UI" w:cs="Segoe UI"/>
          <w:color w:val="000000" w:themeColor="text1"/>
          <w:kern w:val="24"/>
          <w:sz w:val="9"/>
          <w:szCs w:val="7"/>
        </w:rPr>
        <w:t xml:space="preserve">’ </w:t>
      </w:r>
      <w:r w:rsidR="00E457EB" w:rsidRPr="00E457EB">
        <w:rPr>
          <w:rFonts w:ascii="Segoe UI" w:hAnsi="Segoe UI" w:cs="Segoe UI"/>
          <w:color w:val="000000" w:themeColor="text1"/>
          <w:kern w:val="24"/>
          <w:sz w:val="9"/>
          <w:szCs w:val="7"/>
        </w:rPr>
        <w:t xml:space="preserve">εξάμηνο </w:t>
      </w:r>
      <w:r w:rsidR="00C10E6E" w:rsidRPr="00E457EB">
        <w:rPr>
          <w:rFonts w:ascii="Segoe UI" w:hAnsi="Segoe UI" w:cs="Segoe UI"/>
          <w:color w:val="000000" w:themeColor="text1"/>
          <w:kern w:val="24"/>
          <w:sz w:val="9"/>
          <w:szCs w:val="7"/>
        </w:rPr>
        <w:t>2020</w:t>
      </w:r>
      <w:r w:rsidR="00676B25" w:rsidRPr="00E457EB">
        <w:rPr>
          <w:rFonts w:ascii="Segoe UI" w:hAnsi="Segoe UI" w:cs="Segoe UI"/>
          <w:color w:val="000000" w:themeColor="text1"/>
          <w:kern w:val="24"/>
          <w:sz w:val="9"/>
          <w:szCs w:val="7"/>
        </w:rPr>
        <w:t xml:space="preserve"> </w:t>
      </w:r>
      <w:r w:rsidR="005748DD" w:rsidRPr="00E457EB">
        <w:rPr>
          <w:rFonts w:ascii="Segoe UI" w:hAnsi="Segoe UI" w:cs="Segoe UI"/>
          <w:color w:val="000000" w:themeColor="text1"/>
          <w:kern w:val="24"/>
          <w:sz w:val="9"/>
          <w:szCs w:val="7"/>
        </w:rPr>
        <w:t>/</w:t>
      </w:r>
      <w:r w:rsidRPr="00E457EB">
        <w:rPr>
          <w:rFonts w:ascii="Segoe UI" w:hAnsi="Segoe UI" w:cs="Segoe UI"/>
          <w:color w:val="000000" w:themeColor="text1"/>
          <w:kern w:val="24"/>
          <w:sz w:val="9"/>
          <w:szCs w:val="7"/>
        </w:rPr>
        <w:t xml:space="preserve"> </w:t>
      </w:r>
      <w:r w:rsidRPr="00E457EB">
        <w:rPr>
          <w:rFonts w:ascii="Segoe UI" w:hAnsi="Segoe UI" w:cs="Segoe UI"/>
          <w:color w:val="000000" w:themeColor="text1"/>
          <w:kern w:val="24"/>
          <w:sz w:val="9"/>
          <w:szCs w:val="7"/>
          <w:vertAlign w:val="superscript"/>
        </w:rPr>
        <w:t>2</w:t>
      </w:r>
      <w:r w:rsidR="00924835" w:rsidRPr="00E457EB">
        <w:rPr>
          <w:rFonts w:ascii="Segoe UI" w:hAnsi="Segoe UI" w:cs="Segoe UI"/>
          <w:color w:val="000000" w:themeColor="text1"/>
          <w:kern w:val="24"/>
          <w:sz w:val="9"/>
          <w:szCs w:val="7"/>
          <w:vertAlign w:val="superscript"/>
        </w:rPr>
        <w:t xml:space="preserve"> </w:t>
      </w:r>
      <w:r w:rsidRPr="00E457EB">
        <w:rPr>
          <w:rFonts w:ascii="Segoe UI" w:hAnsi="Segoe UI" w:cs="Segoe UI"/>
          <w:color w:val="000000" w:themeColor="text1"/>
          <w:kern w:val="24"/>
          <w:sz w:val="9"/>
          <w:szCs w:val="7"/>
        </w:rPr>
        <w:t xml:space="preserve">Εξαιρούν </w:t>
      </w:r>
      <w:r w:rsidR="00286F74" w:rsidRPr="00E457EB">
        <w:rPr>
          <w:rFonts w:ascii="Segoe UI" w:hAnsi="Segoe UI" w:cs="Segoe UI"/>
          <w:color w:val="000000" w:themeColor="text1"/>
          <w:kern w:val="24"/>
          <w:sz w:val="9"/>
          <w:szCs w:val="7"/>
        </w:rPr>
        <w:t xml:space="preserve">τα έσοδα </w:t>
      </w:r>
      <w:r w:rsidR="001D5623" w:rsidRPr="00E457EB">
        <w:rPr>
          <w:rFonts w:ascii="Segoe UI" w:hAnsi="Segoe UI" w:cs="Segoe UI"/>
          <w:color w:val="000000" w:themeColor="text1"/>
          <w:kern w:val="24"/>
          <w:sz w:val="9"/>
          <w:szCs w:val="7"/>
        </w:rPr>
        <w:t xml:space="preserve">από </w:t>
      </w:r>
      <w:r w:rsidR="00286F74" w:rsidRPr="00E457EB">
        <w:rPr>
          <w:rFonts w:ascii="Segoe UI" w:hAnsi="Segoe UI" w:cs="Segoe UI"/>
          <w:color w:val="000000" w:themeColor="text1"/>
          <w:kern w:val="24"/>
          <w:sz w:val="9"/>
          <w:szCs w:val="7"/>
        </w:rPr>
        <w:t>χρηματοοικονομικές πράξεις και λοιπά έσοδα</w:t>
      </w:r>
      <w:r w:rsidR="00383C2F" w:rsidRPr="00E457EB">
        <w:rPr>
          <w:rFonts w:ascii="Segoe UI" w:hAnsi="Segoe UI" w:cs="Segoe UI"/>
          <w:color w:val="000000" w:themeColor="text1"/>
          <w:kern w:val="24"/>
          <w:sz w:val="9"/>
          <w:szCs w:val="7"/>
        </w:rPr>
        <w:t xml:space="preserve">, καθώς </w:t>
      </w:r>
      <w:r w:rsidR="00F2105E" w:rsidRPr="00E457EB">
        <w:rPr>
          <w:rFonts w:ascii="Segoe UI" w:hAnsi="Segoe UI" w:cs="Segoe UI"/>
          <w:color w:val="000000" w:themeColor="text1"/>
          <w:kern w:val="24"/>
          <w:sz w:val="9"/>
          <w:szCs w:val="7"/>
        </w:rPr>
        <w:t>και τ</w:t>
      </w:r>
      <w:r w:rsidRPr="00E457EB">
        <w:rPr>
          <w:rFonts w:ascii="Segoe UI" w:hAnsi="Segoe UI" w:cs="Segoe UI"/>
          <w:color w:val="000000" w:themeColor="text1"/>
          <w:kern w:val="24"/>
          <w:sz w:val="9"/>
          <w:szCs w:val="7"/>
        </w:rPr>
        <w:t xml:space="preserve">ις προβλέψεις </w:t>
      </w:r>
      <w:r w:rsidR="00467E58" w:rsidRPr="00E457EB">
        <w:rPr>
          <w:rFonts w:ascii="Segoe UI" w:hAnsi="Segoe UI" w:cs="Segoe UI"/>
          <w:color w:val="000000" w:themeColor="text1"/>
          <w:kern w:val="24"/>
          <w:sz w:val="9"/>
          <w:szCs w:val="7"/>
        </w:rPr>
        <w:t xml:space="preserve">σχετιζόμενες με την πανδημία του κορωνοϊού </w:t>
      </w:r>
      <w:r w:rsidR="00383C2F" w:rsidRPr="00E457EB">
        <w:rPr>
          <w:rFonts w:ascii="Segoe UI" w:hAnsi="Segoe UI" w:cs="Segoe UI"/>
          <w:color w:val="000000" w:themeColor="text1"/>
          <w:kern w:val="24"/>
          <w:sz w:val="9"/>
          <w:szCs w:val="7"/>
        </w:rPr>
        <w:t>(</w:t>
      </w:r>
      <w:r w:rsidRPr="00E457EB">
        <w:rPr>
          <w:rFonts w:ascii="Segoe UI" w:hAnsi="Segoe UI" w:cs="Segoe UI"/>
          <w:color w:val="000000" w:themeColor="text1"/>
          <w:kern w:val="24"/>
          <w:sz w:val="9"/>
          <w:szCs w:val="7"/>
        </w:rPr>
        <w:t>€</w:t>
      </w:r>
      <w:r w:rsidR="00383C2F" w:rsidRPr="00E457EB">
        <w:rPr>
          <w:rFonts w:ascii="Segoe UI" w:hAnsi="Segoe UI" w:cs="Segoe UI"/>
          <w:color w:val="000000" w:themeColor="text1"/>
          <w:kern w:val="24"/>
          <w:sz w:val="9"/>
          <w:szCs w:val="7"/>
        </w:rPr>
        <w:t>0,4 δισ.</w:t>
      </w:r>
      <w:r w:rsidR="00B14E2C" w:rsidRPr="00B14E2C">
        <w:rPr>
          <w:rFonts w:ascii="Segoe UI" w:hAnsi="Segoe UI" w:cs="Segoe UI"/>
          <w:color w:val="000000" w:themeColor="text1"/>
          <w:kern w:val="24"/>
          <w:sz w:val="9"/>
          <w:szCs w:val="7"/>
        </w:rPr>
        <w:t xml:space="preserve"> </w:t>
      </w:r>
      <w:r w:rsidR="00B14E2C">
        <w:rPr>
          <w:rFonts w:ascii="Segoe UI" w:hAnsi="Segoe UI" w:cs="Segoe UI"/>
          <w:color w:val="000000" w:themeColor="text1"/>
          <w:kern w:val="24"/>
          <w:sz w:val="9"/>
          <w:szCs w:val="7"/>
        </w:rPr>
        <w:t>περίπου</w:t>
      </w:r>
      <w:r w:rsidR="00383C2F" w:rsidRPr="00E457EB">
        <w:rPr>
          <w:rFonts w:ascii="Segoe UI" w:hAnsi="Segoe UI" w:cs="Segoe UI"/>
          <w:color w:val="000000" w:themeColor="text1"/>
          <w:kern w:val="24"/>
          <w:sz w:val="9"/>
          <w:szCs w:val="7"/>
        </w:rPr>
        <w:t xml:space="preserve">) </w:t>
      </w:r>
      <w:r w:rsidR="00C10E6E" w:rsidRPr="00E457EB">
        <w:rPr>
          <w:rFonts w:ascii="Segoe UI" w:hAnsi="Segoe UI" w:cs="Segoe UI"/>
          <w:color w:val="000000" w:themeColor="text1"/>
          <w:kern w:val="24"/>
          <w:sz w:val="9"/>
          <w:szCs w:val="7"/>
        </w:rPr>
        <w:t xml:space="preserve">το Α’ </w:t>
      </w:r>
      <w:r w:rsidR="00E457EB" w:rsidRPr="00E457EB">
        <w:rPr>
          <w:rFonts w:ascii="Segoe UI" w:hAnsi="Segoe UI" w:cs="Segoe UI"/>
          <w:color w:val="000000" w:themeColor="text1"/>
          <w:kern w:val="24"/>
          <w:sz w:val="9"/>
          <w:szCs w:val="7"/>
        </w:rPr>
        <w:t xml:space="preserve">εξάμηνο </w:t>
      </w:r>
      <w:r w:rsidR="00C10E6E" w:rsidRPr="00E457EB">
        <w:rPr>
          <w:rFonts w:ascii="Segoe UI" w:hAnsi="Segoe UI" w:cs="Segoe UI"/>
          <w:color w:val="000000" w:themeColor="text1"/>
          <w:kern w:val="24"/>
          <w:sz w:val="9"/>
          <w:szCs w:val="7"/>
        </w:rPr>
        <w:t>2020</w:t>
      </w:r>
    </w:p>
    <w:p w:rsidR="00E55AED" w:rsidRPr="00F73358" w:rsidRDefault="00B315DE" w:rsidP="00E55AED">
      <w:pPr>
        <w:jc w:val="both"/>
        <w:rPr>
          <w:rFonts w:ascii="Segoe UI" w:hAnsi="Segoe UI" w:cs="Segoe UI"/>
          <w:b/>
          <w:sz w:val="36"/>
        </w:rPr>
      </w:pPr>
      <w:r w:rsidRPr="00F73358">
        <w:rPr>
          <w:rFonts w:ascii="Segoe UI" w:hAnsi="Segoe UI" w:cs="Segoe UI"/>
          <w:noProof/>
          <w:sz w:val="36"/>
          <w:lang w:eastAsia="el-GR"/>
        </w:rPr>
        <mc:AlternateContent>
          <mc:Choice Requires="wps">
            <w:drawing>
              <wp:anchor distT="0" distB="0" distL="114300" distR="114300" simplePos="0" relativeHeight="251680256" behindDoc="0" locked="0" layoutInCell="1" allowOverlap="1" wp14:anchorId="6F4F3C36" wp14:editId="4DC5D6A2">
                <wp:simplePos x="0" y="0"/>
                <wp:positionH relativeFrom="column">
                  <wp:posOffset>2711555</wp:posOffset>
                </wp:positionH>
                <wp:positionV relativeFrom="paragraph">
                  <wp:posOffset>306070</wp:posOffset>
                </wp:positionV>
                <wp:extent cx="611505" cy="1655445"/>
                <wp:effectExtent l="0" t="0" r="17145" b="20955"/>
                <wp:wrapNone/>
                <wp:docPr id="26"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 cy="1655445"/>
                        </a:xfrm>
                        <a:prstGeom prst="roundRect">
                          <a:avLst/>
                        </a:prstGeom>
                        <a:noFill/>
                        <a:ln w="9525" cap="flat" cmpd="sng" algn="ctr">
                          <a:solidFill>
                            <a:srgbClr val="FF7415"/>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roundrect w14:anchorId="03A2E1D7" id="Rounded Rectangle 18" o:spid="_x0000_s1026" style="position:absolute;margin-left:213.5pt;margin-top:24.1pt;width:48.15pt;height:130.3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" filled="f" strokecolor="#ff7415">
                <v:path arrowok="t"/>
              </v:roundrect>
            </w:pict>
          </mc:Fallback>
        </mc:AlternateContent>
      </w:r>
      <w:r w:rsidR="007F463F" w:rsidRPr="006F363E">
        <w:rPr>
          <w:rFonts w:ascii="Segoe UI" w:hAnsi="Segoe UI" w:cs="Segoe UI"/>
          <w:b/>
          <w:noProof/>
          <w:sz w:val="18"/>
          <w:szCs w:val="20"/>
          <w:lang w:eastAsia="el-GR"/>
        </w:rPr>
        <mc:AlternateContent>
          <mc:Choice Requires="wps">
            <w:drawing>
              <wp:anchor distT="0" distB="0" distL="114300" distR="114300" simplePos="0" relativeHeight="251654656" behindDoc="0" locked="0" layoutInCell="1" allowOverlap="1" wp14:anchorId="61D519B1" wp14:editId="474796DB">
                <wp:simplePos x="0" y="0"/>
                <wp:positionH relativeFrom="column">
                  <wp:posOffset>-8890</wp:posOffset>
                </wp:positionH>
                <wp:positionV relativeFrom="paragraph">
                  <wp:posOffset>44656</wp:posOffset>
                </wp:positionV>
                <wp:extent cx="3416300" cy="329565"/>
                <wp:effectExtent l="0" t="0" r="0" b="0"/>
                <wp:wrapNone/>
                <wp:docPr id="27" name="Rectangle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3416300" cy="3295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337" w:rsidRPr="00053193" w:rsidRDefault="00DA0337" w:rsidP="0044756B">
                            <w:pPr>
                              <w:kinsoku w:val="0"/>
                              <w:overflowPunct w:val="0"/>
                              <w:spacing w:before="40"/>
                              <w:ind w:left="547" w:hanging="547"/>
                              <w:textAlignment w:val="baseline"/>
                              <w:rPr>
                                <w:rFonts w:ascii="Segoe UI" w:eastAsia="Segoe UI" w:hAnsi="Segoe UI" w:cs="Segoe UI"/>
                                <w:b/>
                                <w:color w:val="008080"/>
                                <w:kern w:val="24"/>
                                <w:sz w:val="16"/>
                              </w:rPr>
                            </w:pPr>
                            <w:r>
                              <w:rPr>
                                <w:rFonts w:ascii="Segoe UI" w:eastAsia="Segoe UI" w:hAnsi="Segoe UI" w:cs="Segoe UI"/>
                                <w:b/>
                                <w:color w:val="008080"/>
                                <w:kern w:val="24"/>
                                <w:sz w:val="20"/>
                              </w:rPr>
                              <w:t>Κατάσταση</w:t>
                            </w:r>
                            <w:r w:rsidRPr="0044756B">
                              <w:rPr>
                                <w:rFonts w:ascii="Segoe UI" w:eastAsia="Segoe UI" w:hAnsi="Segoe UI" w:cs="Segoe UI"/>
                                <w:b/>
                                <w:color w:val="008080"/>
                                <w:kern w:val="24"/>
                                <w:sz w:val="20"/>
                                <w:lang w:val="en-US"/>
                              </w:rPr>
                              <w:t xml:space="preserve"> </w:t>
                            </w:r>
                            <w:r>
                              <w:rPr>
                                <w:rFonts w:ascii="Segoe UI" w:eastAsia="Segoe UI" w:hAnsi="Segoe UI" w:cs="Segoe UI"/>
                                <w:b/>
                                <w:color w:val="008080"/>
                                <w:kern w:val="24"/>
                                <w:sz w:val="20"/>
                              </w:rPr>
                              <w:t>Χρηματοοικονομικής Θέσης</w:t>
                            </w:r>
                            <w:r w:rsidRPr="0044756B">
                              <w:rPr>
                                <w:rFonts w:ascii="Segoe UI" w:eastAsia="Segoe UI" w:hAnsi="Segoe UI" w:cs="Segoe UI"/>
                                <w:b/>
                                <w:color w:val="008080"/>
                                <w:kern w:val="24"/>
                                <w:sz w:val="20"/>
                                <w:vertAlign w:val="superscript"/>
                                <w:lang w:val="en-US"/>
                              </w:rPr>
                              <w:t>1</w:t>
                            </w:r>
                            <w:r>
                              <w:rPr>
                                <w:rFonts w:ascii="Segoe UI" w:eastAsia="Segoe UI" w:hAnsi="Segoe UI" w:cs="Segoe UI"/>
                                <w:b/>
                                <w:color w:val="008080"/>
                                <w:kern w:val="24"/>
                                <w:sz w:val="20"/>
                                <w:vertAlign w:val="superscript"/>
                              </w:rPr>
                              <w:t xml:space="preserve"> </w:t>
                            </w:r>
                            <w:r w:rsidRPr="0044756B">
                              <w:rPr>
                                <w:rFonts w:ascii="Segoe UI" w:eastAsia="Segoe UI" w:hAnsi="Segoe UI" w:cs="Segoe UI"/>
                                <w:b/>
                                <w:color w:val="008080"/>
                                <w:kern w:val="24"/>
                                <w:sz w:val="20"/>
                                <w:lang w:val="en-US"/>
                              </w:rPr>
                              <w:t>|</w:t>
                            </w:r>
                            <w:r>
                              <w:rPr>
                                <w:rFonts w:ascii="Segoe UI" w:eastAsia="Segoe UI" w:hAnsi="Segoe UI" w:cs="Segoe UI"/>
                                <w:b/>
                                <w:color w:val="008080"/>
                                <w:kern w:val="24"/>
                                <w:sz w:val="20"/>
                              </w:rPr>
                              <w:t xml:space="preserve"> Όμιλος</w:t>
                            </w:r>
                          </w:p>
                          <w:p w:rsidR="00DA0337" w:rsidRPr="00D46FEC" w:rsidRDefault="00DA0337" w:rsidP="00E55AED">
                            <w:pPr>
                              <w:kinsoku w:val="0"/>
                              <w:overflowPunct w:val="0"/>
                              <w:spacing w:before="40"/>
                              <w:ind w:left="547" w:hanging="547"/>
                              <w:textAlignment w:val="baseline"/>
                              <w:rPr>
                                <w:rFonts w:ascii="Segoe UI" w:eastAsia="Segoe UI" w:hAnsi="Segoe UI" w:cs="Segoe UI"/>
                                <w:b/>
                                <w:color w:val="008080"/>
                                <w:kern w:val="24"/>
                                <w:sz w:val="16"/>
                              </w:rPr>
                            </w:pPr>
                          </w:p>
                          <w:p w:rsidR="00DA0337" w:rsidRPr="00D46FEC" w:rsidRDefault="00DA0337" w:rsidP="00E55AED">
                            <w:pPr>
                              <w:kinsoku w:val="0"/>
                              <w:overflowPunct w:val="0"/>
                              <w:spacing w:before="40"/>
                              <w:ind w:left="547" w:hanging="547"/>
                              <w:textAlignment w:val="baseline"/>
                              <w:rPr>
                                <w:rFonts w:ascii="Segoe UI" w:eastAsia="Segoe UI" w:hAnsi="Segoe UI" w:cs="Segoe UI"/>
                                <w:b/>
                                <w:color w:val="008080"/>
                                <w:kern w:val="24"/>
                                <w:sz w:val="16"/>
                              </w:rPr>
                            </w:pPr>
                          </w:p>
                          <w:p w:rsidR="00DA0337" w:rsidRPr="00FE1137" w:rsidRDefault="00DA0337" w:rsidP="00E55AED">
                            <w:pPr>
                              <w:kinsoku w:val="0"/>
                              <w:overflowPunct w:val="0"/>
                              <w:spacing w:before="40"/>
                              <w:ind w:left="547" w:hanging="547"/>
                              <w:textAlignment w:val="baseline"/>
                              <w:rPr>
                                <w:b/>
                                <w:color w:val="008080"/>
                                <w:sz w:val="16"/>
                              </w:rPr>
                            </w:pPr>
                          </w:p>
                        </w:txbxContent>
                      </wps:txbx>
                      <wps:bodyPr rot="0" vert="horz" wrap="square" lIns="45716" tIns="45716" rIns="45716" bIns="45716"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1D519B1" id="Rectangle 4" o:spid="_x0000_s1032" style="position:absolute;left:0;text-align:left;margin-left:-.7pt;margin-top:3.5pt;width:269pt;height:25.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" filled="f" stroked="f">
                <v:path arrowok="t"/>
                <o:lock v:ext="edit" grouping="t"/>
                <v:textbox inset="1.2699mm,1.2699mm,1.2699mm,1.2699mm">
                  <w:txbxContent>
                    <w:p w:rsidR="00DA0337" w:rsidRPr="00053193" w:rsidRDefault="00DA0337" w:rsidP="0044756B">
                      <w:pPr>
                        <w:kinsoku w:val="0"/>
                        <w:overflowPunct w:val="0"/>
                        <w:spacing w:before="40"/>
                        <w:ind w:left="547" w:hanging="547"/>
                        <w:textAlignment w:val="baseline"/>
                        <w:rPr>
                          <w:rFonts w:ascii="Segoe UI" w:eastAsia="Segoe UI" w:hAnsi="Segoe UI" w:cs="Segoe UI"/>
                          <w:b/>
                          <w:color w:val="008080"/>
                          <w:kern w:val="24"/>
                          <w:sz w:val="16"/>
                        </w:rPr>
                      </w:pPr>
                      <w:r>
                        <w:rPr>
                          <w:rFonts w:ascii="Segoe UI" w:eastAsia="Segoe UI" w:hAnsi="Segoe UI" w:cs="Segoe UI"/>
                          <w:b/>
                          <w:color w:val="008080"/>
                          <w:kern w:val="24"/>
                          <w:sz w:val="20"/>
                        </w:rPr>
                        <w:t>Κατάσταση</w:t>
                      </w:r>
                      <w:r w:rsidRPr="0044756B">
                        <w:rPr>
                          <w:rFonts w:ascii="Segoe UI" w:eastAsia="Segoe UI" w:hAnsi="Segoe UI" w:cs="Segoe UI"/>
                          <w:b/>
                          <w:color w:val="008080"/>
                          <w:kern w:val="24"/>
                          <w:sz w:val="20"/>
                          <w:lang w:val="en-US"/>
                        </w:rPr>
                        <w:t xml:space="preserve"> </w:t>
                      </w:r>
                      <w:r>
                        <w:rPr>
                          <w:rFonts w:ascii="Segoe UI" w:eastAsia="Segoe UI" w:hAnsi="Segoe UI" w:cs="Segoe UI"/>
                          <w:b/>
                          <w:color w:val="008080"/>
                          <w:kern w:val="24"/>
                          <w:sz w:val="20"/>
                        </w:rPr>
                        <w:t>Χρηματοοικονομικής Θέσης</w:t>
                      </w:r>
                      <w:r w:rsidRPr="0044756B">
                        <w:rPr>
                          <w:rFonts w:ascii="Segoe UI" w:eastAsia="Segoe UI" w:hAnsi="Segoe UI" w:cs="Segoe UI"/>
                          <w:b/>
                          <w:color w:val="008080"/>
                          <w:kern w:val="24"/>
                          <w:sz w:val="20"/>
                          <w:vertAlign w:val="superscript"/>
                          <w:lang w:val="en-US"/>
                        </w:rPr>
                        <w:t>1</w:t>
                      </w:r>
                      <w:r>
                        <w:rPr>
                          <w:rFonts w:ascii="Segoe UI" w:eastAsia="Segoe UI" w:hAnsi="Segoe UI" w:cs="Segoe UI"/>
                          <w:b/>
                          <w:color w:val="008080"/>
                          <w:kern w:val="24"/>
                          <w:sz w:val="20"/>
                          <w:vertAlign w:val="superscript"/>
                        </w:rPr>
                        <w:t xml:space="preserve"> </w:t>
                      </w:r>
                      <w:r w:rsidRPr="0044756B">
                        <w:rPr>
                          <w:rFonts w:ascii="Segoe UI" w:eastAsia="Segoe UI" w:hAnsi="Segoe UI" w:cs="Segoe UI"/>
                          <w:b/>
                          <w:color w:val="008080"/>
                          <w:kern w:val="24"/>
                          <w:sz w:val="20"/>
                          <w:lang w:val="en-US"/>
                        </w:rPr>
                        <w:t>|</w:t>
                      </w:r>
                      <w:r>
                        <w:rPr>
                          <w:rFonts w:ascii="Segoe UI" w:eastAsia="Segoe UI" w:hAnsi="Segoe UI" w:cs="Segoe UI"/>
                          <w:b/>
                          <w:color w:val="008080"/>
                          <w:kern w:val="24"/>
                          <w:sz w:val="20"/>
                        </w:rPr>
                        <w:t xml:space="preserve"> Όμιλος</w:t>
                      </w:r>
                    </w:p>
                    <w:p w:rsidR="00DA0337" w:rsidRPr="00D46FEC" w:rsidRDefault="00DA0337" w:rsidP="00E55AED">
                      <w:pPr>
                        <w:kinsoku w:val="0"/>
                        <w:overflowPunct w:val="0"/>
                        <w:spacing w:before="40"/>
                        <w:ind w:left="547" w:hanging="547"/>
                        <w:textAlignment w:val="baseline"/>
                        <w:rPr>
                          <w:rFonts w:ascii="Segoe UI" w:eastAsia="Segoe UI" w:hAnsi="Segoe UI" w:cs="Segoe UI"/>
                          <w:b/>
                          <w:color w:val="008080"/>
                          <w:kern w:val="24"/>
                          <w:sz w:val="16"/>
                        </w:rPr>
                      </w:pPr>
                    </w:p>
                    <w:p w:rsidR="00DA0337" w:rsidRPr="00D46FEC" w:rsidRDefault="00DA0337" w:rsidP="00E55AED">
                      <w:pPr>
                        <w:kinsoku w:val="0"/>
                        <w:overflowPunct w:val="0"/>
                        <w:spacing w:before="40"/>
                        <w:ind w:left="547" w:hanging="547"/>
                        <w:textAlignment w:val="baseline"/>
                        <w:rPr>
                          <w:rFonts w:ascii="Segoe UI" w:eastAsia="Segoe UI" w:hAnsi="Segoe UI" w:cs="Segoe UI"/>
                          <w:b/>
                          <w:color w:val="008080"/>
                          <w:kern w:val="24"/>
                          <w:sz w:val="16"/>
                        </w:rPr>
                      </w:pPr>
                    </w:p>
                    <w:p w:rsidR="00DA0337" w:rsidRPr="00FE1137" w:rsidRDefault="00DA0337" w:rsidP="00E55AED">
                      <w:pPr>
                        <w:kinsoku w:val="0"/>
                        <w:overflowPunct w:val="0"/>
                        <w:spacing w:before="40"/>
                        <w:ind w:left="547" w:hanging="547"/>
                        <w:textAlignment w:val="baseline"/>
                        <w:rPr>
                          <w:b/>
                          <w:color w:val="008080"/>
                          <w:sz w:val="16"/>
                        </w:rPr>
                      </w:pPr>
                    </w:p>
                  </w:txbxContent>
                </v:textbox>
              </v:rect>
            </w:pict>
          </mc:Fallback>
        </mc:AlternateContent>
      </w:r>
    </w:p>
    <w:tbl>
      <w:tblPr>
        <w:tblW w:w="4959" w:type="pct"/>
        <w:tblCellMar>
          <w:left w:w="0" w:type="dxa"/>
          <w:right w:w="0" w:type="dxa"/>
        </w:tblCellMar>
        <w:tblLook w:val="0420" w:firstRow="1" w:lastRow="0" w:firstColumn="0" w:lastColumn="0" w:noHBand="0" w:noVBand="1"/>
      </w:tblPr>
      <w:tblGrid>
        <w:gridCol w:w="4352"/>
        <w:gridCol w:w="961"/>
        <w:gridCol w:w="961"/>
        <w:gridCol w:w="961"/>
        <w:gridCol w:w="961"/>
        <w:gridCol w:w="961"/>
        <w:gridCol w:w="957"/>
      </w:tblGrid>
      <w:tr w:rsidR="00207E3A" w:rsidRPr="006B4FB1" w:rsidTr="0046043D">
        <w:trPr>
          <w:trHeight w:val="287"/>
        </w:trPr>
        <w:tc>
          <w:tcPr>
            <w:tcW w:w="2151" w:type="pct"/>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207E3A" w:rsidRPr="006B4FB1" w:rsidRDefault="00207E3A" w:rsidP="00AE6D40">
            <w:pPr>
              <w:spacing w:before="38"/>
              <w:textAlignment w:val="baseline"/>
              <w:rPr>
                <w:rFonts w:ascii="Segoe UI" w:eastAsia="Times New Roman" w:hAnsi="Segoe UI" w:cs="Segoe UI"/>
                <w:sz w:val="14"/>
                <w:szCs w:val="14"/>
                <w:lang w:eastAsia="el-GR"/>
              </w:rPr>
            </w:pPr>
            <w:r w:rsidRPr="006B4FB1">
              <w:rPr>
                <w:rFonts w:ascii="Segoe UI" w:eastAsia="Segoe UI" w:hAnsi="Segoe UI" w:cs="Segoe UI"/>
                <w:b/>
                <w:bCs/>
                <w:color w:val="000000"/>
                <w:kern w:val="24"/>
                <w:sz w:val="14"/>
                <w:szCs w:val="14"/>
                <w:lang w:eastAsia="el-GR"/>
              </w:rPr>
              <w:t>€ εκατ.</w:t>
            </w:r>
          </w:p>
        </w:tc>
        <w:tc>
          <w:tcPr>
            <w:tcW w:w="475" w:type="pct"/>
            <w:tcBorders>
              <w:top w:val="single" w:sz="8" w:space="0" w:color="000000"/>
              <w:left w:val="nil"/>
              <w:bottom w:val="single" w:sz="8" w:space="0" w:color="000000"/>
              <w:right w:val="nil"/>
            </w:tcBorders>
            <w:vAlign w:val="center"/>
          </w:tcPr>
          <w:p w:rsidR="00207E3A" w:rsidRDefault="00207E3A" w:rsidP="003A412B">
            <w:pPr>
              <w:ind w:right="148"/>
              <w:jc w:val="right"/>
              <w:rPr>
                <w:rFonts w:ascii="Segoe UI" w:hAnsi="Segoe UI" w:cs="Segoe UI"/>
                <w:noProof/>
                <w:sz w:val="12"/>
                <w:szCs w:val="14"/>
                <w:lang w:eastAsia="el-GR"/>
              </w:rPr>
            </w:pPr>
            <w:r>
              <w:rPr>
                <w:rFonts w:ascii="Segoe UI" w:eastAsia="Times New Roman" w:hAnsi="Segoe UI" w:cs="Segoe UI"/>
                <w:b/>
                <w:bCs/>
                <w:color w:val="000000" w:themeColor="text1"/>
                <w:kern w:val="24"/>
                <w:sz w:val="14"/>
                <w:szCs w:val="14"/>
                <w:lang w:eastAsia="el-GR"/>
              </w:rPr>
              <w:t>Β</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21</w:t>
            </w:r>
          </w:p>
        </w:tc>
        <w:tc>
          <w:tcPr>
            <w:tcW w:w="475" w:type="pct"/>
            <w:tcBorders>
              <w:top w:val="single" w:sz="8" w:space="0" w:color="000000"/>
              <w:left w:val="nil"/>
              <w:bottom w:val="single" w:sz="8" w:space="0" w:color="000000"/>
              <w:right w:val="nil"/>
            </w:tcBorders>
            <w:vAlign w:val="center"/>
          </w:tcPr>
          <w:p w:rsidR="00207E3A" w:rsidRDefault="00207E3A" w:rsidP="003A412B">
            <w:pPr>
              <w:ind w:right="148"/>
              <w:jc w:val="right"/>
              <w:rPr>
                <w:rFonts w:ascii="Segoe UI" w:hAnsi="Segoe UI" w:cs="Segoe UI"/>
                <w:noProof/>
                <w:sz w:val="12"/>
                <w:szCs w:val="14"/>
                <w:lang w:eastAsia="el-GR"/>
              </w:rPr>
            </w:pPr>
            <w:r>
              <w:rPr>
                <w:rFonts w:ascii="Segoe UI" w:eastAsia="Times New Roman" w:hAnsi="Segoe UI" w:cs="Segoe UI"/>
                <w:b/>
                <w:bCs/>
                <w:color w:val="000000" w:themeColor="text1"/>
                <w:kern w:val="24"/>
                <w:sz w:val="14"/>
                <w:szCs w:val="14"/>
                <w:lang w:eastAsia="el-GR"/>
              </w:rPr>
              <w:t>Α</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21</w:t>
            </w:r>
          </w:p>
        </w:tc>
        <w:tc>
          <w:tcPr>
            <w:tcW w:w="475" w:type="pct"/>
            <w:tcBorders>
              <w:top w:val="single" w:sz="8" w:space="0" w:color="000000"/>
              <w:left w:val="nil"/>
              <w:bottom w:val="single" w:sz="8" w:space="0" w:color="000000"/>
              <w:right w:val="nil"/>
            </w:tcBorders>
            <w:vAlign w:val="center"/>
          </w:tcPr>
          <w:p w:rsidR="00207E3A" w:rsidRDefault="00207E3A" w:rsidP="003A412B">
            <w:pPr>
              <w:ind w:right="148"/>
              <w:jc w:val="right"/>
              <w:rPr>
                <w:rFonts w:ascii="Segoe UI" w:hAnsi="Segoe UI" w:cs="Segoe UI"/>
                <w:noProof/>
                <w:sz w:val="12"/>
                <w:szCs w:val="14"/>
                <w:lang w:eastAsia="el-GR"/>
              </w:rPr>
            </w:pPr>
            <w:r>
              <w:rPr>
                <w:rFonts w:ascii="Segoe UI" w:eastAsia="Times New Roman" w:hAnsi="Segoe UI" w:cs="Segoe UI"/>
                <w:b/>
                <w:bCs/>
                <w:color w:val="000000" w:themeColor="text1"/>
                <w:kern w:val="24"/>
                <w:sz w:val="14"/>
                <w:szCs w:val="14"/>
                <w:lang w:eastAsia="el-GR"/>
              </w:rPr>
              <w:t>Δ</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20</w:t>
            </w:r>
          </w:p>
        </w:tc>
        <w:tc>
          <w:tcPr>
            <w:tcW w:w="475" w:type="pct"/>
            <w:tcBorders>
              <w:top w:val="single" w:sz="8" w:space="0" w:color="000000"/>
              <w:left w:val="nil"/>
              <w:bottom w:val="single" w:sz="8" w:space="0" w:color="000000"/>
              <w:right w:val="nil"/>
            </w:tcBorders>
            <w:vAlign w:val="center"/>
          </w:tcPr>
          <w:p w:rsidR="00207E3A" w:rsidRDefault="00207E3A" w:rsidP="003A412B">
            <w:pPr>
              <w:ind w:right="148"/>
              <w:jc w:val="right"/>
              <w:rPr>
                <w:rFonts w:ascii="Segoe UI" w:hAnsi="Segoe UI" w:cs="Segoe UI"/>
                <w:noProof/>
                <w:sz w:val="12"/>
                <w:szCs w:val="14"/>
                <w:lang w:eastAsia="el-GR"/>
              </w:rPr>
            </w:pPr>
            <w:r>
              <w:rPr>
                <w:rFonts w:ascii="Segoe UI" w:eastAsia="Times New Roman" w:hAnsi="Segoe UI" w:cs="Segoe UI"/>
                <w:b/>
                <w:bCs/>
                <w:color w:val="000000" w:themeColor="text1"/>
                <w:kern w:val="24"/>
                <w:sz w:val="14"/>
                <w:szCs w:val="14"/>
                <w:lang w:eastAsia="el-GR"/>
              </w:rPr>
              <w:t>Γ</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20</w:t>
            </w:r>
          </w:p>
        </w:tc>
        <w:tc>
          <w:tcPr>
            <w:tcW w:w="475" w:type="pct"/>
            <w:tcBorders>
              <w:top w:val="single" w:sz="8" w:space="0" w:color="000000"/>
              <w:left w:val="nil"/>
              <w:bottom w:val="single" w:sz="8" w:space="0" w:color="000000"/>
              <w:right w:val="nil"/>
            </w:tcBorders>
            <w:vAlign w:val="center"/>
          </w:tcPr>
          <w:p w:rsidR="00207E3A" w:rsidRDefault="00207E3A" w:rsidP="003A412B">
            <w:pPr>
              <w:ind w:right="148"/>
              <w:jc w:val="right"/>
              <w:rPr>
                <w:rFonts w:ascii="Segoe UI" w:hAnsi="Segoe UI" w:cs="Segoe UI"/>
                <w:noProof/>
                <w:sz w:val="12"/>
                <w:szCs w:val="14"/>
                <w:lang w:eastAsia="el-GR"/>
              </w:rPr>
            </w:pPr>
            <w:r>
              <w:rPr>
                <w:rFonts w:ascii="Segoe UI" w:eastAsia="Times New Roman" w:hAnsi="Segoe UI" w:cs="Segoe UI"/>
                <w:b/>
                <w:bCs/>
                <w:color w:val="000000" w:themeColor="text1"/>
                <w:kern w:val="24"/>
                <w:sz w:val="14"/>
                <w:szCs w:val="14"/>
                <w:lang w:eastAsia="el-GR"/>
              </w:rPr>
              <w:t>Β</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20</w:t>
            </w:r>
          </w:p>
        </w:tc>
        <w:tc>
          <w:tcPr>
            <w:tcW w:w="473" w:type="pct"/>
            <w:tcBorders>
              <w:top w:val="single" w:sz="8" w:space="0" w:color="000000"/>
              <w:left w:val="nil"/>
              <w:bottom w:val="single" w:sz="8" w:space="0" w:color="000000"/>
              <w:right w:val="nil"/>
            </w:tcBorders>
            <w:vAlign w:val="center"/>
          </w:tcPr>
          <w:p w:rsidR="00207E3A" w:rsidRDefault="00207E3A" w:rsidP="003A412B">
            <w:pPr>
              <w:ind w:right="148"/>
              <w:jc w:val="right"/>
              <w:rPr>
                <w:rFonts w:ascii="Segoe UI" w:hAnsi="Segoe UI" w:cs="Segoe UI"/>
                <w:noProof/>
                <w:sz w:val="12"/>
                <w:szCs w:val="14"/>
                <w:lang w:eastAsia="el-GR"/>
              </w:rPr>
            </w:pPr>
            <w:r>
              <w:rPr>
                <w:rFonts w:ascii="Segoe UI" w:eastAsia="Times New Roman" w:hAnsi="Segoe UI" w:cs="Segoe UI"/>
                <w:b/>
                <w:bCs/>
                <w:color w:val="000000" w:themeColor="text1"/>
                <w:kern w:val="24"/>
                <w:sz w:val="14"/>
                <w:szCs w:val="14"/>
                <w:lang w:eastAsia="el-GR"/>
              </w:rPr>
              <w:t>Α</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20</w:t>
            </w:r>
          </w:p>
        </w:tc>
      </w:tr>
      <w:tr w:rsidR="0046043D" w:rsidRPr="006B4FB1" w:rsidTr="0046043D">
        <w:trPr>
          <w:trHeight w:val="227"/>
        </w:trPr>
        <w:tc>
          <w:tcPr>
            <w:tcW w:w="2151" w:type="pct"/>
            <w:tcBorders>
              <w:top w:val="single" w:sz="8" w:space="0" w:color="000000"/>
              <w:left w:val="nil"/>
              <w:bottom w:val="nil"/>
              <w:right w:val="nil"/>
            </w:tcBorders>
            <w:shd w:val="clear" w:color="auto" w:fill="F2F2F2"/>
            <w:tcMar>
              <w:top w:w="15" w:type="dxa"/>
              <w:left w:w="42" w:type="dxa"/>
              <w:bottom w:w="0" w:type="dxa"/>
              <w:right w:w="15" w:type="dxa"/>
            </w:tcMar>
            <w:vAlign w:val="center"/>
          </w:tcPr>
          <w:p w:rsidR="0046043D" w:rsidRPr="006B4FB1" w:rsidRDefault="0046043D" w:rsidP="00A573F7">
            <w:pPr>
              <w:textAlignment w:val="center"/>
              <w:rPr>
                <w:rFonts w:ascii="Segoe UI" w:eastAsia="Times New Roman" w:hAnsi="Segoe UI" w:cs="Segoe UI"/>
                <w:sz w:val="14"/>
                <w:szCs w:val="14"/>
                <w:lang w:eastAsia="el-GR"/>
              </w:rPr>
            </w:pPr>
            <w:r w:rsidRPr="006B4FB1">
              <w:rPr>
                <w:rFonts w:ascii="Segoe UI" w:eastAsia="Segoe UI" w:hAnsi="Segoe UI" w:cs="Segoe UI"/>
                <w:b/>
                <w:bCs/>
                <w:color w:val="000000"/>
                <w:kern w:val="24"/>
                <w:sz w:val="14"/>
                <w:szCs w:val="14"/>
                <w:lang w:eastAsia="el-GR"/>
              </w:rPr>
              <w:t xml:space="preserve">Σύνολο Ενεργητικού </w:t>
            </w:r>
          </w:p>
        </w:tc>
        <w:tc>
          <w:tcPr>
            <w:tcW w:w="475" w:type="pct"/>
            <w:tcBorders>
              <w:top w:val="single" w:sz="8" w:space="0" w:color="000000"/>
              <w:left w:val="nil"/>
              <w:bottom w:val="nil"/>
              <w:right w:val="nil"/>
            </w:tcBorders>
            <w:shd w:val="clear" w:color="auto" w:fill="F2F2F2"/>
            <w:vAlign w:val="center"/>
          </w:tcPr>
          <w:p w:rsidR="0046043D" w:rsidRPr="0046043D" w:rsidRDefault="0046043D" w:rsidP="00234967">
            <w:pPr>
              <w:ind w:right="148"/>
              <w:jc w:val="right"/>
              <w:rPr>
                <w:rFonts w:ascii="Segoe UI" w:eastAsia="Times New Roman" w:hAnsi="Segoe UI" w:cs="Segoe UI"/>
                <w:b/>
                <w:bCs/>
                <w:color w:val="000000" w:themeColor="text1"/>
                <w:kern w:val="24"/>
                <w:sz w:val="14"/>
                <w:szCs w:val="16"/>
                <w:lang w:eastAsia="el-GR"/>
              </w:rPr>
            </w:pPr>
            <w:r w:rsidRPr="0046043D">
              <w:rPr>
                <w:rFonts w:ascii="Segoe UI" w:eastAsia="Times New Roman" w:hAnsi="Segoe UI" w:cs="Segoe UI"/>
                <w:b/>
                <w:bCs/>
                <w:color w:val="000000" w:themeColor="text1"/>
                <w:kern w:val="24"/>
                <w:sz w:val="14"/>
                <w:szCs w:val="16"/>
                <w:lang w:eastAsia="el-GR"/>
              </w:rPr>
              <w:t>81</w:t>
            </w:r>
            <w:r>
              <w:rPr>
                <w:rFonts w:ascii="Segoe UI" w:eastAsia="Times New Roman" w:hAnsi="Segoe UI" w:cs="Segoe UI"/>
                <w:b/>
                <w:bCs/>
                <w:color w:val="000000" w:themeColor="text1"/>
                <w:kern w:val="24"/>
                <w:sz w:val="14"/>
                <w:szCs w:val="16"/>
                <w:lang w:val="en-US" w:eastAsia="el-GR"/>
              </w:rPr>
              <w:t>.</w:t>
            </w:r>
            <w:r w:rsidR="00234967">
              <w:rPr>
                <w:rFonts w:ascii="Segoe UI" w:eastAsia="Times New Roman" w:hAnsi="Segoe UI" w:cs="Segoe UI"/>
                <w:b/>
                <w:bCs/>
                <w:color w:val="000000" w:themeColor="text1"/>
                <w:kern w:val="24"/>
                <w:sz w:val="14"/>
                <w:szCs w:val="16"/>
                <w:lang w:eastAsia="el-GR"/>
              </w:rPr>
              <w:t>148</w:t>
            </w:r>
          </w:p>
        </w:tc>
        <w:tc>
          <w:tcPr>
            <w:tcW w:w="475" w:type="pct"/>
            <w:tcBorders>
              <w:top w:val="single" w:sz="8" w:space="0" w:color="000000"/>
              <w:left w:val="nil"/>
              <w:bottom w:val="nil"/>
              <w:right w:val="nil"/>
            </w:tcBorders>
            <w:shd w:val="clear" w:color="auto" w:fill="F2F2F2"/>
            <w:vAlign w:val="center"/>
          </w:tcPr>
          <w:p w:rsidR="0046043D" w:rsidRPr="00A5471E" w:rsidRDefault="0046043D" w:rsidP="003A412B">
            <w:pPr>
              <w:ind w:right="148"/>
              <w:jc w:val="right"/>
              <w:rPr>
                <w:rFonts w:ascii="Segoe UI" w:eastAsia="Times New Roman" w:hAnsi="Segoe UI" w:cs="Segoe UI"/>
                <w:b/>
                <w:bCs/>
                <w:color w:val="000000" w:themeColor="text1"/>
                <w:kern w:val="24"/>
                <w:sz w:val="14"/>
                <w:szCs w:val="16"/>
                <w:lang w:eastAsia="el-GR"/>
              </w:rPr>
            </w:pPr>
            <w:r>
              <w:rPr>
                <w:rFonts w:ascii="Segoe UI" w:eastAsia="Times New Roman" w:hAnsi="Segoe UI" w:cs="Segoe UI"/>
                <w:b/>
                <w:bCs/>
                <w:color w:val="000000" w:themeColor="text1"/>
                <w:kern w:val="24"/>
                <w:sz w:val="14"/>
                <w:szCs w:val="16"/>
                <w:lang w:eastAsia="el-GR"/>
              </w:rPr>
              <w:t>78.</w:t>
            </w:r>
            <w:r w:rsidRPr="00A5471E">
              <w:rPr>
                <w:rFonts w:ascii="Segoe UI" w:eastAsia="Times New Roman" w:hAnsi="Segoe UI" w:cs="Segoe UI"/>
                <w:b/>
                <w:bCs/>
                <w:color w:val="000000" w:themeColor="text1"/>
                <w:kern w:val="24"/>
                <w:sz w:val="14"/>
                <w:szCs w:val="16"/>
                <w:lang w:eastAsia="el-GR"/>
              </w:rPr>
              <w:t>326</w:t>
            </w:r>
          </w:p>
        </w:tc>
        <w:tc>
          <w:tcPr>
            <w:tcW w:w="475" w:type="pct"/>
            <w:tcBorders>
              <w:top w:val="single" w:sz="8" w:space="0" w:color="000000"/>
              <w:left w:val="nil"/>
              <w:bottom w:val="nil"/>
              <w:right w:val="nil"/>
            </w:tcBorders>
            <w:shd w:val="clear" w:color="auto" w:fill="F2F2F2"/>
            <w:vAlign w:val="center"/>
          </w:tcPr>
          <w:p w:rsidR="0046043D" w:rsidRPr="00A573F7" w:rsidRDefault="0046043D" w:rsidP="003A412B">
            <w:pPr>
              <w:ind w:right="148"/>
              <w:jc w:val="right"/>
              <w:rPr>
                <w:rFonts w:ascii="Segoe UI" w:eastAsia="Times New Roman" w:hAnsi="Segoe UI" w:cs="Segoe UI"/>
                <w:b/>
                <w:bCs/>
                <w:color w:val="000000" w:themeColor="text1"/>
                <w:kern w:val="24"/>
                <w:sz w:val="14"/>
                <w:szCs w:val="16"/>
                <w:lang w:eastAsia="el-GR"/>
              </w:rPr>
            </w:pPr>
            <w:r w:rsidRPr="00A573F7">
              <w:rPr>
                <w:rFonts w:ascii="Segoe UI" w:eastAsia="Times New Roman" w:hAnsi="Segoe UI" w:cs="Segoe UI"/>
                <w:b/>
                <w:bCs/>
                <w:color w:val="000000" w:themeColor="text1"/>
                <w:kern w:val="24"/>
                <w:sz w:val="14"/>
                <w:szCs w:val="16"/>
                <w:lang w:eastAsia="el-GR"/>
              </w:rPr>
              <w:t>77</w:t>
            </w:r>
            <w:r>
              <w:rPr>
                <w:rFonts w:ascii="Segoe UI" w:eastAsia="Times New Roman" w:hAnsi="Segoe UI" w:cs="Segoe UI"/>
                <w:b/>
                <w:bCs/>
                <w:color w:val="000000" w:themeColor="text1"/>
                <w:kern w:val="24"/>
                <w:sz w:val="14"/>
                <w:szCs w:val="16"/>
                <w:lang w:eastAsia="el-GR"/>
              </w:rPr>
              <w:t>.</w:t>
            </w:r>
            <w:r w:rsidRPr="00A573F7">
              <w:rPr>
                <w:rFonts w:ascii="Segoe UI" w:eastAsia="Times New Roman" w:hAnsi="Segoe UI" w:cs="Segoe UI"/>
                <w:b/>
                <w:bCs/>
                <w:color w:val="000000" w:themeColor="text1"/>
                <w:kern w:val="24"/>
                <w:sz w:val="14"/>
                <w:szCs w:val="16"/>
                <w:lang w:eastAsia="el-GR"/>
              </w:rPr>
              <w:t>485</w:t>
            </w:r>
          </w:p>
        </w:tc>
        <w:tc>
          <w:tcPr>
            <w:tcW w:w="475" w:type="pct"/>
            <w:tcBorders>
              <w:top w:val="single" w:sz="8" w:space="0" w:color="000000"/>
              <w:left w:val="nil"/>
              <w:bottom w:val="nil"/>
              <w:right w:val="nil"/>
            </w:tcBorders>
            <w:shd w:val="clear" w:color="auto" w:fill="F2F2F2"/>
            <w:vAlign w:val="center"/>
          </w:tcPr>
          <w:p w:rsidR="0046043D" w:rsidRPr="00026516" w:rsidRDefault="0046043D" w:rsidP="003A412B">
            <w:pPr>
              <w:ind w:right="148"/>
              <w:jc w:val="right"/>
              <w:rPr>
                <w:rFonts w:ascii="Segoe UI" w:eastAsia="Times New Roman" w:hAnsi="Segoe UI" w:cs="Segoe UI"/>
                <w:b/>
                <w:bCs/>
                <w:color w:val="000000" w:themeColor="text1"/>
                <w:kern w:val="24"/>
                <w:sz w:val="14"/>
                <w:szCs w:val="16"/>
                <w:lang w:eastAsia="el-GR"/>
              </w:rPr>
            </w:pPr>
            <w:r w:rsidRPr="00026516">
              <w:rPr>
                <w:rFonts w:ascii="Segoe UI" w:eastAsia="Times New Roman" w:hAnsi="Segoe UI" w:cs="Segoe UI"/>
                <w:b/>
                <w:bCs/>
                <w:color w:val="000000" w:themeColor="text1"/>
                <w:kern w:val="24"/>
                <w:sz w:val="14"/>
                <w:szCs w:val="16"/>
                <w:lang w:eastAsia="el-GR"/>
              </w:rPr>
              <w:t>74</w:t>
            </w:r>
            <w:r>
              <w:rPr>
                <w:rFonts w:ascii="Segoe UI" w:eastAsia="Times New Roman" w:hAnsi="Segoe UI" w:cs="Segoe UI"/>
                <w:b/>
                <w:bCs/>
                <w:color w:val="000000" w:themeColor="text1"/>
                <w:kern w:val="24"/>
                <w:sz w:val="14"/>
                <w:szCs w:val="16"/>
                <w:lang w:eastAsia="el-GR"/>
              </w:rPr>
              <w:t>.</w:t>
            </w:r>
            <w:r w:rsidRPr="00026516">
              <w:rPr>
                <w:rFonts w:ascii="Segoe UI" w:eastAsia="Times New Roman" w:hAnsi="Segoe UI" w:cs="Segoe UI"/>
                <w:b/>
                <w:bCs/>
                <w:color w:val="000000" w:themeColor="text1"/>
                <w:kern w:val="24"/>
                <w:sz w:val="14"/>
                <w:szCs w:val="16"/>
                <w:lang w:eastAsia="el-GR"/>
              </w:rPr>
              <w:t>536</w:t>
            </w:r>
          </w:p>
        </w:tc>
        <w:tc>
          <w:tcPr>
            <w:tcW w:w="475" w:type="pct"/>
            <w:tcBorders>
              <w:top w:val="single" w:sz="8" w:space="0" w:color="000000"/>
              <w:left w:val="nil"/>
              <w:bottom w:val="nil"/>
              <w:right w:val="nil"/>
            </w:tcBorders>
            <w:shd w:val="clear" w:color="auto" w:fill="F2F2F2"/>
            <w:vAlign w:val="center"/>
          </w:tcPr>
          <w:p w:rsidR="0046043D" w:rsidRPr="005610B3" w:rsidRDefault="0046043D" w:rsidP="003A412B">
            <w:pPr>
              <w:ind w:right="148"/>
              <w:jc w:val="right"/>
              <w:rPr>
                <w:rFonts w:ascii="Segoe UI" w:eastAsia="Times New Roman" w:hAnsi="Segoe UI" w:cs="Segoe UI"/>
                <w:b/>
                <w:bCs/>
                <w:color w:val="000000" w:themeColor="text1"/>
                <w:kern w:val="24"/>
                <w:sz w:val="14"/>
                <w:szCs w:val="16"/>
                <w:lang w:eastAsia="el-GR"/>
              </w:rPr>
            </w:pPr>
            <w:r w:rsidRPr="005610B3">
              <w:rPr>
                <w:rFonts w:ascii="Segoe UI" w:eastAsia="Times New Roman" w:hAnsi="Segoe UI" w:cs="Segoe UI"/>
                <w:b/>
                <w:bCs/>
                <w:color w:val="000000" w:themeColor="text1"/>
                <w:kern w:val="24"/>
                <w:sz w:val="14"/>
                <w:szCs w:val="16"/>
                <w:lang w:eastAsia="el-GR"/>
              </w:rPr>
              <w:t>74</w:t>
            </w:r>
            <w:r>
              <w:rPr>
                <w:rFonts w:ascii="Segoe UI" w:eastAsia="Times New Roman" w:hAnsi="Segoe UI" w:cs="Segoe UI"/>
                <w:b/>
                <w:bCs/>
                <w:color w:val="000000" w:themeColor="text1"/>
                <w:kern w:val="24"/>
                <w:sz w:val="14"/>
                <w:szCs w:val="16"/>
                <w:lang w:eastAsia="el-GR"/>
              </w:rPr>
              <w:t>.</w:t>
            </w:r>
            <w:r w:rsidRPr="005610B3">
              <w:rPr>
                <w:rFonts w:ascii="Segoe UI" w:eastAsia="Times New Roman" w:hAnsi="Segoe UI" w:cs="Segoe UI"/>
                <w:b/>
                <w:bCs/>
                <w:color w:val="000000" w:themeColor="text1"/>
                <w:kern w:val="24"/>
                <w:sz w:val="14"/>
                <w:szCs w:val="16"/>
                <w:lang w:eastAsia="el-GR"/>
              </w:rPr>
              <w:t>160</w:t>
            </w:r>
          </w:p>
        </w:tc>
        <w:tc>
          <w:tcPr>
            <w:tcW w:w="473" w:type="pct"/>
            <w:tcBorders>
              <w:top w:val="single" w:sz="8" w:space="0" w:color="000000"/>
              <w:left w:val="nil"/>
              <w:bottom w:val="nil"/>
              <w:right w:val="nil"/>
            </w:tcBorders>
            <w:shd w:val="clear" w:color="auto" w:fill="F2F2F2"/>
            <w:vAlign w:val="center"/>
          </w:tcPr>
          <w:p w:rsidR="0046043D" w:rsidRPr="005610B3" w:rsidRDefault="0046043D" w:rsidP="003A412B">
            <w:pPr>
              <w:ind w:right="148"/>
              <w:jc w:val="right"/>
              <w:rPr>
                <w:rFonts w:ascii="Segoe UI" w:eastAsia="Times New Roman" w:hAnsi="Segoe UI" w:cs="Segoe UI"/>
                <w:b/>
                <w:bCs/>
                <w:color w:val="000000" w:themeColor="text1"/>
                <w:kern w:val="24"/>
                <w:sz w:val="14"/>
                <w:szCs w:val="16"/>
                <w:lang w:eastAsia="el-GR"/>
              </w:rPr>
            </w:pPr>
            <w:r w:rsidRPr="005610B3">
              <w:rPr>
                <w:rFonts w:ascii="Segoe UI" w:eastAsia="Times New Roman" w:hAnsi="Segoe UI" w:cs="Segoe UI"/>
                <w:b/>
                <w:bCs/>
                <w:color w:val="000000" w:themeColor="text1"/>
                <w:kern w:val="24"/>
                <w:sz w:val="14"/>
                <w:szCs w:val="16"/>
                <w:lang w:eastAsia="el-GR"/>
              </w:rPr>
              <w:t>69</w:t>
            </w:r>
            <w:r>
              <w:rPr>
                <w:rFonts w:ascii="Segoe UI" w:eastAsia="Times New Roman" w:hAnsi="Segoe UI" w:cs="Segoe UI"/>
                <w:b/>
                <w:bCs/>
                <w:color w:val="000000" w:themeColor="text1"/>
                <w:kern w:val="24"/>
                <w:sz w:val="14"/>
                <w:szCs w:val="16"/>
                <w:lang w:eastAsia="el-GR"/>
              </w:rPr>
              <w:t>.</w:t>
            </w:r>
            <w:r w:rsidRPr="005610B3">
              <w:rPr>
                <w:rFonts w:ascii="Segoe UI" w:eastAsia="Times New Roman" w:hAnsi="Segoe UI" w:cs="Segoe UI"/>
                <w:b/>
                <w:bCs/>
                <w:color w:val="000000" w:themeColor="text1"/>
                <w:kern w:val="24"/>
                <w:sz w:val="14"/>
                <w:szCs w:val="16"/>
                <w:lang w:eastAsia="el-GR"/>
              </w:rPr>
              <w:t>168</w:t>
            </w:r>
          </w:p>
        </w:tc>
      </w:tr>
      <w:tr w:rsidR="0046043D" w:rsidRPr="006B4FB1" w:rsidTr="0046043D">
        <w:trPr>
          <w:trHeight w:val="227"/>
        </w:trPr>
        <w:tc>
          <w:tcPr>
            <w:tcW w:w="2151" w:type="pct"/>
            <w:tcBorders>
              <w:top w:val="nil"/>
              <w:left w:val="nil"/>
              <w:bottom w:val="nil"/>
              <w:right w:val="nil"/>
            </w:tcBorders>
            <w:shd w:val="clear" w:color="auto" w:fill="auto"/>
            <w:tcMar>
              <w:top w:w="15" w:type="dxa"/>
              <w:left w:w="42" w:type="dxa"/>
              <w:bottom w:w="0" w:type="dxa"/>
              <w:right w:w="15" w:type="dxa"/>
            </w:tcMar>
            <w:vAlign w:val="center"/>
            <w:hideMark/>
          </w:tcPr>
          <w:p w:rsidR="0046043D" w:rsidRPr="00234967" w:rsidRDefault="0046043D" w:rsidP="00505CD8">
            <w:pPr>
              <w:textAlignment w:val="center"/>
              <w:rPr>
                <w:rFonts w:ascii="Segoe UI" w:eastAsia="Times New Roman" w:hAnsi="Segoe UI" w:cs="Segoe UI"/>
                <w:sz w:val="14"/>
                <w:szCs w:val="14"/>
                <w:lang w:eastAsia="el-GR"/>
              </w:rPr>
            </w:pPr>
            <w:r w:rsidRPr="006B4FB1">
              <w:rPr>
                <w:rFonts w:ascii="Segoe UI" w:eastAsia="Segoe UI" w:hAnsi="Segoe UI" w:cs="Segoe UI"/>
                <w:color w:val="000000"/>
                <w:kern w:val="24"/>
                <w:sz w:val="14"/>
                <w:szCs w:val="14"/>
                <w:lang w:eastAsia="el-GR"/>
              </w:rPr>
              <w:t xml:space="preserve">Δάνεια </w:t>
            </w:r>
            <w:r w:rsidRPr="006B4FB1">
              <w:rPr>
                <w:rFonts w:ascii="Segoe UI" w:eastAsia="Segoe UI" w:hAnsi="Segoe UI" w:cs="Segoe UI"/>
                <w:color w:val="000000"/>
                <w:kern w:val="24"/>
                <w:sz w:val="14"/>
                <w:szCs w:val="14"/>
                <w:lang w:val="en-US" w:eastAsia="el-GR"/>
              </w:rPr>
              <w:t>(</w:t>
            </w:r>
            <w:r w:rsidRPr="006B4FB1">
              <w:rPr>
                <w:rFonts w:ascii="Segoe UI" w:eastAsia="Segoe UI" w:hAnsi="Segoe UI" w:cs="Segoe UI"/>
                <w:color w:val="000000"/>
                <w:kern w:val="24"/>
                <w:sz w:val="14"/>
                <w:szCs w:val="14"/>
                <w:lang w:eastAsia="el-GR"/>
              </w:rPr>
              <w:t>προ προβλέψεων</w:t>
            </w:r>
            <w:r w:rsidRPr="006B4FB1">
              <w:rPr>
                <w:rFonts w:ascii="Segoe UI" w:eastAsia="Segoe UI" w:hAnsi="Segoe UI" w:cs="Segoe UI"/>
                <w:color w:val="000000"/>
                <w:kern w:val="24"/>
                <w:sz w:val="14"/>
                <w:szCs w:val="14"/>
                <w:lang w:val="en-US" w:eastAsia="el-GR"/>
              </w:rPr>
              <w:t>)</w:t>
            </w:r>
          </w:p>
        </w:tc>
        <w:tc>
          <w:tcPr>
            <w:tcW w:w="475" w:type="pct"/>
            <w:tcBorders>
              <w:top w:val="nil"/>
              <w:left w:val="nil"/>
              <w:bottom w:val="nil"/>
              <w:right w:val="nil"/>
            </w:tcBorders>
            <w:vAlign w:val="center"/>
          </w:tcPr>
          <w:p w:rsidR="0046043D" w:rsidRPr="0046043D" w:rsidRDefault="00505CD8" w:rsidP="00505CD8">
            <w:pPr>
              <w:ind w:right="148"/>
              <w:jc w:val="right"/>
              <w:rPr>
                <w:rFonts w:ascii="Segoe UI" w:eastAsia="Times New Roman" w:hAnsi="Segoe UI" w:cs="Segoe UI"/>
                <w:bCs/>
                <w:color w:val="000000" w:themeColor="text1"/>
                <w:kern w:val="24"/>
                <w:sz w:val="14"/>
                <w:szCs w:val="16"/>
                <w:lang w:eastAsia="el-GR"/>
              </w:rPr>
            </w:pPr>
            <w:r>
              <w:rPr>
                <w:rFonts w:ascii="Segoe UI" w:eastAsia="Times New Roman" w:hAnsi="Segoe UI" w:cs="Segoe UI"/>
                <w:bCs/>
                <w:color w:val="000000" w:themeColor="text1"/>
                <w:kern w:val="24"/>
                <w:sz w:val="14"/>
                <w:szCs w:val="16"/>
                <w:lang w:eastAsia="el-GR"/>
              </w:rPr>
              <w:t>32</w:t>
            </w:r>
            <w:r w:rsidR="0046043D">
              <w:rPr>
                <w:rFonts w:ascii="Segoe UI" w:eastAsia="Times New Roman" w:hAnsi="Segoe UI" w:cs="Segoe UI"/>
                <w:bCs/>
                <w:color w:val="000000" w:themeColor="text1"/>
                <w:kern w:val="24"/>
                <w:sz w:val="14"/>
                <w:szCs w:val="16"/>
                <w:lang w:val="en-US" w:eastAsia="el-GR"/>
              </w:rPr>
              <w:t>.</w:t>
            </w:r>
            <w:r w:rsidR="00234967">
              <w:rPr>
                <w:rFonts w:ascii="Segoe UI" w:eastAsia="Times New Roman" w:hAnsi="Segoe UI" w:cs="Segoe UI"/>
                <w:bCs/>
                <w:color w:val="000000" w:themeColor="text1"/>
                <w:kern w:val="24"/>
                <w:sz w:val="14"/>
                <w:szCs w:val="16"/>
                <w:lang w:eastAsia="el-GR"/>
              </w:rPr>
              <w:t>610</w:t>
            </w:r>
          </w:p>
        </w:tc>
        <w:tc>
          <w:tcPr>
            <w:tcW w:w="475" w:type="pct"/>
            <w:tcBorders>
              <w:top w:val="nil"/>
              <w:left w:val="nil"/>
              <w:bottom w:val="nil"/>
              <w:right w:val="nil"/>
            </w:tcBorders>
            <w:vAlign w:val="center"/>
          </w:tcPr>
          <w:p w:rsidR="0046043D" w:rsidRPr="00A5471E" w:rsidRDefault="0046043D" w:rsidP="003A412B">
            <w:pPr>
              <w:ind w:right="148"/>
              <w:jc w:val="right"/>
              <w:rPr>
                <w:rFonts w:ascii="Segoe UI" w:eastAsia="Times New Roman" w:hAnsi="Segoe UI" w:cs="Segoe UI"/>
                <w:bCs/>
                <w:color w:val="000000" w:themeColor="text1"/>
                <w:kern w:val="24"/>
                <w:sz w:val="14"/>
                <w:szCs w:val="16"/>
                <w:lang w:eastAsia="el-GR"/>
              </w:rPr>
            </w:pPr>
            <w:r w:rsidRPr="00A5471E">
              <w:rPr>
                <w:rFonts w:ascii="Segoe UI" w:eastAsia="Times New Roman" w:hAnsi="Segoe UI" w:cs="Segoe UI"/>
                <w:bCs/>
                <w:color w:val="000000" w:themeColor="text1"/>
                <w:kern w:val="24"/>
                <w:sz w:val="14"/>
                <w:szCs w:val="16"/>
                <w:lang w:eastAsia="el-GR"/>
              </w:rPr>
              <w:t>29</w:t>
            </w:r>
            <w:r>
              <w:rPr>
                <w:rFonts w:ascii="Segoe UI" w:eastAsia="Times New Roman" w:hAnsi="Segoe UI" w:cs="Segoe UI"/>
                <w:bCs/>
                <w:color w:val="000000" w:themeColor="text1"/>
                <w:kern w:val="24"/>
                <w:sz w:val="14"/>
                <w:szCs w:val="16"/>
                <w:lang w:eastAsia="el-GR"/>
              </w:rPr>
              <w:t>.</w:t>
            </w:r>
            <w:r w:rsidRPr="00A5471E">
              <w:rPr>
                <w:rFonts w:ascii="Segoe UI" w:eastAsia="Times New Roman" w:hAnsi="Segoe UI" w:cs="Segoe UI"/>
                <w:bCs/>
                <w:color w:val="000000" w:themeColor="text1"/>
                <w:kern w:val="24"/>
                <w:sz w:val="14"/>
                <w:szCs w:val="16"/>
                <w:lang w:eastAsia="el-GR"/>
              </w:rPr>
              <w:t>525</w:t>
            </w:r>
          </w:p>
        </w:tc>
        <w:tc>
          <w:tcPr>
            <w:tcW w:w="475" w:type="pct"/>
            <w:tcBorders>
              <w:top w:val="nil"/>
              <w:left w:val="nil"/>
              <w:bottom w:val="nil"/>
              <w:right w:val="nil"/>
            </w:tcBorders>
            <w:vAlign w:val="center"/>
          </w:tcPr>
          <w:p w:rsidR="0046043D" w:rsidRPr="00A573F7" w:rsidRDefault="0046043D" w:rsidP="003A412B">
            <w:pPr>
              <w:ind w:right="148"/>
              <w:jc w:val="right"/>
              <w:rPr>
                <w:rFonts w:ascii="Segoe UI" w:eastAsia="Times New Roman" w:hAnsi="Segoe UI" w:cs="Segoe UI"/>
                <w:bCs/>
                <w:color w:val="000000" w:themeColor="text1"/>
                <w:kern w:val="24"/>
                <w:sz w:val="14"/>
                <w:szCs w:val="16"/>
                <w:lang w:eastAsia="el-GR"/>
              </w:rPr>
            </w:pPr>
            <w:r>
              <w:rPr>
                <w:rFonts w:ascii="Segoe UI" w:eastAsia="Times New Roman" w:hAnsi="Segoe UI" w:cs="Segoe UI"/>
                <w:bCs/>
                <w:color w:val="000000" w:themeColor="text1"/>
                <w:kern w:val="24"/>
                <w:sz w:val="14"/>
                <w:szCs w:val="16"/>
                <w:lang w:eastAsia="el-GR"/>
              </w:rPr>
              <w:t>29.</w:t>
            </w:r>
            <w:r w:rsidRPr="00A573F7">
              <w:rPr>
                <w:rFonts w:ascii="Segoe UI" w:eastAsia="Times New Roman" w:hAnsi="Segoe UI" w:cs="Segoe UI"/>
                <w:bCs/>
                <w:color w:val="000000" w:themeColor="text1"/>
                <w:kern w:val="24"/>
                <w:sz w:val="14"/>
                <w:szCs w:val="16"/>
                <w:lang w:eastAsia="el-GR"/>
              </w:rPr>
              <w:t>515</w:t>
            </w:r>
          </w:p>
        </w:tc>
        <w:tc>
          <w:tcPr>
            <w:tcW w:w="475" w:type="pct"/>
            <w:tcBorders>
              <w:top w:val="nil"/>
              <w:left w:val="nil"/>
              <w:bottom w:val="nil"/>
              <w:right w:val="nil"/>
            </w:tcBorders>
            <w:vAlign w:val="center"/>
          </w:tcPr>
          <w:p w:rsidR="0046043D" w:rsidRPr="00026516" w:rsidRDefault="0046043D" w:rsidP="003A412B">
            <w:pPr>
              <w:ind w:right="148"/>
              <w:jc w:val="right"/>
              <w:rPr>
                <w:rFonts w:ascii="Segoe UI" w:eastAsia="Times New Roman" w:hAnsi="Segoe UI" w:cs="Segoe UI"/>
                <w:bCs/>
                <w:color w:val="000000" w:themeColor="text1"/>
                <w:kern w:val="24"/>
                <w:sz w:val="14"/>
                <w:szCs w:val="16"/>
                <w:lang w:eastAsia="el-GR"/>
              </w:rPr>
            </w:pPr>
            <w:r w:rsidRPr="00026516">
              <w:rPr>
                <w:rFonts w:ascii="Segoe UI" w:eastAsia="Times New Roman" w:hAnsi="Segoe UI" w:cs="Segoe UI"/>
                <w:bCs/>
                <w:color w:val="000000" w:themeColor="text1"/>
                <w:kern w:val="24"/>
                <w:sz w:val="14"/>
                <w:szCs w:val="16"/>
                <w:lang w:eastAsia="el-GR"/>
              </w:rPr>
              <w:t>35</w:t>
            </w:r>
            <w:r>
              <w:rPr>
                <w:rFonts w:ascii="Segoe UI" w:eastAsia="Times New Roman" w:hAnsi="Segoe UI" w:cs="Segoe UI"/>
                <w:bCs/>
                <w:color w:val="000000" w:themeColor="text1"/>
                <w:kern w:val="24"/>
                <w:sz w:val="14"/>
                <w:szCs w:val="16"/>
                <w:lang w:eastAsia="el-GR"/>
              </w:rPr>
              <w:t>.</w:t>
            </w:r>
            <w:r w:rsidRPr="00026516">
              <w:rPr>
                <w:rFonts w:ascii="Segoe UI" w:eastAsia="Times New Roman" w:hAnsi="Segoe UI" w:cs="Segoe UI"/>
                <w:bCs/>
                <w:color w:val="000000" w:themeColor="text1"/>
                <w:kern w:val="24"/>
                <w:sz w:val="14"/>
                <w:szCs w:val="16"/>
                <w:lang w:eastAsia="el-GR"/>
              </w:rPr>
              <w:t>014</w:t>
            </w:r>
          </w:p>
        </w:tc>
        <w:tc>
          <w:tcPr>
            <w:tcW w:w="475" w:type="pct"/>
            <w:tcBorders>
              <w:top w:val="nil"/>
              <w:left w:val="nil"/>
              <w:bottom w:val="nil"/>
              <w:right w:val="nil"/>
            </w:tcBorders>
            <w:vAlign w:val="center"/>
          </w:tcPr>
          <w:p w:rsidR="0046043D" w:rsidRPr="005610B3" w:rsidRDefault="0046043D" w:rsidP="003A412B">
            <w:pPr>
              <w:pStyle w:val="NormalWeb"/>
              <w:spacing w:before="0" w:beforeAutospacing="0" w:after="0" w:afterAutospacing="0"/>
              <w:ind w:right="148"/>
              <w:jc w:val="right"/>
              <w:textAlignment w:val="center"/>
              <w:rPr>
                <w:rFonts w:ascii="Segoe UI" w:hAnsi="Segoe UI" w:cs="Segoe UI"/>
                <w:sz w:val="14"/>
                <w:szCs w:val="16"/>
                <w:lang w:val="en-US"/>
              </w:rPr>
            </w:pPr>
            <w:r w:rsidRPr="005610B3">
              <w:rPr>
                <w:rFonts w:ascii="Segoe UI" w:hAnsi="Segoe UI" w:cs="Segoe UI"/>
                <w:sz w:val="14"/>
                <w:szCs w:val="16"/>
                <w:lang w:val="en-US"/>
              </w:rPr>
              <w:t>34</w:t>
            </w:r>
            <w:r>
              <w:rPr>
                <w:rFonts w:ascii="Segoe UI" w:hAnsi="Segoe UI" w:cs="Segoe UI"/>
                <w:sz w:val="14"/>
                <w:szCs w:val="16"/>
                <w:lang w:val="en-US"/>
              </w:rPr>
              <w:t>.</w:t>
            </w:r>
            <w:r w:rsidRPr="005610B3">
              <w:rPr>
                <w:rFonts w:ascii="Segoe UI" w:hAnsi="Segoe UI" w:cs="Segoe UI"/>
                <w:sz w:val="14"/>
                <w:szCs w:val="16"/>
                <w:lang w:val="en-US"/>
              </w:rPr>
              <w:t>755</w:t>
            </w:r>
          </w:p>
        </w:tc>
        <w:tc>
          <w:tcPr>
            <w:tcW w:w="473" w:type="pct"/>
            <w:tcBorders>
              <w:top w:val="nil"/>
              <w:left w:val="nil"/>
              <w:bottom w:val="nil"/>
              <w:right w:val="nil"/>
            </w:tcBorders>
            <w:vAlign w:val="center"/>
          </w:tcPr>
          <w:p w:rsidR="0046043D" w:rsidRPr="005610B3" w:rsidRDefault="0046043D" w:rsidP="003A412B">
            <w:pPr>
              <w:pStyle w:val="NormalWeb"/>
              <w:spacing w:before="0" w:beforeAutospacing="0" w:after="0" w:afterAutospacing="0"/>
              <w:ind w:right="148"/>
              <w:jc w:val="right"/>
              <w:textAlignment w:val="center"/>
              <w:rPr>
                <w:rFonts w:ascii="Segoe UI" w:hAnsi="Segoe UI" w:cs="Segoe UI"/>
                <w:sz w:val="14"/>
                <w:szCs w:val="16"/>
                <w:lang w:val="en-US"/>
              </w:rPr>
            </w:pPr>
            <w:r w:rsidRPr="005610B3">
              <w:rPr>
                <w:rFonts w:ascii="Segoe UI" w:hAnsi="Segoe UI" w:cs="Segoe UI"/>
                <w:sz w:val="14"/>
                <w:szCs w:val="16"/>
                <w:lang w:val="en-US"/>
              </w:rPr>
              <w:t>34</w:t>
            </w:r>
            <w:r>
              <w:rPr>
                <w:rFonts w:ascii="Segoe UI" w:hAnsi="Segoe UI" w:cs="Segoe UI"/>
                <w:sz w:val="14"/>
                <w:szCs w:val="16"/>
                <w:lang w:val="en-US"/>
              </w:rPr>
              <w:t>.</w:t>
            </w:r>
            <w:r w:rsidRPr="005610B3">
              <w:rPr>
                <w:rFonts w:ascii="Segoe UI" w:hAnsi="Segoe UI" w:cs="Segoe UI"/>
                <w:sz w:val="14"/>
                <w:szCs w:val="16"/>
                <w:lang w:val="en-US"/>
              </w:rPr>
              <w:t>917</w:t>
            </w:r>
          </w:p>
        </w:tc>
      </w:tr>
      <w:tr w:rsidR="0046043D" w:rsidRPr="006B4FB1" w:rsidTr="0046043D">
        <w:trPr>
          <w:trHeight w:val="227"/>
        </w:trPr>
        <w:tc>
          <w:tcPr>
            <w:tcW w:w="2151" w:type="pct"/>
            <w:tcBorders>
              <w:top w:val="nil"/>
              <w:left w:val="nil"/>
              <w:bottom w:val="nil"/>
              <w:right w:val="nil"/>
            </w:tcBorders>
            <w:shd w:val="clear" w:color="auto" w:fill="auto"/>
            <w:tcMar>
              <w:top w:w="15" w:type="dxa"/>
              <w:left w:w="42" w:type="dxa"/>
              <w:bottom w:w="0" w:type="dxa"/>
              <w:right w:w="15" w:type="dxa"/>
            </w:tcMar>
            <w:vAlign w:val="center"/>
            <w:hideMark/>
          </w:tcPr>
          <w:p w:rsidR="0046043D" w:rsidRPr="006B4FB1" w:rsidRDefault="0046043D" w:rsidP="00A573F7">
            <w:pPr>
              <w:textAlignment w:val="center"/>
              <w:rPr>
                <w:rFonts w:ascii="Segoe UI" w:eastAsia="Times New Roman" w:hAnsi="Segoe UI" w:cs="Segoe UI"/>
                <w:sz w:val="14"/>
                <w:szCs w:val="14"/>
                <w:lang w:eastAsia="el-GR"/>
              </w:rPr>
            </w:pPr>
            <w:r w:rsidRPr="006B4FB1">
              <w:rPr>
                <w:rFonts w:ascii="Segoe UI" w:eastAsia="Segoe UI" w:hAnsi="Segoe UI" w:cs="Segoe UI"/>
                <w:color w:val="000000"/>
                <w:kern w:val="24"/>
                <w:sz w:val="14"/>
                <w:szCs w:val="14"/>
                <w:lang w:eastAsia="el-GR"/>
              </w:rPr>
              <w:t xml:space="preserve">Σωρευμένες προβλέψεις </w:t>
            </w:r>
          </w:p>
        </w:tc>
        <w:tc>
          <w:tcPr>
            <w:tcW w:w="475" w:type="pct"/>
            <w:tcBorders>
              <w:top w:val="nil"/>
              <w:left w:val="nil"/>
              <w:bottom w:val="nil"/>
              <w:right w:val="nil"/>
            </w:tcBorders>
            <w:vAlign w:val="center"/>
          </w:tcPr>
          <w:p w:rsidR="0046043D" w:rsidRPr="0046043D" w:rsidRDefault="0046043D" w:rsidP="0046043D">
            <w:pPr>
              <w:ind w:right="148"/>
              <w:jc w:val="right"/>
              <w:rPr>
                <w:rFonts w:ascii="Segoe UI" w:eastAsia="Times New Roman" w:hAnsi="Segoe UI" w:cs="Segoe UI"/>
                <w:bCs/>
                <w:color w:val="000000" w:themeColor="text1"/>
                <w:kern w:val="24"/>
                <w:sz w:val="14"/>
                <w:szCs w:val="16"/>
                <w:lang w:eastAsia="el-GR"/>
              </w:rPr>
            </w:pPr>
            <w:r w:rsidRPr="0046043D">
              <w:rPr>
                <w:rFonts w:ascii="Segoe UI" w:eastAsia="Times New Roman" w:hAnsi="Segoe UI" w:cs="Segoe UI"/>
                <w:bCs/>
                <w:color w:val="000000" w:themeColor="text1"/>
                <w:kern w:val="24"/>
                <w:sz w:val="14"/>
                <w:szCs w:val="16"/>
                <w:lang w:eastAsia="el-GR"/>
              </w:rPr>
              <w:t>(2</w:t>
            </w:r>
            <w:r>
              <w:rPr>
                <w:rFonts w:ascii="Segoe UI" w:eastAsia="Times New Roman" w:hAnsi="Segoe UI" w:cs="Segoe UI"/>
                <w:bCs/>
                <w:color w:val="000000" w:themeColor="text1"/>
                <w:kern w:val="24"/>
                <w:sz w:val="14"/>
                <w:szCs w:val="16"/>
                <w:lang w:val="en-US" w:eastAsia="el-GR"/>
              </w:rPr>
              <w:t>.</w:t>
            </w:r>
            <w:r w:rsidRPr="0046043D">
              <w:rPr>
                <w:rFonts w:ascii="Segoe UI" w:eastAsia="Times New Roman" w:hAnsi="Segoe UI" w:cs="Segoe UI"/>
                <w:bCs/>
                <w:color w:val="000000" w:themeColor="text1"/>
                <w:kern w:val="24"/>
                <w:sz w:val="14"/>
                <w:szCs w:val="16"/>
                <w:lang w:eastAsia="el-GR"/>
              </w:rPr>
              <w:t xml:space="preserve">667) </w:t>
            </w:r>
          </w:p>
        </w:tc>
        <w:tc>
          <w:tcPr>
            <w:tcW w:w="475" w:type="pct"/>
            <w:tcBorders>
              <w:top w:val="nil"/>
              <w:left w:val="nil"/>
              <w:bottom w:val="nil"/>
              <w:right w:val="nil"/>
            </w:tcBorders>
            <w:vAlign w:val="center"/>
          </w:tcPr>
          <w:p w:rsidR="0046043D" w:rsidRPr="00A5471E" w:rsidRDefault="0046043D" w:rsidP="003A412B">
            <w:pPr>
              <w:ind w:right="148"/>
              <w:jc w:val="right"/>
              <w:rPr>
                <w:rFonts w:ascii="Segoe UI" w:eastAsia="Times New Roman" w:hAnsi="Segoe UI" w:cs="Segoe UI"/>
                <w:bCs/>
                <w:color w:val="000000" w:themeColor="text1"/>
                <w:kern w:val="24"/>
                <w:sz w:val="14"/>
                <w:szCs w:val="16"/>
                <w:lang w:eastAsia="el-GR"/>
              </w:rPr>
            </w:pPr>
            <w:r w:rsidRPr="00A5471E">
              <w:rPr>
                <w:rFonts w:ascii="Segoe UI" w:eastAsia="Times New Roman" w:hAnsi="Segoe UI" w:cs="Segoe UI"/>
                <w:bCs/>
                <w:color w:val="000000" w:themeColor="text1"/>
                <w:kern w:val="24"/>
                <w:sz w:val="14"/>
                <w:szCs w:val="16"/>
                <w:lang w:eastAsia="el-GR"/>
              </w:rPr>
              <w:t>(2</w:t>
            </w:r>
            <w:r>
              <w:rPr>
                <w:rFonts w:ascii="Segoe UI" w:eastAsia="Times New Roman" w:hAnsi="Segoe UI" w:cs="Segoe UI"/>
                <w:bCs/>
                <w:color w:val="000000" w:themeColor="text1"/>
                <w:kern w:val="24"/>
                <w:sz w:val="14"/>
                <w:szCs w:val="16"/>
                <w:lang w:eastAsia="el-GR"/>
              </w:rPr>
              <w:t>.</w:t>
            </w:r>
            <w:r w:rsidRPr="00A5471E">
              <w:rPr>
                <w:rFonts w:ascii="Segoe UI" w:eastAsia="Times New Roman" w:hAnsi="Segoe UI" w:cs="Segoe UI"/>
                <w:bCs/>
                <w:color w:val="000000" w:themeColor="text1"/>
                <w:kern w:val="24"/>
                <w:sz w:val="14"/>
                <w:szCs w:val="16"/>
                <w:lang w:eastAsia="el-GR"/>
              </w:rPr>
              <w:t>684)</w:t>
            </w:r>
          </w:p>
        </w:tc>
        <w:tc>
          <w:tcPr>
            <w:tcW w:w="475" w:type="pct"/>
            <w:tcBorders>
              <w:top w:val="nil"/>
              <w:left w:val="nil"/>
              <w:bottom w:val="nil"/>
              <w:right w:val="nil"/>
            </w:tcBorders>
            <w:vAlign w:val="center"/>
          </w:tcPr>
          <w:p w:rsidR="0046043D" w:rsidRPr="00A573F7" w:rsidRDefault="0046043D" w:rsidP="003A412B">
            <w:pPr>
              <w:ind w:right="148"/>
              <w:jc w:val="right"/>
              <w:rPr>
                <w:rFonts w:ascii="Segoe UI" w:eastAsia="Times New Roman" w:hAnsi="Segoe UI" w:cs="Segoe UI"/>
                <w:bCs/>
                <w:color w:val="000000" w:themeColor="text1"/>
                <w:kern w:val="24"/>
                <w:sz w:val="14"/>
                <w:szCs w:val="16"/>
                <w:lang w:eastAsia="el-GR"/>
              </w:rPr>
            </w:pPr>
            <w:r>
              <w:rPr>
                <w:rFonts w:ascii="Segoe UI" w:eastAsia="Times New Roman" w:hAnsi="Segoe UI" w:cs="Segoe UI"/>
                <w:bCs/>
                <w:color w:val="000000" w:themeColor="text1"/>
                <w:kern w:val="24"/>
                <w:sz w:val="14"/>
                <w:szCs w:val="16"/>
                <w:lang w:eastAsia="el-GR"/>
              </w:rPr>
              <w:t>(2.</w:t>
            </w:r>
            <w:r w:rsidRPr="00A573F7">
              <w:rPr>
                <w:rFonts w:ascii="Segoe UI" w:eastAsia="Times New Roman" w:hAnsi="Segoe UI" w:cs="Segoe UI"/>
                <w:bCs/>
                <w:color w:val="000000" w:themeColor="text1"/>
                <w:kern w:val="24"/>
                <w:sz w:val="14"/>
                <w:szCs w:val="16"/>
                <w:lang w:eastAsia="el-GR"/>
              </w:rPr>
              <w:t>707)</w:t>
            </w:r>
          </w:p>
        </w:tc>
        <w:tc>
          <w:tcPr>
            <w:tcW w:w="475" w:type="pct"/>
            <w:tcBorders>
              <w:top w:val="nil"/>
              <w:left w:val="nil"/>
              <w:bottom w:val="nil"/>
              <w:right w:val="nil"/>
            </w:tcBorders>
            <w:vAlign w:val="center"/>
          </w:tcPr>
          <w:p w:rsidR="0046043D" w:rsidRPr="00026516" w:rsidRDefault="0046043D" w:rsidP="003A412B">
            <w:pPr>
              <w:ind w:right="148"/>
              <w:jc w:val="right"/>
              <w:rPr>
                <w:rFonts w:ascii="Segoe UI" w:eastAsia="Times New Roman" w:hAnsi="Segoe UI" w:cs="Segoe UI"/>
                <w:bCs/>
                <w:color w:val="000000" w:themeColor="text1"/>
                <w:kern w:val="24"/>
                <w:sz w:val="14"/>
                <w:szCs w:val="16"/>
                <w:lang w:eastAsia="el-GR"/>
              </w:rPr>
            </w:pPr>
            <w:r w:rsidRPr="00026516">
              <w:rPr>
                <w:rFonts w:ascii="Segoe UI" w:eastAsia="Times New Roman" w:hAnsi="Segoe UI" w:cs="Segoe UI"/>
                <w:bCs/>
                <w:color w:val="000000" w:themeColor="text1"/>
                <w:kern w:val="24"/>
                <w:sz w:val="14"/>
                <w:szCs w:val="16"/>
                <w:lang w:eastAsia="el-GR"/>
              </w:rPr>
              <w:t>(5</w:t>
            </w:r>
            <w:r>
              <w:rPr>
                <w:rFonts w:ascii="Segoe UI" w:eastAsia="Times New Roman" w:hAnsi="Segoe UI" w:cs="Segoe UI"/>
                <w:bCs/>
                <w:color w:val="000000" w:themeColor="text1"/>
                <w:kern w:val="24"/>
                <w:sz w:val="14"/>
                <w:szCs w:val="16"/>
                <w:lang w:eastAsia="el-GR"/>
              </w:rPr>
              <w:t>.</w:t>
            </w:r>
            <w:r w:rsidRPr="00026516">
              <w:rPr>
                <w:rFonts w:ascii="Segoe UI" w:eastAsia="Times New Roman" w:hAnsi="Segoe UI" w:cs="Segoe UI"/>
                <w:bCs/>
                <w:color w:val="000000" w:themeColor="text1"/>
                <w:kern w:val="24"/>
                <w:sz w:val="14"/>
                <w:szCs w:val="16"/>
                <w:lang w:eastAsia="el-GR"/>
              </w:rPr>
              <w:t>727)</w:t>
            </w:r>
          </w:p>
        </w:tc>
        <w:tc>
          <w:tcPr>
            <w:tcW w:w="475" w:type="pct"/>
            <w:tcBorders>
              <w:top w:val="nil"/>
              <w:left w:val="nil"/>
              <w:bottom w:val="nil"/>
              <w:right w:val="nil"/>
            </w:tcBorders>
            <w:vAlign w:val="center"/>
          </w:tcPr>
          <w:p w:rsidR="0046043D" w:rsidRPr="005610B3" w:rsidRDefault="0046043D" w:rsidP="003A412B">
            <w:pPr>
              <w:pStyle w:val="NormalWeb"/>
              <w:spacing w:before="0" w:beforeAutospacing="0" w:after="0" w:afterAutospacing="0"/>
              <w:ind w:right="148"/>
              <w:jc w:val="right"/>
              <w:textAlignment w:val="center"/>
              <w:rPr>
                <w:rFonts w:ascii="Segoe UI" w:hAnsi="Segoe UI" w:cs="Segoe UI"/>
                <w:sz w:val="14"/>
                <w:szCs w:val="16"/>
                <w:lang w:val="en-US"/>
              </w:rPr>
            </w:pPr>
            <w:r w:rsidRPr="005610B3">
              <w:rPr>
                <w:rFonts w:ascii="Segoe UI" w:hAnsi="Segoe UI" w:cs="Segoe UI"/>
                <w:sz w:val="14"/>
                <w:szCs w:val="16"/>
                <w:lang w:val="en-US"/>
              </w:rPr>
              <w:t>(5</w:t>
            </w:r>
            <w:r>
              <w:rPr>
                <w:rFonts w:ascii="Segoe UI" w:hAnsi="Segoe UI" w:cs="Segoe UI"/>
                <w:sz w:val="14"/>
                <w:szCs w:val="16"/>
                <w:lang w:val="en-US"/>
              </w:rPr>
              <w:t>.</w:t>
            </w:r>
            <w:r w:rsidRPr="005610B3">
              <w:rPr>
                <w:rFonts w:ascii="Segoe UI" w:hAnsi="Segoe UI" w:cs="Segoe UI"/>
                <w:sz w:val="14"/>
                <w:szCs w:val="16"/>
                <w:lang w:val="en-US"/>
              </w:rPr>
              <w:t>864)</w:t>
            </w:r>
          </w:p>
        </w:tc>
        <w:tc>
          <w:tcPr>
            <w:tcW w:w="473" w:type="pct"/>
            <w:tcBorders>
              <w:top w:val="nil"/>
              <w:left w:val="nil"/>
              <w:bottom w:val="nil"/>
              <w:right w:val="nil"/>
            </w:tcBorders>
            <w:vAlign w:val="center"/>
          </w:tcPr>
          <w:p w:rsidR="0046043D" w:rsidRPr="005610B3" w:rsidRDefault="0046043D" w:rsidP="003A412B">
            <w:pPr>
              <w:pStyle w:val="NormalWeb"/>
              <w:spacing w:before="0" w:beforeAutospacing="0" w:after="0" w:afterAutospacing="0"/>
              <w:ind w:right="148"/>
              <w:jc w:val="right"/>
              <w:textAlignment w:val="center"/>
              <w:rPr>
                <w:rFonts w:ascii="Segoe UI" w:hAnsi="Segoe UI" w:cs="Segoe UI"/>
                <w:sz w:val="14"/>
                <w:szCs w:val="16"/>
                <w:lang w:val="en-US"/>
              </w:rPr>
            </w:pPr>
            <w:r w:rsidRPr="005610B3">
              <w:rPr>
                <w:rFonts w:ascii="Segoe UI" w:hAnsi="Segoe UI" w:cs="Segoe UI"/>
                <w:sz w:val="14"/>
                <w:szCs w:val="16"/>
                <w:lang w:val="en-US"/>
              </w:rPr>
              <w:t>(5</w:t>
            </w:r>
            <w:r>
              <w:rPr>
                <w:rFonts w:ascii="Segoe UI" w:hAnsi="Segoe UI" w:cs="Segoe UI"/>
                <w:sz w:val="14"/>
                <w:szCs w:val="16"/>
                <w:lang w:val="en-US"/>
              </w:rPr>
              <w:t>.</w:t>
            </w:r>
            <w:r w:rsidRPr="005610B3">
              <w:rPr>
                <w:rFonts w:ascii="Segoe UI" w:hAnsi="Segoe UI" w:cs="Segoe UI"/>
                <w:sz w:val="14"/>
                <w:szCs w:val="16"/>
                <w:lang w:val="en-US"/>
              </w:rPr>
              <w:t>961)</w:t>
            </w:r>
          </w:p>
        </w:tc>
      </w:tr>
      <w:tr w:rsidR="0046043D" w:rsidRPr="006B4FB1" w:rsidTr="0046043D">
        <w:trPr>
          <w:trHeight w:val="227"/>
        </w:trPr>
        <w:tc>
          <w:tcPr>
            <w:tcW w:w="2151" w:type="pct"/>
            <w:tcBorders>
              <w:top w:val="nil"/>
              <w:left w:val="nil"/>
              <w:bottom w:val="nil"/>
              <w:right w:val="nil"/>
            </w:tcBorders>
            <w:shd w:val="clear" w:color="auto" w:fill="auto"/>
            <w:tcMar>
              <w:top w:w="15" w:type="dxa"/>
              <w:left w:w="42" w:type="dxa"/>
              <w:bottom w:w="0" w:type="dxa"/>
              <w:right w:w="15" w:type="dxa"/>
            </w:tcMar>
            <w:vAlign w:val="center"/>
          </w:tcPr>
          <w:p w:rsidR="0046043D" w:rsidRPr="00234967" w:rsidRDefault="0046043D" w:rsidP="00A573F7">
            <w:pPr>
              <w:textAlignment w:val="center"/>
              <w:rPr>
                <w:rFonts w:ascii="Segoe UI" w:eastAsia="Segoe UI" w:hAnsi="Segoe UI" w:cs="Segoe UI"/>
                <w:b/>
                <w:color w:val="000000"/>
                <w:kern w:val="24"/>
                <w:sz w:val="14"/>
                <w:szCs w:val="14"/>
                <w:lang w:eastAsia="el-GR"/>
              </w:rPr>
            </w:pPr>
            <w:r w:rsidRPr="006B4FB1">
              <w:rPr>
                <w:rFonts w:ascii="Segoe UI" w:eastAsia="Segoe UI" w:hAnsi="Segoe UI" w:cs="Segoe UI"/>
                <w:b/>
                <w:color w:val="000000"/>
                <w:kern w:val="24"/>
                <w:sz w:val="14"/>
                <w:szCs w:val="14"/>
                <w:lang w:eastAsia="el-GR"/>
              </w:rPr>
              <w:t xml:space="preserve">Δάνεια </w:t>
            </w:r>
            <w:r w:rsidRPr="006B4FB1">
              <w:rPr>
                <w:rFonts w:ascii="Segoe UI" w:eastAsia="Segoe UI" w:hAnsi="Segoe UI" w:cs="Segoe UI"/>
                <w:b/>
                <w:color w:val="000000"/>
                <w:kern w:val="24"/>
                <w:sz w:val="14"/>
                <w:szCs w:val="14"/>
                <w:lang w:val="en-US" w:eastAsia="el-GR"/>
              </w:rPr>
              <w:t>(</w:t>
            </w:r>
            <w:r w:rsidRPr="006B4FB1">
              <w:rPr>
                <w:rFonts w:ascii="Segoe UI" w:eastAsia="Segoe UI" w:hAnsi="Segoe UI" w:cs="Segoe UI"/>
                <w:b/>
                <w:color w:val="000000"/>
                <w:kern w:val="24"/>
                <w:sz w:val="14"/>
                <w:szCs w:val="14"/>
                <w:lang w:eastAsia="el-GR"/>
              </w:rPr>
              <w:t xml:space="preserve">μετά </w:t>
            </w:r>
            <w:r>
              <w:rPr>
                <w:rFonts w:ascii="Segoe UI" w:eastAsia="Segoe UI" w:hAnsi="Segoe UI" w:cs="Segoe UI"/>
                <w:b/>
                <w:color w:val="000000"/>
                <w:kern w:val="24"/>
                <w:sz w:val="14"/>
                <w:szCs w:val="14"/>
                <w:lang w:eastAsia="el-GR"/>
              </w:rPr>
              <w:t xml:space="preserve">από </w:t>
            </w:r>
            <w:r w:rsidRPr="006B4FB1">
              <w:rPr>
                <w:rFonts w:ascii="Segoe UI" w:eastAsia="Segoe UI" w:hAnsi="Segoe UI" w:cs="Segoe UI"/>
                <w:b/>
                <w:color w:val="000000"/>
                <w:kern w:val="24"/>
                <w:sz w:val="14"/>
                <w:szCs w:val="14"/>
                <w:lang w:eastAsia="el-GR"/>
              </w:rPr>
              <w:t>προβλέψε</w:t>
            </w:r>
            <w:r>
              <w:rPr>
                <w:rFonts w:ascii="Segoe UI" w:eastAsia="Segoe UI" w:hAnsi="Segoe UI" w:cs="Segoe UI"/>
                <w:b/>
                <w:color w:val="000000"/>
                <w:kern w:val="24"/>
                <w:sz w:val="14"/>
                <w:szCs w:val="14"/>
                <w:lang w:eastAsia="el-GR"/>
              </w:rPr>
              <w:t>ις</w:t>
            </w:r>
            <w:r w:rsidRPr="006B4FB1">
              <w:rPr>
                <w:rFonts w:ascii="Segoe UI" w:eastAsia="Segoe UI" w:hAnsi="Segoe UI" w:cs="Segoe UI"/>
                <w:b/>
                <w:color w:val="000000"/>
                <w:kern w:val="24"/>
                <w:sz w:val="14"/>
                <w:szCs w:val="14"/>
                <w:lang w:val="en-US" w:eastAsia="el-GR"/>
              </w:rPr>
              <w:t>)</w:t>
            </w:r>
          </w:p>
        </w:tc>
        <w:tc>
          <w:tcPr>
            <w:tcW w:w="475" w:type="pct"/>
            <w:tcBorders>
              <w:top w:val="nil"/>
              <w:left w:val="nil"/>
              <w:bottom w:val="nil"/>
              <w:right w:val="nil"/>
            </w:tcBorders>
            <w:vAlign w:val="center"/>
          </w:tcPr>
          <w:p w:rsidR="0046043D" w:rsidRPr="0046043D" w:rsidRDefault="00234967" w:rsidP="00505CD8">
            <w:pPr>
              <w:ind w:right="148"/>
              <w:jc w:val="right"/>
              <w:rPr>
                <w:rFonts w:ascii="Segoe UI" w:eastAsia="Times New Roman" w:hAnsi="Segoe UI" w:cs="Segoe UI"/>
                <w:b/>
                <w:bCs/>
                <w:color w:val="000000" w:themeColor="text1"/>
                <w:kern w:val="24"/>
                <w:sz w:val="14"/>
                <w:szCs w:val="16"/>
                <w:lang w:eastAsia="el-GR"/>
              </w:rPr>
            </w:pPr>
            <w:r>
              <w:rPr>
                <w:rFonts w:ascii="Segoe UI" w:eastAsia="Times New Roman" w:hAnsi="Segoe UI" w:cs="Segoe UI"/>
                <w:b/>
                <w:bCs/>
                <w:color w:val="000000" w:themeColor="text1"/>
                <w:kern w:val="24"/>
                <w:sz w:val="14"/>
                <w:szCs w:val="16"/>
                <w:lang w:eastAsia="el-GR"/>
              </w:rPr>
              <w:t>2</w:t>
            </w:r>
            <w:r w:rsidR="00505CD8">
              <w:rPr>
                <w:rFonts w:ascii="Segoe UI" w:eastAsia="Times New Roman" w:hAnsi="Segoe UI" w:cs="Segoe UI"/>
                <w:b/>
                <w:bCs/>
                <w:color w:val="000000" w:themeColor="text1"/>
                <w:kern w:val="24"/>
                <w:sz w:val="14"/>
                <w:szCs w:val="16"/>
                <w:lang w:eastAsia="el-GR"/>
              </w:rPr>
              <w:t>9</w:t>
            </w:r>
            <w:r w:rsidR="0046043D">
              <w:rPr>
                <w:rFonts w:ascii="Segoe UI" w:eastAsia="Times New Roman" w:hAnsi="Segoe UI" w:cs="Segoe UI"/>
                <w:b/>
                <w:bCs/>
                <w:color w:val="000000" w:themeColor="text1"/>
                <w:kern w:val="24"/>
                <w:sz w:val="14"/>
                <w:szCs w:val="16"/>
                <w:lang w:val="en-US" w:eastAsia="el-GR"/>
              </w:rPr>
              <w:t>.</w:t>
            </w:r>
            <w:r>
              <w:rPr>
                <w:rFonts w:ascii="Segoe UI" w:eastAsia="Times New Roman" w:hAnsi="Segoe UI" w:cs="Segoe UI"/>
                <w:b/>
                <w:bCs/>
                <w:color w:val="000000" w:themeColor="text1"/>
                <w:kern w:val="24"/>
                <w:sz w:val="14"/>
                <w:szCs w:val="16"/>
                <w:lang w:eastAsia="el-GR"/>
              </w:rPr>
              <w:t>942</w:t>
            </w:r>
          </w:p>
        </w:tc>
        <w:tc>
          <w:tcPr>
            <w:tcW w:w="475" w:type="pct"/>
            <w:tcBorders>
              <w:top w:val="nil"/>
              <w:left w:val="nil"/>
              <w:bottom w:val="nil"/>
              <w:right w:val="nil"/>
            </w:tcBorders>
            <w:vAlign w:val="center"/>
          </w:tcPr>
          <w:p w:rsidR="0046043D" w:rsidRPr="00A5471E" w:rsidRDefault="0046043D" w:rsidP="003A412B">
            <w:pPr>
              <w:ind w:right="148"/>
              <w:jc w:val="right"/>
              <w:rPr>
                <w:rFonts w:ascii="Segoe UI" w:eastAsia="Times New Roman" w:hAnsi="Segoe UI" w:cs="Segoe UI"/>
                <w:b/>
                <w:bCs/>
                <w:color w:val="000000" w:themeColor="text1"/>
                <w:kern w:val="24"/>
                <w:sz w:val="14"/>
                <w:szCs w:val="16"/>
                <w:lang w:eastAsia="el-GR"/>
              </w:rPr>
            </w:pPr>
            <w:r>
              <w:rPr>
                <w:rFonts w:ascii="Segoe UI" w:eastAsia="Times New Roman" w:hAnsi="Segoe UI" w:cs="Segoe UI"/>
                <w:b/>
                <w:bCs/>
                <w:color w:val="000000" w:themeColor="text1"/>
                <w:kern w:val="24"/>
                <w:sz w:val="14"/>
                <w:szCs w:val="16"/>
                <w:lang w:eastAsia="el-GR"/>
              </w:rPr>
              <w:t>26.841</w:t>
            </w:r>
          </w:p>
        </w:tc>
        <w:tc>
          <w:tcPr>
            <w:tcW w:w="475" w:type="pct"/>
            <w:tcBorders>
              <w:top w:val="nil"/>
              <w:left w:val="nil"/>
              <w:bottom w:val="nil"/>
              <w:right w:val="nil"/>
            </w:tcBorders>
            <w:vAlign w:val="center"/>
          </w:tcPr>
          <w:p w:rsidR="0046043D" w:rsidRPr="00A573F7" w:rsidRDefault="0046043D" w:rsidP="003A412B">
            <w:pPr>
              <w:ind w:right="148"/>
              <w:jc w:val="right"/>
              <w:rPr>
                <w:rFonts w:ascii="Segoe UI" w:eastAsia="Times New Roman" w:hAnsi="Segoe UI" w:cs="Segoe UI"/>
                <w:b/>
                <w:bCs/>
                <w:color w:val="000000" w:themeColor="text1"/>
                <w:kern w:val="24"/>
                <w:sz w:val="14"/>
                <w:szCs w:val="16"/>
                <w:lang w:eastAsia="el-GR"/>
              </w:rPr>
            </w:pPr>
            <w:r w:rsidRPr="00A573F7">
              <w:rPr>
                <w:rFonts w:ascii="Segoe UI" w:eastAsia="Times New Roman" w:hAnsi="Segoe UI" w:cs="Segoe UI"/>
                <w:b/>
                <w:bCs/>
                <w:color w:val="000000" w:themeColor="text1"/>
                <w:kern w:val="24"/>
                <w:sz w:val="14"/>
                <w:szCs w:val="16"/>
                <w:lang w:eastAsia="el-GR"/>
              </w:rPr>
              <w:t>26</w:t>
            </w:r>
            <w:r>
              <w:rPr>
                <w:rFonts w:ascii="Segoe UI" w:eastAsia="Times New Roman" w:hAnsi="Segoe UI" w:cs="Segoe UI"/>
                <w:b/>
                <w:bCs/>
                <w:color w:val="000000" w:themeColor="text1"/>
                <w:kern w:val="24"/>
                <w:sz w:val="14"/>
                <w:szCs w:val="16"/>
                <w:lang w:eastAsia="el-GR"/>
              </w:rPr>
              <w:t>.</w:t>
            </w:r>
            <w:r w:rsidRPr="00A573F7">
              <w:rPr>
                <w:rFonts w:ascii="Segoe UI" w:eastAsia="Times New Roman" w:hAnsi="Segoe UI" w:cs="Segoe UI"/>
                <w:b/>
                <w:bCs/>
                <w:color w:val="000000" w:themeColor="text1"/>
                <w:kern w:val="24"/>
                <w:sz w:val="14"/>
                <w:szCs w:val="16"/>
                <w:lang w:eastAsia="el-GR"/>
              </w:rPr>
              <w:t>807</w:t>
            </w:r>
          </w:p>
        </w:tc>
        <w:tc>
          <w:tcPr>
            <w:tcW w:w="475" w:type="pct"/>
            <w:tcBorders>
              <w:top w:val="nil"/>
              <w:left w:val="nil"/>
              <w:right w:val="nil"/>
            </w:tcBorders>
            <w:vAlign w:val="center"/>
          </w:tcPr>
          <w:p w:rsidR="0046043D" w:rsidRPr="00026516" w:rsidRDefault="0046043D" w:rsidP="003A412B">
            <w:pPr>
              <w:ind w:right="148"/>
              <w:jc w:val="right"/>
              <w:rPr>
                <w:rFonts w:ascii="Segoe UI" w:eastAsia="Times New Roman" w:hAnsi="Segoe UI" w:cs="Segoe UI"/>
                <w:b/>
                <w:bCs/>
                <w:color w:val="000000" w:themeColor="text1"/>
                <w:kern w:val="24"/>
                <w:sz w:val="14"/>
                <w:szCs w:val="16"/>
                <w:lang w:eastAsia="el-GR"/>
              </w:rPr>
            </w:pPr>
            <w:r w:rsidRPr="00026516">
              <w:rPr>
                <w:rFonts w:ascii="Segoe UI" w:eastAsia="Times New Roman" w:hAnsi="Segoe UI" w:cs="Segoe UI"/>
                <w:b/>
                <w:bCs/>
                <w:color w:val="000000" w:themeColor="text1"/>
                <w:kern w:val="24"/>
                <w:sz w:val="14"/>
                <w:szCs w:val="16"/>
                <w:lang w:eastAsia="el-GR"/>
              </w:rPr>
              <w:t>29</w:t>
            </w:r>
            <w:r>
              <w:rPr>
                <w:rFonts w:ascii="Segoe UI" w:eastAsia="Times New Roman" w:hAnsi="Segoe UI" w:cs="Segoe UI"/>
                <w:b/>
                <w:bCs/>
                <w:color w:val="000000" w:themeColor="text1"/>
                <w:kern w:val="24"/>
                <w:sz w:val="14"/>
                <w:szCs w:val="16"/>
                <w:lang w:eastAsia="el-GR"/>
              </w:rPr>
              <w:t>.</w:t>
            </w:r>
            <w:r w:rsidRPr="00026516">
              <w:rPr>
                <w:rFonts w:ascii="Segoe UI" w:eastAsia="Times New Roman" w:hAnsi="Segoe UI" w:cs="Segoe UI"/>
                <w:b/>
                <w:bCs/>
                <w:color w:val="000000" w:themeColor="text1"/>
                <w:kern w:val="24"/>
                <w:sz w:val="14"/>
                <w:szCs w:val="16"/>
                <w:lang w:eastAsia="el-GR"/>
              </w:rPr>
              <w:t>287</w:t>
            </w:r>
          </w:p>
        </w:tc>
        <w:tc>
          <w:tcPr>
            <w:tcW w:w="475" w:type="pct"/>
            <w:tcBorders>
              <w:top w:val="nil"/>
              <w:left w:val="nil"/>
              <w:right w:val="nil"/>
            </w:tcBorders>
            <w:vAlign w:val="center"/>
          </w:tcPr>
          <w:p w:rsidR="0046043D" w:rsidRPr="005610B3" w:rsidRDefault="0046043D" w:rsidP="003A412B">
            <w:pPr>
              <w:pStyle w:val="NormalWeb"/>
              <w:spacing w:before="0" w:beforeAutospacing="0" w:after="0" w:afterAutospacing="0"/>
              <w:ind w:right="148"/>
              <w:jc w:val="right"/>
              <w:textAlignment w:val="center"/>
              <w:rPr>
                <w:rFonts w:ascii="Segoe UI" w:hAnsi="Segoe UI" w:cs="Segoe UI"/>
                <w:b/>
                <w:sz w:val="14"/>
                <w:szCs w:val="16"/>
                <w:lang w:val="en-US"/>
              </w:rPr>
            </w:pPr>
            <w:r w:rsidRPr="005610B3">
              <w:rPr>
                <w:rFonts w:ascii="Segoe UI" w:hAnsi="Segoe UI" w:cs="Segoe UI"/>
                <w:b/>
                <w:sz w:val="14"/>
                <w:szCs w:val="16"/>
                <w:lang w:val="en-US"/>
              </w:rPr>
              <w:t>28</w:t>
            </w:r>
            <w:r>
              <w:rPr>
                <w:rFonts w:ascii="Segoe UI" w:hAnsi="Segoe UI" w:cs="Segoe UI"/>
                <w:b/>
                <w:sz w:val="14"/>
                <w:szCs w:val="16"/>
                <w:lang w:val="en-US"/>
              </w:rPr>
              <w:t>.</w:t>
            </w:r>
            <w:r w:rsidRPr="005610B3">
              <w:rPr>
                <w:rFonts w:ascii="Segoe UI" w:hAnsi="Segoe UI" w:cs="Segoe UI"/>
                <w:b/>
                <w:sz w:val="14"/>
                <w:szCs w:val="16"/>
                <w:lang w:val="en-US"/>
              </w:rPr>
              <w:t>891</w:t>
            </w:r>
          </w:p>
        </w:tc>
        <w:tc>
          <w:tcPr>
            <w:tcW w:w="473" w:type="pct"/>
            <w:tcBorders>
              <w:top w:val="nil"/>
              <w:left w:val="nil"/>
              <w:right w:val="nil"/>
            </w:tcBorders>
            <w:vAlign w:val="center"/>
          </w:tcPr>
          <w:p w:rsidR="0046043D" w:rsidRPr="005610B3" w:rsidRDefault="0046043D" w:rsidP="003A412B">
            <w:pPr>
              <w:pStyle w:val="NormalWeb"/>
              <w:spacing w:before="0" w:beforeAutospacing="0" w:after="0" w:afterAutospacing="0"/>
              <w:ind w:right="148"/>
              <w:jc w:val="right"/>
              <w:textAlignment w:val="center"/>
              <w:rPr>
                <w:rFonts w:ascii="Segoe UI" w:hAnsi="Segoe UI" w:cs="Segoe UI"/>
                <w:b/>
                <w:sz w:val="14"/>
                <w:szCs w:val="16"/>
                <w:lang w:val="en-US"/>
              </w:rPr>
            </w:pPr>
            <w:r w:rsidRPr="005610B3">
              <w:rPr>
                <w:rFonts w:ascii="Segoe UI" w:hAnsi="Segoe UI" w:cs="Segoe UI"/>
                <w:b/>
                <w:sz w:val="14"/>
                <w:szCs w:val="16"/>
                <w:lang w:val="en-US"/>
              </w:rPr>
              <w:t>28</w:t>
            </w:r>
            <w:r>
              <w:rPr>
                <w:rFonts w:ascii="Segoe UI" w:hAnsi="Segoe UI" w:cs="Segoe UI"/>
                <w:b/>
                <w:sz w:val="14"/>
                <w:szCs w:val="16"/>
                <w:lang w:val="en-US"/>
              </w:rPr>
              <w:t>.</w:t>
            </w:r>
            <w:r w:rsidRPr="005610B3">
              <w:rPr>
                <w:rFonts w:ascii="Segoe UI" w:hAnsi="Segoe UI" w:cs="Segoe UI"/>
                <w:b/>
                <w:sz w:val="14"/>
                <w:szCs w:val="16"/>
                <w:lang w:val="en-US"/>
              </w:rPr>
              <w:t>955</w:t>
            </w:r>
          </w:p>
        </w:tc>
      </w:tr>
      <w:tr w:rsidR="0046043D" w:rsidRPr="006B4FB1" w:rsidTr="0046043D">
        <w:trPr>
          <w:trHeight w:val="227"/>
        </w:trPr>
        <w:tc>
          <w:tcPr>
            <w:tcW w:w="2151" w:type="pct"/>
            <w:tcBorders>
              <w:top w:val="nil"/>
              <w:left w:val="nil"/>
              <w:bottom w:val="nil"/>
              <w:right w:val="nil"/>
            </w:tcBorders>
            <w:shd w:val="clear" w:color="auto" w:fill="auto"/>
            <w:tcMar>
              <w:top w:w="15" w:type="dxa"/>
              <w:left w:w="42" w:type="dxa"/>
              <w:bottom w:w="0" w:type="dxa"/>
              <w:right w:w="15" w:type="dxa"/>
            </w:tcMar>
            <w:vAlign w:val="center"/>
          </w:tcPr>
          <w:p w:rsidR="0046043D" w:rsidRPr="00DC2500" w:rsidRDefault="0046043D" w:rsidP="00505CD8">
            <w:pPr>
              <w:textAlignment w:val="center"/>
              <w:rPr>
                <w:rFonts w:ascii="Segoe UI" w:eastAsia="Segoe UI" w:hAnsi="Segoe UI" w:cs="Segoe UI"/>
                <w:b/>
                <w:color w:val="000000"/>
                <w:kern w:val="24"/>
                <w:sz w:val="14"/>
                <w:szCs w:val="14"/>
                <w:lang w:val="en-US" w:eastAsia="el-GR"/>
              </w:rPr>
            </w:pPr>
            <w:r w:rsidRPr="006B4FB1">
              <w:rPr>
                <w:rFonts w:ascii="Segoe UI" w:eastAsia="Segoe UI" w:hAnsi="Segoe UI" w:cs="Segoe UI"/>
                <w:b/>
                <w:color w:val="000000"/>
                <w:kern w:val="24"/>
                <w:sz w:val="14"/>
                <w:szCs w:val="14"/>
                <w:lang w:eastAsia="el-GR"/>
              </w:rPr>
              <w:t>Εξυπηρετούμενα δάνεια</w:t>
            </w:r>
          </w:p>
        </w:tc>
        <w:tc>
          <w:tcPr>
            <w:tcW w:w="475" w:type="pct"/>
            <w:tcBorders>
              <w:top w:val="nil"/>
              <w:left w:val="nil"/>
              <w:bottom w:val="nil"/>
              <w:right w:val="nil"/>
            </w:tcBorders>
            <w:vAlign w:val="center"/>
          </w:tcPr>
          <w:p w:rsidR="0046043D" w:rsidRPr="0046043D" w:rsidRDefault="00234967" w:rsidP="00250B3E">
            <w:pPr>
              <w:ind w:right="148"/>
              <w:jc w:val="right"/>
              <w:rPr>
                <w:rFonts w:ascii="Segoe UI" w:eastAsia="Times New Roman" w:hAnsi="Segoe UI" w:cs="Segoe UI"/>
                <w:b/>
                <w:bCs/>
                <w:color w:val="000000" w:themeColor="text1"/>
                <w:kern w:val="24"/>
                <w:sz w:val="14"/>
                <w:szCs w:val="16"/>
                <w:lang w:eastAsia="el-GR"/>
              </w:rPr>
            </w:pPr>
            <w:r>
              <w:rPr>
                <w:rFonts w:ascii="Segoe UI" w:eastAsia="Times New Roman" w:hAnsi="Segoe UI" w:cs="Segoe UI"/>
                <w:b/>
                <w:bCs/>
                <w:color w:val="000000" w:themeColor="text1"/>
                <w:kern w:val="24"/>
                <w:sz w:val="14"/>
                <w:szCs w:val="16"/>
                <w:lang w:eastAsia="el-GR"/>
              </w:rPr>
              <w:t>25.483</w:t>
            </w:r>
          </w:p>
        </w:tc>
        <w:tc>
          <w:tcPr>
            <w:tcW w:w="475" w:type="pct"/>
            <w:tcBorders>
              <w:top w:val="nil"/>
              <w:left w:val="nil"/>
              <w:bottom w:val="nil"/>
              <w:right w:val="nil"/>
            </w:tcBorders>
            <w:vAlign w:val="center"/>
          </w:tcPr>
          <w:p w:rsidR="0046043D" w:rsidRPr="00A5471E" w:rsidRDefault="0046043D" w:rsidP="003A412B">
            <w:pPr>
              <w:ind w:right="148"/>
              <w:jc w:val="right"/>
              <w:rPr>
                <w:rFonts w:ascii="Segoe UI" w:eastAsia="Times New Roman" w:hAnsi="Segoe UI" w:cs="Segoe UI"/>
                <w:b/>
                <w:bCs/>
                <w:color w:val="000000" w:themeColor="text1"/>
                <w:kern w:val="24"/>
                <w:sz w:val="14"/>
                <w:szCs w:val="16"/>
                <w:lang w:eastAsia="el-GR"/>
              </w:rPr>
            </w:pPr>
            <w:r w:rsidRPr="00A5471E">
              <w:rPr>
                <w:rFonts w:ascii="Segoe UI" w:eastAsia="Times New Roman" w:hAnsi="Segoe UI" w:cs="Segoe UI"/>
                <w:b/>
                <w:bCs/>
                <w:color w:val="000000" w:themeColor="text1"/>
                <w:kern w:val="24"/>
                <w:sz w:val="14"/>
                <w:szCs w:val="16"/>
                <w:lang w:eastAsia="el-GR"/>
              </w:rPr>
              <w:t>2</w:t>
            </w:r>
            <w:r>
              <w:rPr>
                <w:rFonts w:ascii="Segoe UI" w:eastAsia="Times New Roman" w:hAnsi="Segoe UI" w:cs="Segoe UI"/>
                <w:b/>
                <w:bCs/>
                <w:color w:val="000000" w:themeColor="text1"/>
                <w:kern w:val="24"/>
                <w:sz w:val="14"/>
                <w:szCs w:val="16"/>
                <w:lang w:eastAsia="el-GR"/>
              </w:rPr>
              <w:t>5.267</w:t>
            </w:r>
          </w:p>
        </w:tc>
        <w:tc>
          <w:tcPr>
            <w:tcW w:w="475" w:type="pct"/>
            <w:tcBorders>
              <w:top w:val="nil"/>
              <w:left w:val="nil"/>
              <w:bottom w:val="nil"/>
              <w:right w:val="nil"/>
            </w:tcBorders>
            <w:vAlign w:val="center"/>
          </w:tcPr>
          <w:p w:rsidR="0046043D" w:rsidRPr="00A573F7" w:rsidRDefault="0046043D" w:rsidP="003A412B">
            <w:pPr>
              <w:ind w:right="148"/>
              <w:jc w:val="right"/>
              <w:rPr>
                <w:rFonts w:ascii="Segoe UI" w:eastAsia="Times New Roman" w:hAnsi="Segoe UI" w:cs="Segoe UI"/>
                <w:b/>
                <w:bCs/>
                <w:color w:val="000000" w:themeColor="text1"/>
                <w:kern w:val="24"/>
                <w:sz w:val="14"/>
                <w:szCs w:val="16"/>
                <w:lang w:eastAsia="el-GR"/>
              </w:rPr>
            </w:pPr>
            <w:r>
              <w:rPr>
                <w:rFonts w:ascii="Segoe UI" w:eastAsia="Times New Roman" w:hAnsi="Segoe UI" w:cs="Segoe UI"/>
                <w:b/>
                <w:bCs/>
                <w:color w:val="000000" w:themeColor="text1"/>
                <w:kern w:val="24"/>
                <w:sz w:val="14"/>
                <w:szCs w:val="16"/>
                <w:lang w:eastAsia="el-GR"/>
              </w:rPr>
              <w:t>25.</w:t>
            </w:r>
            <w:r w:rsidRPr="00A573F7">
              <w:rPr>
                <w:rFonts w:ascii="Segoe UI" w:eastAsia="Times New Roman" w:hAnsi="Segoe UI" w:cs="Segoe UI"/>
                <w:b/>
                <w:bCs/>
                <w:color w:val="000000" w:themeColor="text1"/>
                <w:kern w:val="24"/>
                <w:sz w:val="14"/>
                <w:szCs w:val="16"/>
                <w:lang w:eastAsia="el-GR"/>
              </w:rPr>
              <w:t>091</w:t>
            </w:r>
          </w:p>
        </w:tc>
        <w:tc>
          <w:tcPr>
            <w:tcW w:w="475" w:type="pct"/>
            <w:tcBorders>
              <w:top w:val="nil"/>
              <w:left w:val="nil"/>
              <w:bottom w:val="nil"/>
              <w:right w:val="nil"/>
            </w:tcBorders>
            <w:vAlign w:val="center"/>
          </w:tcPr>
          <w:p w:rsidR="0046043D" w:rsidRPr="00026516" w:rsidRDefault="0046043D" w:rsidP="003A412B">
            <w:pPr>
              <w:ind w:right="148"/>
              <w:jc w:val="right"/>
              <w:rPr>
                <w:rFonts w:ascii="Segoe UI" w:eastAsia="Times New Roman" w:hAnsi="Segoe UI" w:cs="Segoe UI"/>
                <w:b/>
                <w:bCs/>
                <w:color w:val="000000" w:themeColor="text1"/>
                <w:kern w:val="24"/>
                <w:sz w:val="14"/>
                <w:szCs w:val="16"/>
                <w:lang w:eastAsia="el-GR"/>
              </w:rPr>
            </w:pPr>
            <w:r w:rsidRPr="00026516">
              <w:rPr>
                <w:rFonts w:ascii="Segoe UI" w:eastAsia="Times New Roman" w:hAnsi="Segoe UI" w:cs="Segoe UI"/>
                <w:b/>
                <w:bCs/>
                <w:color w:val="000000" w:themeColor="text1"/>
                <w:kern w:val="24"/>
                <w:sz w:val="14"/>
                <w:szCs w:val="16"/>
                <w:lang w:eastAsia="el-GR"/>
              </w:rPr>
              <w:t>24</w:t>
            </w:r>
            <w:r>
              <w:rPr>
                <w:rFonts w:ascii="Segoe UI" w:eastAsia="Times New Roman" w:hAnsi="Segoe UI" w:cs="Segoe UI"/>
                <w:b/>
                <w:bCs/>
                <w:color w:val="000000" w:themeColor="text1"/>
                <w:kern w:val="24"/>
                <w:sz w:val="14"/>
                <w:szCs w:val="16"/>
                <w:lang w:eastAsia="el-GR"/>
              </w:rPr>
              <w:t>.</w:t>
            </w:r>
            <w:r w:rsidRPr="00026516">
              <w:rPr>
                <w:rFonts w:ascii="Segoe UI" w:eastAsia="Times New Roman" w:hAnsi="Segoe UI" w:cs="Segoe UI"/>
                <w:b/>
                <w:bCs/>
                <w:color w:val="000000" w:themeColor="text1"/>
                <w:kern w:val="24"/>
                <w:sz w:val="14"/>
                <w:szCs w:val="16"/>
                <w:lang w:eastAsia="el-GR"/>
              </w:rPr>
              <w:t>764</w:t>
            </w:r>
          </w:p>
        </w:tc>
        <w:tc>
          <w:tcPr>
            <w:tcW w:w="475" w:type="pct"/>
            <w:tcBorders>
              <w:top w:val="nil"/>
              <w:left w:val="nil"/>
              <w:bottom w:val="nil"/>
              <w:right w:val="nil"/>
            </w:tcBorders>
            <w:vAlign w:val="center"/>
          </w:tcPr>
          <w:p w:rsidR="0046043D" w:rsidRPr="005610B3" w:rsidRDefault="0046043D" w:rsidP="003A412B">
            <w:pPr>
              <w:pStyle w:val="NormalWeb"/>
              <w:spacing w:before="0" w:beforeAutospacing="0" w:after="0" w:afterAutospacing="0"/>
              <w:ind w:right="148"/>
              <w:jc w:val="right"/>
              <w:textAlignment w:val="center"/>
              <w:rPr>
                <w:rFonts w:ascii="Segoe UI" w:hAnsi="Segoe UI" w:cs="Segoe UI"/>
                <w:b/>
                <w:sz w:val="14"/>
                <w:szCs w:val="16"/>
                <w:highlight w:val="yellow"/>
                <w:lang w:val="en-US"/>
              </w:rPr>
            </w:pPr>
            <w:r w:rsidRPr="005610B3">
              <w:rPr>
                <w:rFonts w:ascii="Segoe UI" w:hAnsi="Segoe UI" w:cs="Segoe UI"/>
                <w:b/>
                <w:sz w:val="14"/>
                <w:szCs w:val="16"/>
                <w:lang w:val="en-US"/>
              </w:rPr>
              <w:t>24</w:t>
            </w:r>
            <w:r>
              <w:rPr>
                <w:rFonts w:ascii="Segoe UI" w:hAnsi="Segoe UI" w:cs="Segoe UI"/>
                <w:b/>
                <w:sz w:val="14"/>
                <w:szCs w:val="16"/>
                <w:lang w:val="en-US"/>
              </w:rPr>
              <w:t>.</w:t>
            </w:r>
            <w:r w:rsidRPr="005610B3">
              <w:rPr>
                <w:rFonts w:ascii="Segoe UI" w:hAnsi="Segoe UI" w:cs="Segoe UI"/>
                <w:b/>
                <w:sz w:val="14"/>
                <w:szCs w:val="16"/>
                <w:lang w:val="en-US"/>
              </w:rPr>
              <w:t>3</w:t>
            </w:r>
            <w:r>
              <w:rPr>
                <w:rFonts w:ascii="Segoe UI" w:hAnsi="Segoe UI" w:cs="Segoe UI"/>
                <w:b/>
                <w:sz w:val="14"/>
                <w:szCs w:val="16"/>
                <w:lang w:val="en-US"/>
              </w:rPr>
              <w:t>46</w:t>
            </w:r>
          </w:p>
        </w:tc>
        <w:tc>
          <w:tcPr>
            <w:tcW w:w="473" w:type="pct"/>
            <w:tcBorders>
              <w:top w:val="nil"/>
              <w:left w:val="nil"/>
              <w:bottom w:val="nil"/>
              <w:right w:val="nil"/>
            </w:tcBorders>
            <w:shd w:val="clear" w:color="auto" w:fill="auto"/>
            <w:vAlign w:val="center"/>
          </w:tcPr>
          <w:p w:rsidR="0046043D" w:rsidRPr="005610B3" w:rsidRDefault="0046043D" w:rsidP="003A412B">
            <w:pPr>
              <w:pStyle w:val="NormalWeb"/>
              <w:spacing w:before="0" w:beforeAutospacing="0" w:after="0" w:afterAutospacing="0"/>
              <w:ind w:right="148"/>
              <w:jc w:val="right"/>
              <w:textAlignment w:val="center"/>
              <w:rPr>
                <w:rFonts w:ascii="Segoe UI" w:hAnsi="Segoe UI" w:cs="Segoe UI"/>
                <w:b/>
                <w:sz w:val="14"/>
                <w:szCs w:val="16"/>
                <w:lang w:val="en-US"/>
              </w:rPr>
            </w:pPr>
            <w:r w:rsidRPr="005610B3">
              <w:rPr>
                <w:rFonts w:ascii="Segoe UI" w:hAnsi="Segoe UI" w:cs="Segoe UI"/>
                <w:b/>
                <w:sz w:val="14"/>
                <w:szCs w:val="16"/>
                <w:lang w:val="en-US"/>
              </w:rPr>
              <w:t>24</w:t>
            </w:r>
            <w:r>
              <w:rPr>
                <w:rFonts w:ascii="Segoe UI" w:hAnsi="Segoe UI" w:cs="Segoe UI"/>
                <w:b/>
                <w:sz w:val="14"/>
                <w:szCs w:val="16"/>
                <w:lang w:val="en-US"/>
              </w:rPr>
              <w:t>.</w:t>
            </w:r>
            <w:r w:rsidRPr="005610B3">
              <w:rPr>
                <w:rFonts w:ascii="Segoe UI" w:hAnsi="Segoe UI" w:cs="Segoe UI"/>
                <w:b/>
                <w:sz w:val="14"/>
                <w:szCs w:val="16"/>
                <w:lang w:val="en-US"/>
              </w:rPr>
              <w:t>148</w:t>
            </w:r>
          </w:p>
        </w:tc>
      </w:tr>
      <w:tr w:rsidR="0046043D" w:rsidRPr="006B4FB1" w:rsidTr="0046043D">
        <w:trPr>
          <w:trHeight w:val="227"/>
        </w:trPr>
        <w:tc>
          <w:tcPr>
            <w:tcW w:w="2151" w:type="pct"/>
            <w:tcBorders>
              <w:top w:val="nil"/>
              <w:left w:val="nil"/>
              <w:bottom w:val="nil"/>
              <w:right w:val="nil"/>
            </w:tcBorders>
            <w:shd w:val="clear" w:color="auto" w:fill="auto"/>
            <w:tcMar>
              <w:top w:w="15" w:type="dxa"/>
              <w:left w:w="42" w:type="dxa"/>
              <w:bottom w:w="0" w:type="dxa"/>
              <w:right w:w="15" w:type="dxa"/>
            </w:tcMar>
            <w:vAlign w:val="center"/>
          </w:tcPr>
          <w:p w:rsidR="0046043D" w:rsidRPr="006B4FB1" w:rsidRDefault="0046043D" w:rsidP="00505CD8">
            <w:pPr>
              <w:textAlignment w:val="center"/>
              <w:rPr>
                <w:rFonts w:ascii="Segoe UI" w:eastAsia="Times New Roman" w:hAnsi="Segoe UI" w:cs="Segoe UI"/>
                <w:sz w:val="14"/>
                <w:szCs w:val="14"/>
                <w:lang w:eastAsia="el-GR"/>
              </w:rPr>
            </w:pPr>
            <w:r w:rsidRPr="006B4FB1">
              <w:rPr>
                <w:rFonts w:ascii="Segoe UI" w:eastAsia="Segoe UI" w:hAnsi="Segoe UI" w:cs="Segoe UI"/>
                <w:color w:val="000000"/>
                <w:kern w:val="24"/>
                <w:sz w:val="14"/>
                <w:szCs w:val="14"/>
                <w:lang w:eastAsia="el-GR"/>
              </w:rPr>
              <w:t>Χαρτοφυλάκιο επενδύσεων</w:t>
            </w:r>
            <w:r w:rsidR="00505CD8">
              <w:rPr>
                <w:rFonts w:ascii="Segoe UI" w:eastAsia="Segoe UI" w:hAnsi="Segoe UI" w:cs="Segoe UI"/>
                <w:color w:val="000000"/>
                <w:kern w:val="24"/>
                <w:sz w:val="14"/>
                <w:szCs w:val="14"/>
                <w:vertAlign w:val="superscript"/>
                <w:lang w:eastAsia="el-GR"/>
              </w:rPr>
              <w:t>2</w:t>
            </w:r>
            <w:r w:rsidRPr="006B4FB1">
              <w:rPr>
                <w:rFonts w:ascii="Segoe UI" w:eastAsia="Segoe UI" w:hAnsi="Segoe UI" w:cs="Segoe UI"/>
                <w:color w:val="000000"/>
                <w:kern w:val="24"/>
                <w:sz w:val="14"/>
                <w:szCs w:val="14"/>
                <w:lang w:eastAsia="el-GR"/>
              </w:rPr>
              <w:t xml:space="preserve"> </w:t>
            </w:r>
          </w:p>
        </w:tc>
        <w:tc>
          <w:tcPr>
            <w:tcW w:w="475" w:type="pct"/>
            <w:tcBorders>
              <w:top w:val="nil"/>
              <w:left w:val="nil"/>
              <w:bottom w:val="nil"/>
              <w:right w:val="nil"/>
            </w:tcBorders>
            <w:vAlign w:val="center"/>
          </w:tcPr>
          <w:p w:rsidR="0046043D" w:rsidRPr="0046043D" w:rsidRDefault="0046043D" w:rsidP="0046043D">
            <w:pPr>
              <w:ind w:right="148"/>
              <w:jc w:val="right"/>
              <w:rPr>
                <w:rFonts w:ascii="Segoe UI" w:eastAsia="Times New Roman" w:hAnsi="Segoe UI" w:cs="Segoe UI"/>
                <w:bCs/>
                <w:color w:val="000000" w:themeColor="text1"/>
                <w:kern w:val="24"/>
                <w:sz w:val="14"/>
                <w:szCs w:val="16"/>
                <w:lang w:eastAsia="el-GR"/>
              </w:rPr>
            </w:pPr>
            <w:r w:rsidRPr="0046043D">
              <w:rPr>
                <w:rFonts w:ascii="Segoe UI" w:eastAsia="Times New Roman" w:hAnsi="Segoe UI" w:cs="Segoe UI"/>
                <w:bCs/>
                <w:color w:val="000000" w:themeColor="text1"/>
                <w:kern w:val="24"/>
                <w:sz w:val="14"/>
                <w:szCs w:val="16"/>
                <w:lang w:eastAsia="el-GR"/>
              </w:rPr>
              <w:t>16</w:t>
            </w:r>
            <w:r>
              <w:rPr>
                <w:rFonts w:ascii="Segoe UI" w:eastAsia="Times New Roman" w:hAnsi="Segoe UI" w:cs="Segoe UI"/>
                <w:bCs/>
                <w:color w:val="000000" w:themeColor="text1"/>
                <w:kern w:val="24"/>
                <w:sz w:val="14"/>
                <w:szCs w:val="16"/>
                <w:lang w:val="en-US" w:eastAsia="el-GR"/>
              </w:rPr>
              <w:t>.</w:t>
            </w:r>
            <w:r w:rsidRPr="0046043D">
              <w:rPr>
                <w:rFonts w:ascii="Segoe UI" w:eastAsia="Times New Roman" w:hAnsi="Segoe UI" w:cs="Segoe UI"/>
                <w:bCs/>
                <w:color w:val="000000" w:themeColor="text1"/>
                <w:kern w:val="24"/>
                <w:sz w:val="14"/>
                <w:szCs w:val="16"/>
                <w:lang w:eastAsia="el-GR"/>
              </w:rPr>
              <w:t>053</w:t>
            </w:r>
          </w:p>
        </w:tc>
        <w:tc>
          <w:tcPr>
            <w:tcW w:w="475" w:type="pct"/>
            <w:tcBorders>
              <w:top w:val="nil"/>
              <w:left w:val="nil"/>
              <w:bottom w:val="nil"/>
              <w:right w:val="nil"/>
            </w:tcBorders>
            <w:vAlign w:val="center"/>
          </w:tcPr>
          <w:p w:rsidR="0046043D" w:rsidRPr="00A5471E" w:rsidRDefault="0046043D" w:rsidP="003A412B">
            <w:pPr>
              <w:ind w:right="148"/>
              <w:jc w:val="right"/>
              <w:rPr>
                <w:rFonts w:ascii="Segoe UI" w:eastAsia="Times New Roman" w:hAnsi="Segoe UI" w:cs="Segoe UI"/>
                <w:bCs/>
                <w:color w:val="000000" w:themeColor="text1"/>
                <w:kern w:val="24"/>
                <w:sz w:val="14"/>
                <w:szCs w:val="16"/>
                <w:lang w:eastAsia="el-GR"/>
              </w:rPr>
            </w:pPr>
            <w:r w:rsidRPr="00A5471E">
              <w:rPr>
                <w:rFonts w:ascii="Segoe UI" w:eastAsia="Times New Roman" w:hAnsi="Segoe UI" w:cs="Segoe UI"/>
                <w:bCs/>
                <w:color w:val="000000" w:themeColor="text1"/>
                <w:kern w:val="24"/>
                <w:sz w:val="14"/>
                <w:szCs w:val="16"/>
                <w:lang w:eastAsia="el-GR"/>
              </w:rPr>
              <w:t>16</w:t>
            </w:r>
            <w:r>
              <w:rPr>
                <w:rFonts w:ascii="Segoe UI" w:eastAsia="Times New Roman" w:hAnsi="Segoe UI" w:cs="Segoe UI"/>
                <w:bCs/>
                <w:color w:val="000000" w:themeColor="text1"/>
                <w:kern w:val="24"/>
                <w:sz w:val="14"/>
                <w:szCs w:val="16"/>
                <w:lang w:eastAsia="el-GR"/>
              </w:rPr>
              <w:t>.</w:t>
            </w:r>
            <w:r w:rsidRPr="00A5471E">
              <w:rPr>
                <w:rFonts w:ascii="Segoe UI" w:eastAsia="Times New Roman" w:hAnsi="Segoe UI" w:cs="Segoe UI"/>
                <w:bCs/>
                <w:color w:val="000000" w:themeColor="text1"/>
                <w:kern w:val="24"/>
                <w:sz w:val="14"/>
                <w:szCs w:val="16"/>
                <w:lang w:eastAsia="el-GR"/>
              </w:rPr>
              <w:t>833</w:t>
            </w:r>
          </w:p>
        </w:tc>
        <w:tc>
          <w:tcPr>
            <w:tcW w:w="475" w:type="pct"/>
            <w:tcBorders>
              <w:top w:val="nil"/>
              <w:left w:val="nil"/>
              <w:bottom w:val="nil"/>
              <w:right w:val="nil"/>
            </w:tcBorders>
            <w:vAlign w:val="center"/>
          </w:tcPr>
          <w:p w:rsidR="0046043D" w:rsidRPr="00A573F7" w:rsidRDefault="0046043D" w:rsidP="003A412B">
            <w:pPr>
              <w:ind w:right="148"/>
              <w:jc w:val="right"/>
              <w:rPr>
                <w:rFonts w:ascii="Segoe UI" w:eastAsia="Times New Roman" w:hAnsi="Segoe UI" w:cs="Segoe UI"/>
                <w:bCs/>
                <w:color w:val="000000" w:themeColor="text1"/>
                <w:kern w:val="24"/>
                <w:sz w:val="14"/>
                <w:szCs w:val="16"/>
                <w:lang w:eastAsia="el-GR"/>
              </w:rPr>
            </w:pPr>
            <w:r w:rsidRPr="00A573F7">
              <w:rPr>
                <w:rFonts w:ascii="Segoe UI" w:eastAsia="Times New Roman" w:hAnsi="Segoe UI" w:cs="Segoe UI"/>
                <w:bCs/>
                <w:color w:val="000000" w:themeColor="text1"/>
                <w:kern w:val="24"/>
                <w:sz w:val="14"/>
                <w:szCs w:val="16"/>
                <w:lang w:eastAsia="el-GR"/>
              </w:rPr>
              <w:t>15</w:t>
            </w:r>
            <w:r>
              <w:rPr>
                <w:rFonts w:ascii="Segoe UI" w:eastAsia="Times New Roman" w:hAnsi="Segoe UI" w:cs="Segoe UI"/>
                <w:bCs/>
                <w:color w:val="000000" w:themeColor="text1"/>
                <w:kern w:val="24"/>
                <w:sz w:val="14"/>
                <w:szCs w:val="16"/>
                <w:lang w:eastAsia="el-GR"/>
              </w:rPr>
              <w:t>.</w:t>
            </w:r>
            <w:r w:rsidRPr="00A573F7">
              <w:rPr>
                <w:rFonts w:ascii="Segoe UI" w:eastAsia="Times New Roman" w:hAnsi="Segoe UI" w:cs="Segoe UI"/>
                <w:bCs/>
                <w:color w:val="000000" w:themeColor="text1"/>
                <w:kern w:val="24"/>
                <w:sz w:val="14"/>
                <w:szCs w:val="16"/>
                <w:lang w:eastAsia="el-GR"/>
              </w:rPr>
              <w:t>596</w:t>
            </w:r>
          </w:p>
        </w:tc>
        <w:tc>
          <w:tcPr>
            <w:tcW w:w="475" w:type="pct"/>
            <w:tcBorders>
              <w:top w:val="nil"/>
              <w:left w:val="nil"/>
              <w:bottom w:val="nil"/>
              <w:right w:val="nil"/>
            </w:tcBorders>
            <w:vAlign w:val="center"/>
          </w:tcPr>
          <w:p w:rsidR="0046043D" w:rsidRPr="00026516" w:rsidRDefault="0046043D" w:rsidP="003A412B">
            <w:pPr>
              <w:ind w:right="148"/>
              <w:jc w:val="right"/>
              <w:rPr>
                <w:rFonts w:ascii="Segoe UI" w:eastAsia="Times New Roman" w:hAnsi="Segoe UI" w:cs="Segoe UI"/>
                <w:bCs/>
                <w:color w:val="000000" w:themeColor="text1"/>
                <w:kern w:val="24"/>
                <w:sz w:val="14"/>
                <w:szCs w:val="16"/>
                <w:lang w:eastAsia="el-GR"/>
              </w:rPr>
            </w:pPr>
            <w:r w:rsidRPr="00026516">
              <w:rPr>
                <w:rFonts w:ascii="Segoe UI" w:eastAsia="Times New Roman" w:hAnsi="Segoe UI" w:cs="Segoe UI"/>
                <w:bCs/>
                <w:color w:val="000000" w:themeColor="text1"/>
                <w:kern w:val="24"/>
                <w:sz w:val="14"/>
                <w:szCs w:val="16"/>
                <w:lang w:eastAsia="el-GR"/>
              </w:rPr>
              <w:t>14</w:t>
            </w:r>
            <w:r>
              <w:rPr>
                <w:rFonts w:ascii="Segoe UI" w:eastAsia="Times New Roman" w:hAnsi="Segoe UI" w:cs="Segoe UI"/>
                <w:bCs/>
                <w:color w:val="000000" w:themeColor="text1"/>
                <w:kern w:val="24"/>
                <w:sz w:val="14"/>
                <w:szCs w:val="16"/>
                <w:lang w:eastAsia="el-GR"/>
              </w:rPr>
              <w:t>.</w:t>
            </w:r>
            <w:r w:rsidRPr="00026516">
              <w:rPr>
                <w:rFonts w:ascii="Segoe UI" w:eastAsia="Times New Roman" w:hAnsi="Segoe UI" w:cs="Segoe UI"/>
                <w:bCs/>
                <w:color w:val="000000" w:themeColor="text1"/>
                <w:kern w:val="24"/>
                <w:sz w:val="14"/>
                <w:szCs w:val="16"/>
                <w:lang w:eastAsia="el-GR"/>
              </w:rPr>
              <w:t>907</w:t>
            </w:r>
          </w:p>
        </w:tc>
        <w:tc>
          <w:tcPr>
            <w:tcW w:w="475" w:type="pct"/>
            <w:tcBorders>
              <w:top w:val="nil"/>
              <w:left w:val="nil"/>
              <w:bottom w:val="nil"/>
              <w:right w:val="nil"/>
            </w:tcBorders>
            <w:vAlign w:val="center"/>
          </w:tcPr>
          <w:p w:rsidR="0046043D" w:rsidRPr="005610B3" w:rsidRDefault="0046043D" w:rsidP="003A412B">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15</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276</w:t>
            </w:r>
          </w:p>
        </w:tc>
        <w:tc>
          <w:tcPr>
            <w:tcW w:w="473" w:type="pct"/>
            <w:tcBorders>
              <w:top w:val="nil"/>
              <w:left w:val="nil"/>
              <w:bottom w:val="nil"/>
              <w:right w:val="nil"/>
            </w:tcBorders>
            <w:vAlign w:val="center"/>
          </w:tcPr>
          <w:p w:rsidR="0046043D" w:rsidRPr="005610B3" w:rsidRDefault="0046043D" w:rsidP="003A412B">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11</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586</w:t>
            </w:r>
          </w:p>
        </w:tc>
      </w:tr>
      <w:tr w:rsidR="0046043D" w:rsidRPr="006B4FB1" w:rsidTr="0046043D">
        <w:trPr>
          <w:trHeight w:val="227"/>
        </w:trPr>
        <w:tc>
          <w:tcPr>
            <w:tcW w:w="2151" w:type="pct"/>
            <w:tcBorders>
              <w:top w:val="nil"/>
              <w:left w:val="nil"/>
              <w:bottom w:val="nil"/>
              <w:right w:val="nil"/>
            </w:tcBorders>
            <w:shd w:val="clear" w:color="auto" w:fill="auto"/>
            <w:tcMar>
              <w:top w:w="15" w:type="dxa"/>
              <w:left w:w="42" w:type="dxa"/>
              <w:bottom w:w="0" w:type="dxa"/>
              <w:right w:w="15" w:type="dxa"/>
            </w:tcMar>
            <w:vAlign w:val="center"/>
            <w:hideMark/>
          </w:tcPr>
          <w:p w:rsidR="0046043D" w:rsidRPr="00E12A06" w:rsidRDefault="0046043D" w:rsidP="00A573F7">
            <w:pPr>
              <w:textAlignment w:val="center"/>
              <w:rPr>
                <w:rFonts w:ascii="Segoe UI" w:eastAsia="Times New Roman" w:hAnsi="Segoe UI" w:cs="Segoe UI"/>
                <w:b/>
                <w:sz w:val="14"/>
                <w:szCs w:val="14"/>
                <w:lang w:eastAsia="el-GR"/>
              </w:rPr>
            </w:pPr>
            <w:r>
              <w:rPr>
                <w:rFonts w:ascii="Segoe UI" w:eastAsia="Segoe UI" w:hAnsi="Segoe UI" w:cs="Segoe UI"/>
                <w:b/>
                <w:color w:val="000000"/>
                <w:kern w:val="24"/>
                <w:sz w:val="14"/>
                <w:szCs w:val="14"/>
                <w:lang w:eastAsia="el-GR"/>
              </w:rPr>
              <w:t>Καταθέσεις</w:t>
            </w:r>
          </w:p>
        </w:tc>
        <w:tc>
          <w:tcPr>
            <w:tcW w:w="475" w:type="pct"/>
            <w:tcBorders>
              <w:top w:val="nil"/>
              <w:left w:val="nil"/>
              <w:bottom w:val="nil"/>
              <w:right w:val="nil"/>
            </w:tcBorders>
            <w:vAlign w:val="center"/>
          </w:tcPr>
          <w:p w:rsidR="0046043D" w:rsidRPr="0046043D" w:rsidRDefault="0046043D" w:rsidP="00234967">
            <w:pPr>
              <w:ind w:right="148"/>
              <w:jc w:val="right"/>
              <w:rPr>
                <w:rFonts w:ascii="Segoe UI" w:eastAsia="Times New Roman" w:hAnsi="Segoe UI" w:cs="Segoe UI"/>
                <w:b/>
                <w:bCs/>
                <w:color w:val="000000" w:themeColor="text1"/>
                <w:kern w:val="24"/>
                <w:sz w:val="14"/>
                <w:szCs w:val="16"/>
                <w:lang w:eastAsia="el-GR"/>
              </w:rPr>
            </w:pPr>
            <w:r w:rsidRPr="0046043D">
              <w:rPr>
                <w:rFonts w:ascii="Segoe UI" w:eastAsia="Times New Roman" w:hAnsi="Segoe UI" w:cs="Segoe UI"/>
                <w:b/>
                <w:bCs/>
                <w:color w:val="000000" w:themeColor="text1"/>
                <w:kern w:val="24"/>
                <w:sz w:val="14"/>
                <w:szCs w:val="16"/>
                <w:lang w:eastAsia="el-GR"/>
              </w:rPr>
              <w:t>51</w:t>
            </w:r>
            <w:r>
              <w:rPr>
                <w:rFonts w:ascii="Segoe UI" w:eastAsia="Times New Roman" w:hAnsi="Segoe UI" w:cs="Segoe UI"/>
                <w:b/>
                <w:bCs/>
                <w:color w:val="000000" w:themeColor="text1"/>
                <w:kern w:val="24"/>
                <w:sz w:val="14"/>
                <w:szCs w:val="16"/>
                <w:lang w:val="en-US" w:eastAsia="el-GR"/>
              </w:rPr>
              <w:t>.</w:t>
            </w:r>
            <w:r w:rsidRPr="0046043D">
              <w:rPr>
                <w:rFonts w:ascii="Segoe UI" w:eastAsia="Times New Roman" w:hAnsi="Segoe UI" w:cs="Segoe UI"/>
                <w:b/>
                <w:bCs/>
                <w:color w:val="000000" w:themeColor="text1"/>
                <w:kern w:val="24"/>
                <w:sz w:val="14"/>
                <w:szCs w:val="16"/>
                <w:lang w:eastAsia="el-GR"/>
              </w:rPr>
              <w:t>0</w:t>
            </w:r>
            <w:r w:rsidR="00234967">
              <w:rPr>
                <w:rFonts w:ascii="Segoe UI" w:eastAsia="Times New Roman" w:hAnsi="Segoe UI" w:cs="Segoe UI"/>
                <w:b/>
                <w:bCs/>
                <w:color w:val="000000" w:themeColor="text1"/>
                <w:kern w:val="24"/>
                <w:sz w:val="14"/>
                <w:szCs w:val="16"/>
                <w:lang w:eastAsia="el-GR"/>
              </w:rPr>
              <w:t>54</w:t>
            </w:r>
            <w:r w:rsidRPr="0046043D">
              <w:rPr>
                <w:rFonts w:ascii="Segoe UI" w:eastAsia="Times New Roman" w:hAnsi="Segoe UI" w:cs="Segoe UI"/>
                <w:b/>
                <w:bCs/>
                <w:color w:val="000000" w:themeColor="text1"/>
                <w:kern w:val="24"/>
                <w:sz w:val="14"/>
                <w:szCs w:val="16"/>
                <w:lang w:eastAsia="el-GR"/>
              </w:rPr>
              <w:t xml:space="preserve"> </w:t>
            </w:r>
          </w:p>
        </w:tc>
        <w:tc>
          <w:tcPr>
            <w:tcW w:w="475" w:type="pct"/>
            <w:tcBorders>
              <w:top w:val="nil"/>
              <w:left w:val="nil"/>
              <w:bottom w:val="nil"/>
              <w:right w:val="nil"/>
            </w:tcBorders>
            <w:vAlign w:val="center"/>
          </w:tcPr>
          <w:p w:rsidR="0046043D" w:rsidRPr="00A5471E" w:rsidRDefault="0046043D" w:rsidP="003A412B">
            <w:pPr>
              <w:ind w:right="148"/>
              <w:jc w:val="right"/>
              <w:rPr>
                <w:rFonts w:ascii="Segoe UI" w:eastAsia="Times New Roman" w:hAnsi="Segoe UI" w:cs="Segoe UI"/>
                <w:b/>
                <w:bCs/>
                <w:color w:val="000000" w:themeColor="text1"/>
                <w:kern w:val="24"/>
                <w:sz w:val="14"/>
                <w:szCs w:val="16"/>
                <w:lang w:eastAsia="el-GR"/>
              </w:rPr>
            </w:pPr>
            <w:r w:rsidRPr="00A5471E">
              <w:rPr>
                <w:rFonts w:ascii="Segoe UI" w:eastAsia="Times New Roman" w:hAnsi="Segoe UI" w:cs="Segoe UI"/>
                <w:b/>
                <w:bCs/>
                <w:color w:val="000000" w:themeColor="text1"/>
                <w:kern w:val="24"/>
                <w:sz w:val="14"/>
                <w:szCs w:val="16"/>
                <w:lang w:eastAsia="el-GR"/>
              </w:rPr>
              <w:t>48</w:t>
            </w:r>
            <w:r>
              <w:rPr>
                <w:rFonts w:ascii="Segoe UI" w:eastAsia="Times New Roman" w:hAnsi="Segoe UI" w:cs="Segoe UI"/>
                <w:b/>
                <w:bCs/>
                <w:color w:val="000000" w:themeColor="text1"/>
                <w:kern w:val="24"/>
                <w:sz w:val="14"/>
                <w:szCs w:val="16"/>
                <w:lang w:eastAsia="el-GR"/>
              </w:rPr>
              <w:t>.</w:t>
            </w:r>
            <w:r w:rsidRPr="00A5471E">
              <w:rPr>
                <w:rFonts w:ascii="Segoe UI" w:eastAsia="Times New Roman" w:hAnsi="Segoe UI" w:cs="Segoe UI"/>
                <w:b/>
                <w:bCs/>
                <w:color w:val="000000" w:themeColor="text1"/>
                <w:kern w:val="24"/>
                <w:sz w:val="14"/>
                <w:szCs w:val="16"/>
                <w:lang w:eastAsia="el-GR"/>
              </w:rPr>
              <w:t>150</w:t>
            </w:r>
          </w:p>
        </w:tc>
        <w:tc>
          <w:tcPr>
            <w:tcW w:w="475" w:type="pct"/>
            <w:tcBorders>
              <w:top w:val="nil"/>
              <w:left w:val="nil"/>
              <w:bottom w:val="nil"/>
              <w:right w:val="nil"/>
            </w:tcBorders>
            <w:vAlign w:val="center"/>
          </w:tcPr>
          <w:p w:rsidR="0046043D" w:rsidRPr="00A573F7" w:rsidRDefault="0046043D" w:rsidP="003A412B">
            <w:pPr>
              <w:ind w:right="148"/>
              <w:jc w:val="right"/>
              <w:rPr>
                <w:rFonts w:ascii="Segoe UI" w:eastAsia="Times New Roman" w:hAnsi="Segoe UI" w:cs="Segoe UI"/>
                <w:b/>
                <w:bCs/>
                <w:color w:val="000000" w:themeColor="text1"/>
                <w:kern w:val="24"/>
                <w:sz w:val="14"/>
                <w:szCs w:val="16"/>
                <w:lang w:eastAsia="el-GR"/>
              </w:rPr>
            </w:pPr>
            <w:r w:rsidRPr="00A573F7">
              <w:rPr>
                <w:rFonts w:ascii="Segoe UI" w:eastAsia="Times New Roman" w:hAnsi="Segoe UI" w:cs="Segoe UI"/>
                <w:b/>
                <w:bCs/>
                <w:color w:val="000000" w:themeColor="text1"/>
                <w:kern w:val="24"/>
                <w:sz w:val="14"/>
                <w:szCs w:val="16"/>
                <w:lang w:eastAsia="el-GR"/>
              </w:rPr>
              <w:t>48</w:t>
            </w:r>
            <w:r>
              <w:rPr>
                <w:rFonts w:ascii="Segoe UI" w:eastAsia="Times New Roman" w:hAnsi="Segoe UI" w:cs="Segoe UI"/>
                <w:b/>
                <w:bCs/>
                <w:color w:val="000000" w:themeColor="text1"/>
                <w:kern w:val="24"/>
                <w:sz w:val="14"/>
                <w:szCs w:val="16"/>
                <w:lang w:eastAsia="el-GR"/>
              </w:rPr>
              <w:t>.</w:t>
            </w:r>
            <w:r w:rsidRPr="00A573F7">
              <w:rPr>
                <w:rFonts w:ascii="Segoe UI" w:eastAsia="Times New Roman" w:hAnsi="Segoe UI" w:cs="Segoe UI"/>
                <w:b/>
                <w:bCs/>
                <w:color w:val="000000" w:themeColor="text1"/>
                <w:kern w:val="24"/>
                <w:sz w:val="14"/>
                <w:szCs w:val="16"/>
                <w:lang w:eastAsia="el-GR"/>
              </w:rPr>
              <w:t>504</w:t>
            </w:r>
          </w:p>
        </w:tc>
        <w:tc>
          <w:tcPr>
            <w:tcW w:w="475" w:type="pct"/>
            <w:tcBorders>
              <w:top w:val="nil"/>
              <w:left w:val="nil"/>
              <w:bottom w:val="nil"/>
              <w:right w:val="nil"/>
            </w:tcBorders>
            <w:vAlign w:val="center"/>
          </w:tcPr>
          <w:p w:rsidR="0046043D" w:rsidRPr="009372B8" w:rsidRDefault="0046043D" w:rsidP="003A412B">
            <w:pPr>
              <w:ind w:right="148"/>
              <w:jc w:val="right"/>
              <w:rPr>
                <w:rFonts w:ascii="Segoe UI" w:eastAsia="Times New Roman" w:hAnsi="Segoe UI" w:cs="Segoe UI"/>
                <w:b/>
                <w:bCs/>
                <w:color w:val="000000" w:themeColor="text1"/>
                <w:kern w:val="24"/>
                <w:sz w:val="14"/>
                <w:szCs w:val="16"/>
                <w:lang w:eastAsia="el-GR"/>
              </w:rPr>
            </w:pPr>
            <w:r w:rsidRPr="009372B8">
              <w:rPr>
                <w:rFonts w:ascii="Segoe UI" w:eastAsia="Times New Roman" w:hAnsi="Segoe UI" w:cs="Segoe UI"/>
                <w:b/>
                <w:bCs/>
                <w:color w:val="000000" w:themeColor="text1"/>
                <w:kern w:val="24"/>
                <w:sz w:val="14"/>
                <w:szCs w:val="16"/>
                <w:lang w:eastAsia="el-GR"/>
              </w:rPr>
              <w:t>45.218</w:t>
            </w:r>
          </w:p>
        </w:tc>
        <w:tc>
          <w:tcPr>
            <w:tcW w:w="475" w:type="pct"/>
            <w:tcBorders>
              <w:top w:val="nil"/>
              <w:left w:val="nil"/>
              <w:bottom w:val="nil"/>
              <w:right w:val="nil"/>
            </w:tcBorders>
            <w:vAlign w:val="center"/>
          </w:tcPr>
          <w:p w:rsidR="0046043D" w:rsidRPr="009372B8" w:rsidRDefault="0046043D" w:rsidP="003A412B">
            <w:pPr>
              <w:ind w:right="148"/>
              <w:jc w:val="right"/>
              <w:rPr>
                <w:rFonts w:ascii="Segoe UI" w:eastAsia="Times New Roman" w:hAnsi="Segoe UI" w:cs="Segoe UI"/>
                <w:b/>
                <w:bCs/>
                <w:color w:val="000000" w:themeColor="text1"/>
                <w:kern w:val="24"/>
                <w:sz w:val="14"/>
                <w:szCs w:val="16"/>
                <w:lang w:eastAsia="el-GR"/>
              </w:rPr>
            </w:pPr>
            <w:r w:rsidRPr="009372B8">
              <w:rPr>
                <w:rFonts w:ascii="Segoe UI" w:eastAsia="Times New Roman" w:hAnsi="Segoe UI" w:cs="Segoe UI"/>
                <w:b/>
                <w:bCs/>
                <w:color w:val="000000" w:themeColor="text1"/>
                <w:kern w:val="24"/>
                <w:sz w:val="14"/>
                <w:szCs w:val="16"/>
                <w:lang w:eastAsia="el-GR"/>
              </w:rPr>
              <w:t>44.763</w:t>
            </w:r>
          </w:p>
        </w:tc>
        <w:tc>
          <w:tcPr>
            <w:tcW w:w="473" w:type="pct"/>
            <w:tcBorders>
              <w:top w:val="nil"/>
              <w:left w:val="nil"/>
              <w:bottom w:val="nil"/>
              <w:right w:val="nil"/>
            </w:tcBorders>
            <w:vAlign w:val="center"/>
          </w:tcPr>
          <w:p w:rsidR="0046043D" w:rsidRPr="009372B8" w:rsidRDefault="0046043D" w:rsidP="003A412B">
            <w:pPr>
              <w:ind w:right="148"/>
              <w:jc w:val="right"/>
              <w:rPr>
                <w:rFonts w:ascii="Segoe UI" w:eastAsia="Times New Roman" w:hAnsi="Segoe UI" w:cs="Segoe UI"/>
                <w:b/>
                <w:bCs/>
                <w:color w:val="000000" w:themeColor="text1"/>
                <w:kern w:val="24"/>
                <w:sz w:val="14"/>
                <w:szCs w:val="16"/>
                <w:lang w:eastAsia="el-GR"/>
              </w:rPr>
            </w:pPr>
            <w:r w:rsidRPr="009372B8">
              <w:rPr>
                <w:rFonts w:ascii="Segoe UI" w:eastAsia="Times New Roman" w:hAnsi="Segoe UI" w:cs="Segoe UI"/>
                <w:b/>
                <w:bCs/>
                <w:color w:val="000000" w:themeColor="text1"/>
                <w:kern w:val="24"/>
                <w:sz w:val="14"/>
                <w:szCs w:val="16"/>
                <w:lang w:eastAsia="el-GR"/>
              </w:rPr>
              <w:t>45.463</w:t>
            </w:r>
          </w:p>
        </w:tc>
      </w:tr>
      <w:tr w:rsidR="0046043D" w:rsidRPr="006B4FB1" w:rsidTr="0046043D">
        <w:trPr>
          <w:trHeight w:val="227"/>
        </w:trPr>
        <w:tc>
          <w:tcPr>
            <w:tcW w:w="2151" w:type="pct"/>
            <w:tcBorders>
              <w:top w:val="nil"/>
              <w:left w:val="nil"/>
              <w:right w:val="nil"/>
            </w:tcBorders>
            <w:shd w:val="clear" w:color="auto" w:fill="auto"/>
            <w:tcMar>
              <w:top w:w="15" w:type="dxa"/>
              <w:left w:w="42" w:type="dxa"/>
              <w:bottom w:w="0" w:type="dxa"/>
              <w:right w:w="15" w:type="dxa"/>
            </w:tcMar>
            <w:vAlign w:val="center"/>
            <w:hideMark/>
          </w:tcPr>
          <w:p w:rsidR="0046043D" w:rsidRPr="006B4FB1" w:rsidRDefault="0046043D" w:rsidP="00A573F7">
            <w:pPr>
              <w:textAlignment w:val="center"/>
              <w:rPr>
                <w:rFonts w:ascii="Segoe UI" w:eastAsia="Times New Roman" w:hAnsi="Segoe UI" w:cs="Segoe UI"/>
                <w:b/>
                <w:sz w:val="14"/>
                <w:szCs w:val="14"/>
                <w:lang w:eastAsia="el-GR"/>
              </w:rPr>
            </w:pPr>
            <w:r w:rsidRPr="006B4FB1">
              <w:rPr>
                <w:rFonts w:ascii="Segoe UI" w:eastAsia="Segoe UI" w:hAnsi="Segoe UI" w:cs="Segoe UI"/>
                <w:b/>
                <w:color w:val="000000"/>
                <w:kern w:val="24"/>
                <w:sz w:val="14"/>
                <w:szCs w:val="14"/>
                <w:lang w:eastAsia="el-GR"/>
              </w:rPr>
              <w:t xml:space="preserve">Ίδια κεφάλαια </w:t>
            </w:r>
          </w:p>
        </w:tc>
        <w:tc>
          <w:tcPr>
            <w:tcW w:w="475" w:type="pct"/>
            <w:tcBorders>
              <w:top w:val="nil"/>
              <w:left w:val="nil"/>
              <w:right w:val="nil"/>
            </w:tcBorders>
            <w:vAlign w:val="center"/>
          </w:tcPr>
          <w:p w:rsidR="0046043D" w:rsidRPr="0046043D" w:rsidRDefault="0046043D" w:rsidP="00234967">
            <w:pPr>
              <w:ind w:right="148"/>
              <w:jc w:val="right"/>
              <w:rPr>
                <w:rFonts w:ascii="Segoe UI" w:eastAsia="Times New Roman" w:hAnsi="Segoe UI" w:cs="Segoe UI"/>
                <w:b/>
                <w:bCs/>
                <w:color w:val="000000" w:themeColor="text1"/>
                <w:kern w:val="24"/>
                <w:sz w:val="14"/>
                <w:szCs w:val="16"/>
                <w:lang w:eastAsia="el-GR"/>
              </w:rPr>
            </w:pPr>
            <w:r w:rsidRPr="0046043D">
              <w:rPr>
                <w:rFonts w:ascii="Segoe UI" w:eastAsia="Times New Roman" w:hAnsi="Segoe UI" w:cs="Segoe UI"/>
                <w:b/>
                <w:bCs/>
                <w:color w:val="000000" w:themeColor="text1"/>
                <w:kern w:val="24"/>
                <w:sz w:val="14"/>
                <w:szCs w:val="16"/>
                <w:lang w:eastAsia="el-GR"/>
              </w:rPr>
              <w:t>5</w:t>
            </w:r>
            <w:r>
              <w:rPr>
                <w:rFonts w:ascii="Segoe UI" w:eastAsia="Times New Roman" w:hAnsi="Segoe UI" w:cs="Segoe UI"/>
                <w:b/>
                <w:bCs/>
                <w:color w:val="000000" w:themeColor="text1"/>
                <w:kern w:val="24"/>
                <w:sz w:val="14"/>
                <w:szCs w:val="16"/>
                <w:lang w:val="en-US" w:eastAsia="el-GR"/>
              </w:rPr>
              <w:t>.</w:t>
            </w:r>
            <w:r w:rsidRPr="0046043D">
              <w:rPr>
                <w:rFonts w:ascii="Segoe UI" w:eastAsia="Times New Roman" w:hAnsi="Segoe UI" w:cs="Segoe UI"/>
                <w:b/>
                <w:bCs/>
                <w:color w:val="000000" w:themeColor="text1"/>
                <w:kern w:val="24"/>
                <w:sz w:val="14"/>
                <w:szCs w:val="16"/>
                <w:lang w:eastAsia="el-GR"/>
              </w:rPr>
              <w:t>4</w:t>
            </w:r>
            <w:r w:rsidR="00234967">
              <w:rPr>
                <w:rFonts w:ascii="Segoe UI" w:eastAsia="Times New Roman" w:hAnsi="Segoe UI" w:cs="Segoe UI"/>
                <w:b/>
                <w:bCs/>
                <w:color w:val="000000" w:themeColor="text1"/>
                <w:kern w:val="24"/>
                <w:sz w:val="14"/>
                <w:szCs w:val="16"/>
                <w:lang w:eastAsia="el-GR"/>
              </w:rPr>
              <w:t>90</w:t>
            </w:r>
          </w:p>
        </w:tc>
        <w:tc>
          <w:tcPr>
            <w:tcW w:w="475" w:type="pct"/>
            <w:tcBorders>
              <w:top w:val="nil"/>
              <w:left w:val="nil"/>
              <w:right w:val="nil"/>
            </w:tcBorders>
            <w:vAlign w:val="center"/>
          </w:tcPr>
          <w:p w:rsidR="0046043D" w:rsidRPr="00A5471E" w:rsidRDefault="0046043D" w:rsidP="003A412B">
            <w:pPr>
              <w:ind w:right="148"/>
              <w:jc w:val="right"/>
              <w:rPr>
                <w:rFonts w:ascii="Segoe UI" w:eastAsia="Times New Roman" w:hAnsi="Segoe UI" w:cs="Segoe UI"/>
                <w:b/>
                <w:bCs/>
                <w:color w:val="000000" w:themeColor="text1"/>
                <w:kern w:val="24"/>
                <w:sz w:val="14"/>
                <w:szCs w:val="16"/>
                <w:lang w:eastAsia="el-GR"/>
              </w:rPr>
            </w:pPr>
            <w:r w:rsidRPr="00A5471E">
              <w:rPr>
                <w:rFonts w:ascii="Segoe UI" w:eastAsia="Times New Roman" w:hAnsi="Segoe UI" w:cs="Segoe UI"/>
                <w:b/>
                <w:bCs/>
                <w:color w:val="000000" w:themeColor="text1"/>
                <w:kern w:val="24"/>
                <w:sz w:val="14"/>
                <w:szCs w:val="16"/>
                <w:lang w:eastAsia="el-GR"/>
              </w:rPr>
              <w:t>5</w:t>
            </w:r>
            <w:r>
              <w:rPr>
                <w:rFonts w:ascii="Segoe UI" w:eastAsia="Times New Roman" w:hAnsi="Segoe UI" w:cs="Segoe UI"/>
                <w:b/>
                <w:bCs/>
                <w:color w:val="000000" w:themeColor="text1"/>
                <w:kern w:val="24"/>
                <w:sz w:val="14"/>
                <w:szCs w:val="16"/>
                <w:lang w:eastAsia="el-GR"/>
              </w:rPr>
              <w:t>.</w:t>
            </w:r>
            <w:r w:rsidRPr="00A5471E">
              <w:rPr>
                <w:rFonts w:ascii="Segoe UI" w:eastAsia="Times New Roman" w:hAnsi="Segoe UI" w:cs="Segoe UI"/>
                <w:b/>
                <w:bCs/>
                <w:color w:val="000000" w:themeColor="text1"/>
                <w:kern w:val="24"/>
                <w:sz w:val="14"/>
                <w:szCs w:val="16"/>
                <w:lang w:eastAsia="el-GR"/>
              </w:rPr>
              <w:t>477</w:t>
            </w:r>
          </w:p>
        </w:tc>
        <w:tc>
          <w:tcPr>
            <w:tcW w:w="475" w:type="pct"/>
            <w:tcBorders>
              <w:top w:val="nil"/>
              <w:left w:val="nil"/>
              <w:right w:val="nil"/>
            </w:tcBorders>
            <w:vAlign w:val="center"/>
          </w:tcPr>
          <w:p w:rsidR="0046043D" w:rsidRPr="00A573F7" w:rsidRDefault="0046043D" w:rsidP="003A412B">
            <w:pPr>
              <w:ind w:right="148"/>
              <w:jc w:val="right"/>
              <w:rPr>
                <w:rFonts w:ascii="Segoe UI" w:eastAsia="Times New Roman" w:hAnsi="Segoe UI" w:cs="Segoe UI"/>
                <w:b/>
                <w:bCs/>
                <w:color w:val="000000" w:themeColor="text1"/>
                <w:kern w:val="24"/>
                <w:sz w:val="14"/>
                <w:szCs w:val="16"/>
                <w:lang w:eastAsia="el-GR"/>
              </w:rPr>
            </w:pPr>
            <w:r>
              <w:rPr>
                <w:rFonts w:ascii="Segoe UI" w:eastAsia="Times New Roman" w:hAnsi="Segoe UI" w:cs="Segoe UI"/>
                <w:b/>
                <w:bCs/>
                <w:color w:val="000000" w:themeColor="text1"/>
                <w:kern w:val="24"/>
                <w:sz w:val="14"/>
                <w:szCs w:val="16"/>
                <w:lang w:eastAsia="el-GR"/>
              </w:rPr>
              <w:t>5.</w:t>
            </w:r>
            <w:r w:rsidRPr="00A573F7">
              <w:rPr>
                <w:rFonts w:ascii="Segoe UI" w:eastAsia="Times New Roman" w:hAnsi="Segoe UI" w:cs="Segoe UI"/>
                <w:b/>
                <w:bCs/>
                <w:color w:val="000000" w:themeColor="text1"/>
                <w:kern w:val="24"/>
                <w:sz w:val="14"/>
                <w:szCs w:val="16"/>
                <w:lang w:eastAsia="el-GR"/>
              </w:rPr>
              <w:t>059</w:t>
            </w:r>
          </w:p>
        </w:tc>
        <w:tc>
          <w:tcPr>
            <w:tcW w:w="475" w:type="pct"/>
            <w:tcBorders>
              <w:top w:val="nil"/>
              <w:left w:val="nil"/>
              <w:right w:val="nil"/>
            </w:tcBorders>
            <w:vAlign w:val="center"/>
          </w:tcPr>
          <w:p w:rsidR="0046043D" w:rsidRPr="00134B1E" w:rsidRDefault="0046043D" w:rsidP="003A412B">
            <w:pPr>
              <w:ind w:right="148"/>
              <w:jc w:val="right"/>
              <w:rPr>
                <w:rFonts w:ascii="Segoe UI" w:eastAsia="Times New Roman" w:hAnsi="Segoe UI" w:cs="Segoe UI"/>
                <w:b/>
                <w:bCs/>
                <w:color w:val="000000" w:themeColor="text1"/>
                <w:kern w:val="24"/>
                <w:sz w:val="14"/>
                <w:szCs w:val="16"/>
                <w:lang w:eastAsia="el-GR"/>
              </w:rPr>
            </w:pPr>
            <w:r w:rsidRPr="00134B1E">
              <w:rPr>
                <w:rFonts w:ascii="Segoe UI" w:eastAsia="Times New Roman" w:hAnsi="Segoe UI" w:cs="Segoe UI"/>
                <w:b/>
                <w:bCs/>
                <w:color w:val="000000" w:themeColor="text1"/>
                <w:kern w:val="24"/>
                <w:sz w:val="14"/>
                <w:szCs w:val="16"/>
                <w:lang w:eastAsia="el-GR"/>
              </w:rPr>
              <w:t>5.426</w:t>
            </w:r>
          </w:p>
        </w:tc>
        <w:tc>
          <w:tcPr>
            <w:tcW w:w="475" w:type="pct"/>
            <w:tcBorders>
              <w:top w:val="nil"/>
              <w:left w:val="nil"/>
              <w:right w:val="nil"/>
            </w:tcBorders>
            <w:vAlign w:val="center"/>
          </w:tcPr>
          <w:p w:rsidR="0046043D" w:rsidRPr="00134B1E" w:rsidRDefault="0046043D" w:rsidP="003A412B">
            <w:pPr>
              <w:ind w:right="148"/>
              <w:jc w:val="right"/>
              <w:rPr>
                <w:rFonts w:ascii="Segoe UI" w:eastAsia="Times New Roman" w:hAnsi="Segoe UI" w:cs="Segoe UI"/>
                <w:b/>
                <w:bCs/>
                <w:color w:val="000000" w:themeColor="text1"/>
                <w:kern w:val="24"/>
                <w:sz w:val="14"/>
                <w:szCs w:val="16"/>
                <w:lang w:eastAsia="el-GR"/>
              </w:rPr>
            </w:pPr>
            <w:r w:rsidRPr="00134B1E">
              <w:rPr>
                <w:rFonts w:ascii="Segoe UI" w:eastAsia="Times New Roman" w:hAnsi="Segoe UI" w:cs="Segoe UI"/>
                <w:b/>
                <w:bCs/>
                <w:color w:val="000000" w:themeColor="text1"/>
                <w:kern w:val="24"/>
                <w:sz w:val="14"/>
                <w:szCs w:val="16"/>
                <w:lang w:eastAsia="el-GR"/>
              </w:rPr>
              <w:t>5.314</w:t>
            </w:r>
          </w:p>
        </w:tc>
        <w:tc>
          <w:tcPr>
            <w:tcW w:w="473" w:type="pct"/>
            <w:tcBorders>
              <w:top w:val="nil"/>
              <w:left w:val="nil"/>
              <w:right w:val="nil"/>
            </w:tcBorders>
            <w:vAlign w:val="center"/>
          </w:tcPr>
          <w:p w:rsidR="0046043D" w:rsidRPr="005610B3" w:rsidRDefault="0046043D" w:rsidP="003A412B">
            <w:pPr>
              <w:ind w:right="148"/>
              <w:jc w:val="right"/>
              <w:rPr>
                <w:rFonts w:ascii="Segoe UI" w:eastAsia="Times New Roman" w:hAnsi="Segoe UI" w:cs="Segoe UI"/>
                <w:b/>
                <w:bCs/>
                <w:color w:val="000000" w:themeColor="text1"/>
                <w:kern w:val="24"/>
                <w:sz w:val="14"/>
                <w:szCs w:val="16"/>
                <w:lang w:eastAsia="el-GR"/>
              </w:rPr>
            </w:pPr>
            <w:r w:rsidRPr="005610B3">
              <w:rPr>
                <w:rFonts w:ascii="Segoe UI" w:eastAsia="Times New Roman" w:hAnsi="Segoe UI" w:cs="Segoe UI"/>
                <w:b/>
                <w:bCs/>
                <w:color w:val="000000" w:themeColor="text1"/>
                <w:kern w:val="24"/>
                <w:sz w:val="14"/>
                <w:szCs w:val="16"/>
                <w:lang w:eastAsia="el-GR"/>
              </w:rPr>
              <w:t>5</w:t>
            </w:r>
            <w:r>
              <w:rPr>
                <w:rFonts w:ascii="Segoe UI" w:eastAsia="Times New Roman" w:hAnsi="Segoe UI" w:cs="Segoe UI"/>
                <w:b/>
                <w:bCs/>
                <w:color w:val="000000" w:themeColor="text1"/>
                <w:kern w:val="24"/>
                <w:sz w:val="14"/>
                <w:szCs w:val="16"/>
                <w:lang w:eastAsia="el-GR"/>
              </w:rPr>
              <w:t>.</w:t>
            </w:r>
            <w:r w:rsidRPr="005610B3">
              <w:rPr>
                <w:rFonts w:ascii="Segoe UI" w:eastAsia="Times New Roman" w:hAnsi="Segoe UI" w:cs="Segoe UI"/>
                <w:b/>
                <w:bCs/>
                <w:color w:val="000000" w:themeColor="text1"/>
                <w:kern w:val="24"/>
                <w:sz w:val="14"/>
                <w:szCs w:val="16"/>
                <w:lang w:eastAsia="el-GR"/>
              </w:rPr>
              <w:t>140</w:t>
            </w:r>
          </w:p>
        </w:tc>
      </w:tr>
      <w:tr w:rsidR="0046043D" w:rsidRPr="006B4FB1" w:rsidTr="0046043D">
        <w:trPr>
          <w:trHeight w:val="227"/>
        </w:trPr>
        <w:tc>
          <w:tcPr>
            <w:tcW w:w="2151" w:type="pct"/>
            <w:tcBorders>
              <w:top w:val="nil"/>
              <w:left w:val="nil"/>
              <w:bottom w:val="single" w:sz="12" w:space="0" w:color="auto"/>
              <w:right w:val="nil"/>
            </w:tcBorders>
            <w:shd w:val="clear" w:color="auto" w:fill="auto"/>
            <w:tcMar>
              <w:top w:w="15" w:type="dxa"/>
              <w:left w:w="42" w:type="dxa"/>
              <w:bottom w:w="0" w:type="dxa"/>
              <w:right w:w="15" w:type="dxa"/>
            </w:tcMar>
            <w:vAlign w:val="center"/>
          </w:tcPr>
          <w:p w:rsidR="0046043D" w:rsidRPr="006B4FB1" w:rsidRDefault="0046043D" w:rsidP="00A573F7">
            <w:pPr>
              <w:textAlignment w:val="center"/>
              <w:rPr>
                <w:rFonts w:ascii="Segoe UI" w:eastAsia="Segoe UI" w:hAnsi="Segoe UI" w:cs="Segoe UI"/>
                <w:color w:val="000000"/>
                <w:kern w:val="24"/>
                <w:sz w:val="14"/>
                <w:szCs w:val="14"/>
                <w:lang w:eastAsia="el-GR"/>
              </w:rPr>
            </w:pPr>
            <w:r w:rsidRPr="006B4FB1">
              <w:rPr>
                <w:rFonts w:ascii="Segoe UI" w:eastAsia="Segoe UI" w:hAnsi="Segoe UI" w:cs="Segoe UI"/>
                <w:color w:val="000000"/>
                <w:kern w:val="24"/>
                <w:sz w:val="14"/>
                <w:szCs w:val="14"/>
                <w:lang w:eastAsia="el-GR"/>
              </w:rPr>
              <w:t>Ενσώματα Ίδια κεφάλαια</w:t>
            </w:r>
          </w:p>
        </w:tc>
        <w:tc>
          <w:tcPr>
            <w:tcW w:w="475" w:type="pct"/>
            <w:tcBorders>
              <w:top w:val="nil"/>
              <w:left w:val="nil"/>
              <w:bottom w:val="single" w:sz="12" w:space="0" w:color="000000"/>
              <w:right w:val="nil"/>
            </w:tcBorders>
            <w:vAlign w:val="center"/>
          </w:tcPr>
          <w:p w:rsidR="0046043D" w:rsidRPr="0046043D" w:rsidRDefault="0046043D" w:rsidP="00234967">
            <w:pPr>
              <w:ind w:right="148"/>
              <w:jc w:val="right"/>
              <w:rPr>
                <w:rFonts w:ascii="Segoe UI" w:eastAsia="Times New Roman" w:hAnsi="Segoe UI" w:cs="Segoe UI"/>
                <w:bCs/>
                <w:color w:val="000000" w:themeColor="text1"/>
                <w:kern w:val="24"/>
                <w:sz w:val="14"/>
                <w:szCs w:val="16"/>
                <w:lang w:eastAsia="el-GR"/>
              </w:rPr>
            </w:pPr>
            <w:r w:rsidRPr="0046043D">
              <w:rPr>
                <w:rFonts w:ascii="Segoe UI" w:eastAsia="Times New Roman" w:hAnsi="Segoe UI" w:cs="Segoe UI"/>
                <w:bCs/>
                <w:color w:val="000000" w:themeColor="text1"/>
                <w:kern w:val="24"/>
                <w:sz w:val="14"/>
                <w:szCs w:val="16"/>
                <w:lang w:eastAsia="el-GR"/>
              </w:rPr>
              <w:t>5</w:t>
            </w:r>
            <w:r>
              <w:rPr>
                <w:rFonts w:ascii="Segoe UI" w:eastAsia="Times New Roman" w:hAnsi="Segoe UI" w:cs="Segoe UI"/>
                <w:bCs/>
                <w:color w:val="000000" w:themeColor="text1"/>
                <w:kern w:val="24"/>
                <w:sz w:val="14"/>
                <w:szCs w:val="16"/>
                <w:lang w:val="en-US" w:eastAsia="el-GR"/>
              </w:rPr>
              <w:t>.</w:t>
            </w:r>
            <w:r w:rsidRPr="0046043D">
              <w:rPr>
                <w:rFonts w:ascii="Segoe UI" w:eastAsia="Times New Roman" w:hAnsi="Segoe UI" w:cs="Segoe UI"/>
                <w:bCs/>
                <w:color w:val="000000" w:themeColor="text1"/>
                <w:kern w:val="24"/>
                <w:sz w:val="14"/>
                <w:szCs w:val="16"/>
                <w:lang w:eastAsia="el-GR"/>
              </w:rPr>
              <w:t>19</w:t>
            </w:r>
            <w:r w:rsidR="00234967">
              <w:rPr>
                <w:rFonts w:ascii="Segoe UI" w:eastAsia="Times New Roman" w:hAnsi="Segoe UI" w:cs="Segoe UI"/>
                <w:bCs/>
                <w:color w:val="000000" w:themeColor="text1"/>
                <w:kern w:val="24"/>
                <w:sz w:val="14"/>
                <w:szCs w:val="16"/>
                <w:lang w:eastAsia="el-GR"/>
              </w:rPr>
              <w:t>2</w:t>
            </w:r>
            <w:r w:rsidRPr="0046043D">
              <w:rPr>
                <w:rFonts w:ascii="Segoe UI" w:eastAsia="Times New Roman" w:hAnsi="Segoe UI" w:cs="Segoe UI"/>
                <w:bCs/>
                <w:color w:val="000000" w:themeColor="text1"/>
                <w:kern w:val="24"/>
                <w:sz w:val="14"/>
                <w:szCs w:val="16"/>
                <w:lang w:eastAsia="el-GR"/>
              </w:rPr>
              <w:t xml:space="preserve"> </w:t>
            </w:r>
          </w:p>
        </w:tc>
        <w:tc>
          <w:tcPr>
            <w:tcW w:w="475" w:type="pct"/>
            <w:tcBorders>
              <w:top w:val="nil"/>
              <w:left w:val="nil"/>
              <w:bottom w:val="single" w:sz="12" w:space="0" w:color="000000"/>
              <w:right w:val="nil"/>
            </w:tcBorders>
            <w:vAlign w:val="center"/>
          </w:tcPr>
          <w:p w:rsidR="0046043D" w:rsidRPr="00A5471E" w:rsidRDefault="0046043D" w:rsidP="003A412B">
            <w:pPr>
              <w:ind w:right="148"/>
              <w:jc w:val="right"/>
              <w:rPr>
                <w:rFonts w:ascii="Segoe UI" w:eastAsia="Times New Roman" w:hAnsi="Segoe UI" w:cs="Segoe UI"/>
                <w:bCs/>
                <w:color w:val="000000" w:themeColor="text1"/>
                <w:kern w:val="24"/>
                <w:sz w:val="14"/>
                <w:szCs w:val="16"/>
                <w:lang w:eastAsia="el-GR"/>
              </w:rPr>
            </w:pPr>
            <w:r w:rsidRPr="00A5471E">
              <w:rPr>
                <w:rFonts w:ascii="Segoe UI" w:eastAsia="Times New Roman" w:hAnsi="Segoe UI" w:cs="Segoe UI"/>
                <w:bCs/>
                <w:color w:val="000000" w:themeColor="text1"/>
                <w:kern w:val="24"/>
                <w:sz w:val="14"/>
                <w:szCs w:val="16"/>
                <w:lang w:eastAsia="el-GR"/>
              </w:rPr>
              <w:t>5</w:t>
            </w:r>
            <w:r>
              <w:rPr>
                <w:rFonts w:ascii="Segoe UI" w:eastAsia="Times New Roman" w:hAnsi="Segoe UI" w:cs="Segoe UI"/>
                <w:bCs/>
                <w:color w:val="000000" w:themeColor="text1"/>
                <w:kern w:val="24"/>
                <w:sz w:val="14"/>
                <w:szCs w:val="16"/>
                <w:lang w:eastAsia="el-GR"/>
              </w:rPr>
              <w:t>.</w:t>
            </w:r>
            <w:r w:rsidRPr="00A5471E">
              <w:rPr>
                <w:rFonts w:ascii="Segoe UI" w:eastAsia="Times New Roman" w:hAnsi="Segoe UI" w:cs="Segoe UI"/>
                <w:bCs/>
                <w:color w:val="000000" w:themeColor="text1"/>
                <w:kern w:val="24"/>
                <w:sz w:val="14"/>
                <w:szCs w:val="16"/>
                <w:lang w:eastAsia="el-GR"/>
              </w:rPr>
              <w:t>193</w:t>
            </w:r>
          </w:p>
        </w:tc>
        <w:tc>
          <w:tcPr>
            <w:tcW w:w="475" w:type="pct"/>
            <w:tcBorders>
              <w:top w:val="nil"/>
              <w:left w:val="nil"/>
              <w:bottom w:val="single" w:sz="12" w:space="0" w:color="000000"/>
              <w:right w:val="nil"/>
            </w:tcBorders>
            <w:vAlign w:val="center"/>
          </w:tcPr>
          <w:p w:rsidR="0046043D" w:rsidRPr="00A573F7" w:rsidRDefault="0046043D" w:rsidP="003A412B">
            <w:pPr>
              <w:ind w:right="148"/>
              <w:jc w:val="right"/>
              <w:rPr>
                <w:rFonts w:ascii="Segoe UI" w:eastAsia="Times New Roman" w:hAnsi="Segoe UI" w:cs="Segoe UI"/>
                <w:bCs/>
                <w:color w:val="000000" w:themeColor="text1"/>
                <w:kern w:val="24"/>
                <w:sz w:val="14"/>
                <w:szCs w:val="16"/>
                <w:lang w:eastAsia="el-GR"/>
              </w:rPr>
            </w:pPr>
            <w:r w:rsidRPr="00A573F7">
              <w:rPr>
                <w:rFonts w:ascii="Segoe UI" w:eastAsia="Times New Roman" w:hAnsi="Segoe UI" w:cs="Segoe UI"/>
                <w:bCs/>
                <w:color w:val="000000" w:themeColor="text1"/>
                <w:kern w:val="24"/>
                <w:sz w:val="14"/>
                <w:szCs w:val="16"/>
                <w:lang w:eastAsia="el-GR"/>
              </w:rPr>
              <w:t>4</w:t>
            </w:r>
            <w:r>
              <w:rPr>
                <w:rFonts w:ascii="Segoe UI" w:eastAsia="Times New Roman" w:hAnsi="Segoe UI" w:cs="Segoe UI"/>
                <w:bCs/>
                <w:color w:val="000000" w:themeColor="text1"/>
                <w:kern w:val="24"/>
                <w:sz w:val="14"/>
                <w:szCs w:val="16"/>
                <w:lang w:eastAsia="el-GR"/>
              </w:rPr>
              <w:t>.</w:t>
            </w:r>
            <w:r w:rsidRPr="00A573F7">
              <w:rPr>
                <w:rFonts w:ascii="Segoe UI" w:eastAsia="Times New Roman" w:hAnsi="Segoe UI" w:cs="Segoe UI"/>
                <w:bCs/>
                <w:color w:val="000000" w:themeColor="text1"/>
                <w:kern w:val="24"/>
                <w:sz w:val="14"/>
                <w:szCs w:val="16"/>
                <w:lang w:eastAsia="el-GR"/>
              </w:rPr>
              <w:t>777</w:t>
            </w:r>
          </w:p>
        </w:tc>
        <w:tc>
          <w:tcPr>
            <w:tcW w:w="475" w:type="pct"/>
            <w:tcBorders>
              <w:top w:val="nil"/>
              <w:left w:val="nil"/>
              <w:bottom w:val="single" w:sz="12" w:space="0" w:color="auto"/>
              <w:right w:val="nil"/>
            </w:tcBorders>
            <w:vAlign w:val="center"/>
          </w:tcPr>
          <w:p w:rsidR="0046043D" w:rsidRPr="00026516" w:rsidRDefault="0046043D" w:rsidP="003A412B">
            <w:pPr>
              <w:ind w:right="148"/>
              <w:jc w:val="right"/>
              <w:rPr>
                <w:rFonts w:ascii="Segoe UI" w:eastAsia="Times New Roman" w:hAnsi="Segoe UI" w:cs="Segoe UI"/>
                <w:bCs/>
                <w:color w:val="000000" w:themeColor="text1"/>
                <w:kern w:val="24"/>
                <w:sz w:val="14"/>
                <w:szCs w:val="16"/>
                <w:lang w:eastAsia="el-GR"/>
              </w:rPr>
            </w:pPr>
            <w:r w:rsidRPr="00026516">
              <w:rPr>
                <w:rFonts w:ascii="Segoe UI" w:eastAsia="Times New Roman" w:hAnsi="Segoe UI" w:cs="Segoe UI"/>
                <w:bCs/>
                <w:color w:val="000000" w:themeColor="text1"/>
                <w:kern w:val="24"/>
                <w:sz w:val="14"/>
                <w:szCs w:val="16"/>
                <w:lang w:eastAsia="el-GR"/>
              </w:rPr>
              <w:t>5</w:t>
            </w:r>
            <w:r>
              <w:rPr>
                <w:rFonts w:ascii="Segoe UI" w:eastAsia="Times New Roman" w:hAnsi="Segoe UI" w:cs="Segoe UI"/>
                <w:bCs/>
                <w:color w:val="000000" w:themeColor="text1"/>
                <w:kern w:val="24"/>
                <w:sz w:val="14"/>
                <w:szCs w:val="16"/>
                <w:lang w:eastAsia="el-GR"/>
              </w:rPr>
              <w:t>.</w:t>
            </w:r>
            <w:r w:rsidRPr="00026516">
              <w:rPr>
                <w:rFonts w:ascii="Segoe UI" w:eastAsia="Times New Roman" w:hAnsi="Segoe UI" w:cs="Segoe UI"/>
                <w:bCs/>
                <w:color w:val="000000" w:themeColor="text1"/>
                <w:kern w:val="24"/>
                <w:sz w:val="14"/>
                <w:szCs w:val="16"/>
                <w:lang w:eastAsia="el-GR"/>
              </w:rPr>
              <w:t>175</w:t>
            </w:r>
          </w:p>
        </w:tc>
        <w:tc>
          <w:tcPr>
            <w:tcW w:w="475" w:type="pct"/>
            <w:tcBorders>
              <w:top w:val="nil"/>
              <w:left w:val="nil"/>
              <w:bottom w:val="single" w:sz="12" w:space="0" w:color="auto"/>
              <w:right w:val="nil"/>
            </w:tcBorders>
            <w:vAlign w:val="center"/>
          </w:tcPr>
          <w:p w:rsidR="0046043D" w:rsidRPr="005610B3" w:rsidRDefault="0046043D" w:rsidP="003A412B">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5</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078</w:t>
            </w:r>
          </w:p>
        </w:tc>
        <w:tc>
          <w:tcPr>
            <w:tcW w:w="473" w:type="pct"/>
            <w:tcBorders>
              <w:top w:val="nil"/>
              <w:left w:val="nil"/>
              <w:bottom w:val="single" w:sz="12" w:space="0" w:color="auto"/>
              <w:right w:val="nil"/>
            </w:tcBorders>
            <w:vAlign w:val="center"/>
          </w:tcPr>
          <w:p w:rsidR="0046043D" w:rsidRPr="005610B3" w:rsidRDefault="0046043D" w:rsidP="003A412B">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4</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926</w:t>
            </w:r>
          </w:p>
        </w:tc>
      </w:tr>
    </w:tbl>
    <w:p w:rsidR="00771556" w:rsidRPr="00B315DE" w:rsidRDefault="00771556" w:rsidP="00A4654D">
      <w:pPr>
        <w:jc w:val="both"/>
        <w:textAlignment w:val="baseline"/>
        <w:rPr>
          <w:rFonts w:ascii="Segoe UI" w:hAnsi="Segoe UI" w:cs="Segoe UI"/>
          <w:color w:val="000000" w:themeColor="text1"/>
          <w:kern w:val="24"/>
          <w:sz w:val="9"/>
          <w:szCs w:val="7"/>
        </w:rPr>
      </w:pPr>
      <w:r w:rsidRPr="00B315DE">
        <w:rPr>
          <w:rFonts w:ascii="Segoe UI" w:hAnsi="Segoe UI" w:cs="Segoe UI"/>
          <w:color w:val="000000" w:themeColor="text1"/>
          <w:kern w:val="24"/>
          <w:sz w:val="9"/>
          <w:szCs w:val="7"/>
          <w:vertAlign w:val="superscript"/>
        </w:rPr>
        <w:t>1</w:t>
      </w:r>
      <w:r w:rsidR="003B1578" w:rsidRPr="00B315DE">
        <w:rPr>
          <w:rFonts w:ascii="Segoe UI" w:hAnsi="Segoe UI" w:cs="Segoe UI"/>
          <w:color w:val="000000" w:themeColor="text1"/>
          <w:kern w:val="24"/>
          <w:sz w:val="9"/>
          <w:szCs w:val="7"/>
          <w:vertAlign w:val="superscript"/>
        </w:rPr>
        <w:t xml:space="preserve"> </w:t>
      </w:r>
      <w:r w:rsidRPr="00B315DE">
        <w:rPr>
          <w:rFonts w:ascii="Segoe UI" w:hAnsi="Segoe UI" w:cs="Segoe UI"/>
          <w:color w:val="000000" w:themeColor="text1"/>
          <w:kern w:val="24"/>
          <w:sz w:val="9"/>
          <w:szCs w:val="7"/>
        </w:rPr>
        <w:t>Η Κατάσταση Χρηματοοικονομικής Θέσης του Ομίλου έχει αναπροσαρμοστεί για τις αποεπενδύσεις της ΕΤΕ σε Κύπρο, Ρουμανία, καθώς και Εθνική Ασφαλιστική, οι οποίες έχουν ταξινομηθεί ως μη κυκλοφορούντα περιουσιακά στοιχεία προοριζόμενα προς πώληση και υποχρεώσεις σχετιζόμενες με μη κυκλοφορούντα περιουσιακά στοιχεία προοριζόμενα προς πώληση</w:t>
      </w:r>
      <w:r w:rsidR="00DC2500" w:rsidRPr="00B315DE">
        <w:rPr>
          <w:rFonts w:ascii="Segoe UI" w:hAnsi="Segoe UI" w:cs="Segoe UI"/>
          <w:color w:val="000000" w:themeColor="text1"/>
          <w:kern w:val="24"/>
          <w:sz w:val="9"/>
          <w:szCs w:val="7"/>
        </w:rPr>
        <w:t xml:space="preserve"> / </w:t>
      </w:r>
      <w:r w:rsidR="00DC2500" w:rsidRPr="00B315DE">
        <w:rPr>
          <w:rFonts w:ascii="Segoe UI" w:hAnsi="Segoe UI" w:cs="Segoe UI"/>
          <w:color w:val="000000" w:themeColor="text1"/>
          <w:kern w:val="24"/>
          <w:sz w:val="9"/>
          <w:szCs w:val="7"/>
          <w:vertAlign w:val="superscript"/>
        </w:rPr>
        <w:t>2</w:t>
      </w:r>
      <w:r w:rsidR="00DC2500" w:rsidRPr="00B315DE">
        <w:rPr>
          <w:rFonts w:ascii="Segoe UI" w:hAnsi="Segoe UI" w:cs="Segoe UI"/>
          <w:color w:val="000000" w:themeColor="text1"/>
          <w:kern w:val="24"/>
          <w:sz w:val="9"/>
          <w:szCs w:val="7"/>
        </w:rPr>
        <w:t xml:space="preserve"> </w:t>
      </w:r>
      <w:r w:rsidR="00F73358" w:rsidRPr="00B315DE">
        <w:rPr>
          <w:rFonts w:ascii="Segoe UI" w:hAnsi="Segoe UI" w:cs="Segoe UI"/>
          <w:color w:val="000000" w:themeColor="text1"/>
          <w:kern w:val="24"/>
          <w:sz w:val="9"/>
          <w:szCs w:val="7"/>
        </w:rPr>
        <w:t>Περιλαμβάνει το χαρτοφυλάκιο επενδύσεων και τα χρηματοοικονομικά περιουσιακή στοιχεία στην εύλογη αξία μέσω αποτελεσμάτων</w:t>
      </w:r>
    </w:p>
    <w:p w:rsidR="00F73358" w:rsidRPr="00F73358" w:rsidRDefault="00185D42" w:rsidP="00A4654D">
      <w:pPr>
        <w:jc w:val="both"/>
        <w:textAlignment w:val="baseline"/>
        <w:rPr>
          <w:rFonts w:ascii="Segoe UI" w:hAnsi="Segoe UI" w:cs="Segoe UI"/>
          <w:color w:val="000000" w:themeColor="text1"/>
          <w:kern w:val="24"/>
          <w:sz w:val="36"/>
          <w:szCs w:val="32"/>
        </w:rPr>
      </w:pPr>
      <w:r w:rsidRPr="002F2F59">
        <w:rPr>
          <w:rFonts w:ascii="Segoe UI" w:hAnsi="Segoe UI" w:cs="Segoe UI"/>
          <w:noProof/>
          <w:sz w:val="28"/>
          <w:lang w:eastAsia="el-GR"/>
        </w:rPr>
        <mc:AlternateContent>
          <mc:Choice Requires="wps">
            <w:drawing>
              <wp:anchor distT="0" distB="0" distL="114300" distR="114300" simplePos="0" relativeHeight="251660800" behindDoc="0" locked="0" layoutInCell="1" allowOverlap="1" wp14:anchorId="6E30174C" wp14:editId="45FAC136">
                <wp:simplePos x="0" y="0"/>
                <wp:positionH relativeFrom="column">
                  <wp:posOffset>2729230</wp:posOffset>
                </wp:positionH>
                <wp:positionV relativeFrom="paragraph">
                  <wp:posOffset>314531</wp:posOffset>
                </wp:positionV>
                <wp:extent cx="611505" cy="2717800"/>
                <wp:effectExtent l="0" t="0" r="17145" b="25400"/>
                <wp:wrapNone/>
                <wp:docPr id="29"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 cy="2717800"/>
                        </a:xfrm>
                        <a:prstGeom prst="roundRect">
                          <a:avLst/>
                        </a:prstGeom>
                        <a:noFill/>
                        <a:ln w="9525" cap="flat" cmpd="sng" algn="ctr">
                          <a:solidFill>
                            <a:srgbClr val="FF7415"/>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roundrect w14:anchorId="2CB487CD" id="Rounded Rectangle 18" o:spid="_x0000_s1026" style="position:absolute;margin-left:214.9pt;margin-top:24.75pt;width:48.15pt;height:21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" filled="f" strokecolor="#ff7415">
                <v:path arrowok="t"/>
              </v:roundrect>
            </w:pict>
          </mc:Fallback>
        </mc:AlternateContent>
      </w:r>
      <w:r w:rsidR="007F463F" w:rsidRPr="006F363E">
        <w:rPr>
          <w:rFonts w:ascii="Segoe UI" w:hAnsi="Segoe UI" w:cs="Segoe UI"/>
          <w:noProof/>
          <w:sz w:val="18"/>
          <w:highlight w:val="yellow"/>
          <w:lang w:eastAsia="el-GR"/>
        </w:rPr>
        <mc:AlternateContent>
          <mc:Choice Requires="wps">
            <w:drawing>
              <wp:anchor distT="0" distB="0" distL="114300" distR="114300" simplePos="0" relativeHeight="251655680" behindDoc="0" locked="0" layoutInCell="1" allowOverlap="1" wp14:anchorId="6947B16C" wp14:editId="7E6E729E">
                <wp:simplePos x="0" y="0"/>
                <wp:positionH relativeFrom="margin">
                  <wp:posOffset>-10366</wp:posOffset>
                </wp:positionH>
                <wp:positionV relativeFrom="paragraph">
                  <wp:posOffset>48895</wp:posOffset>
                </wp:positionV>
                <wp:extent cx="2092325" cy="296545"/>
                <wp:effectExtent l="0" t="0" r="3175" b="8255"/>
                <wp:wrapNone/>
                <wp:docPr id="9" name="Rectangle 5"/>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092325" cy="2965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337" w:rsidRPr="00D46FEC" w:rsidRDefault="00DA0337" w:rsidP="00E55AED">
                            <w:pPr>
                              <w:kinsoku w:val="0"/>
                              <w:overflowPunct w:val="0"/>
                              <w:spacing w:before="40"/>
                              <w:ind w:left="547" w:hanging="547"/>
                              <w:textAlignment w:val="baseline"/>
                              <w:rPr>
                                <w:rFonts w:ascii="Segoe UI" w:eastAsia="Segoe UI" w:hAnsi="Segoe UI" w:cs="Segoe UI"/>
                                <w:b/>
                                <w:color w:val="008080"/>
                                <w:kern w:val="24"/>
                                <w:sz w:val="16"/>
                              </w:rPr>
                            </w:pPr>
                            <w:r w:rsidRPr="00421869">
                              <w:rPr>
                                <w:rFonts w:ascii="Segoe UI" w:eastAsia="Segoe UI" w:hAnsi="Segoe UI" w:cs="Segoe UI"/>
                                <w:b/>
                                <w:color w:val="008080"/>
                                <w:kern w:val="24"/>
                                <w:sz w:val="20"/>
                              </w:rPr>
                              <w:t>Κύριοι Δείκτες | Όμιλος</w:t>
                            </w:r>
                          </w:p>
                          <w:p w:rsidR="00DA0337" w:rsidRPr="00D46FEC" w:rsidRDefault="00DA0337" w:rsidP="00E55AED">
                            <w:pPr>
                              <w:kinsoku w:val="0"/>
                              <w:overflowPunct w:val="0"/>
                              <w:spacing w:before="40"/>
                              <w:ind w:left="547" w:hanging="547"/>
                              <w:textAlignment w:val="baseline"/>
                              <w:rPr>
                                <w:rFonts w:ascii="Segoe UI" w:eastAsia="Segoe UI" w:hAnsi="Segoe UI" w:cs="Segoe UI"/>
                                <w:b/>
                                <w:color w:val="008080"/>
                                <w:kern w:val="24"/>
                                <w:sz w:val="16"/>
                              </w:rPr>
                            </w:pPr>
                          </w:p>
                          <w:p w:rsidR="00DA0337" w:rsidRPr="00D46FEC" w:rsidRDefault="00DA0337" w:rsidP="00E55AED">
                            <w:pPr>
                              <w:kinsoku w:val="0"/>
                              <w:overflowPunct w:val="0"/>
                              <w:spacing w:before="40"/>
                              <w:ind w:left="547" w:hanging="547"/>
                              <w:textAlignment w:val="baseline"/>
                              <w:rPr>
                                <w:rFonts w:ascii="Segoe UI" w:eastAsia="Segoe UI" w:hAnsi="Segoe UI" w:cs="Segoe UI"/>
                                <w:b/>
                                <w:color w:val="008080"/>
                                <w:kern w:val="24"/>
                                <w:sz w:val="16"/>
                              </w:rPr>
                            </w:pPr>
                          </w:p>
                          <w:p w:rsidR="00DA0337" w:rsidRPr="00FE1137" w:rsidRDefault="00DA0337" w:rsidP="00E55AED">
                            <w:pPr>
                              <w:kinsoku w:val="0"/>
                              <w:overflowPunct w:val="0"/>
                              <w:spacing w:before="40"/>
                              <w:ind w:left="547" w:hanging="547"/>
                              <w:textAlignment w:val="baseline"/>
                              <w:rPr>
                                <w:b/>
                                <w:color w:val="008080"/>
                                <w:sz w:val="16"/>
                              </w:rPr>
                            </w:pPr>
                          </w:p>
                        </w:txbxContent>
                      </wps:txbx>
                      <wps:bodyPr rot="0" vert="horz" wrap="square" lIns="45716" tIns="45716" rIns="45716" bIns="45716"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947B16C" id="Rectangle 5" o:spid="_x0000_s1033" style="position:absolute;left:0;text-align:left;margin-left:-.8pt;margin-top:3.85pt;width:164.75pt;height:23.3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" filled="f" stroked="f">
                <v:path arrowok="t"/>
                <o:lock v:ext="edit" grouping="t"/>
                <v:textbox inset="1.2699mm,1.2699mm,1.2699mm,1.2699mm">
                  <w:txbxContent>
                    <w:p w:rsidR="00DA0337" w:rsidRPr="00D46FEC" w:rsidRDefault="00DA0337" w:rsidP="00E55AED">
                      <w:pPr>
                        <w:kinsoku w:val="0"/>
                        <w:overflowPunct w:val="0"/>
                        <w:spacing w:before="40"/>
                        <w:ind w:left="547" w:hanging="547"/>
                        <w:textAlignment w:val="baseline"/>
                        <w:rPr>
                          <w:rFonts w:ascii="Segoe UI" w:eastAsia="Segoe UI" w:hAnsi="Segoe UI" w:cs="Segoe UI"/>
                          <w:b/>
                          <w:color w:val="008080"/>
                          <w:kern w:val="24"/>
                          <w:sz w:val="16"/>
                        </w:rPr>
                      </w:pPr>
                      <w:r w:rsidRPr="00421869">
                        <w:rPr>
                          <w:rFonts w:ascii="Segoe UI" w:eastAsia="Segoe UI" w:hAnsi="Segoe UI" w:cs="Segoe UI"/>
                          <w:b/>
                          <w:color w:val="008080"/>
                          <w:kern w:val="24"/>
                          <w:sz w:val="20"/>
                        </w:rPr>
                        <w:t>Κύριοι Δείκτες | Όμιλος</w:t>
                      </w:r>
                    </w:p>
                    <w:p w:rsidR="00DA0337" w:rsidRPr="00D46FEC" w:rsidRDefault="00DA0337" w:rsidP="00E55AED">
                      <w:pPr>
                        <w:kinsoku w:val="0"/>
                        <w:overflowPunct w:val="0"/>
                        <w:spacing w:before="40"/>
                        <w:ind w:left="547" w:hanging="547"/>
                        <w:textAlignment w:val="baseline"/>
                        <w:rPr>
                          <w:rFonts w:ascii="Segoe UI" w:eastAsia="Segoe UI" w:hAnsi="Segoe UI" w:cs="Segoe UI"/>
                          <w:b/>
                          <w:color w:val="008080"/>
                          <w:kern w:val="24"/>
                          <w:sz w:val="16"/>
                        </w:rPr>
                      </w:pPr>
                    </w:p>
                    <w:p w:rsidR="00DA0337" w:rsidRPr="00D46FEC" w:rsidRDefault="00DA0337" w:rsidP="00E55AED">
                      <w:pPr>
                        <w:kinsoku w:val="0"/>
                        <w:overflowPunct w:val="0"/>
                        <w:spacing w:before="40"/>
                        <w:ind w:left="547" w:hanging="547"/>
                        <w:textAlignment w:val="baseline"/>
                        <w:rPr>
                          <w:rFonts w:ascii="Segoe UI" w:eastAsia="Segoe UI" w:hAnsi="Segoe UI" w:cs="Segoe UI"/>
                          <w:b/>
                          <w:color w:val="008080"/>
                          <w:kern w:val="24"/>
                          <w:sz w:val="16"/>
                        </w:rPr>
                      </w:pPr>
                    </w:p>
                    <w:p w:rsidR="00DA0337" w:rsidRPr="00FE1137" w:rsidRDefault="00DA0337" w:rsidP="00E55AED">
                      <w:pPr>
                        <w:kinsoku w:val="0"/>
                        <w:overflowPunct w:val="0"/>
                        <w:spacing w:before="40"/>
                        <w:ind w:left="547" w:hanging="547"/>
                        <w:textAlignment w:val="baseline"/>
                        <w:rPr>
                          <w:b/>
                          <w:color w:val="008080"/>
                          <w:sz w:val="16"/>
                        </w:rPr>
                      </w:pPr>
                    </w:p>
                  </w:txbxContent>
                </v:textbox>
                <w10:wrap anchorx="margin"/>
              </v:rect>
            </w:pict>
          </mc:Fallback>
        </mc:AlternateContent>
      </w:r>
    </w:p>
    <w:tbl>
      <w:tblPr>
        <w:tblW w:w="4959" w:type="pct"/>
        <w:tblCellMar>
          <w:left w:w="0" w:type="dxa"/>
          <w:right w:w="0" w:type="dxa"/>
        </w:tblCellMar>
        <w:tblLook w:val="0420" w:firstRow="1" w:lastRow="0" w:firstColumn="0" w:lastColumn="0" w:noHBand="0" w:noVBand="1"/>
      </w:tblPr>
      <w:tblGrid>
        <w:gridCol w:w="4352"/>
        <w:gridCol w:w="961"/>
        <w:gridCol w:w="961"/>
        <w:gridCol w:w="961"/>
        <w:gridCol w:w="961"/>
        <w:gridCol w:w="961"/>
        <w:gridCol w:w="957"/>
      </w:tblGrid>
      <w:tr w:rsidR="00207E3A" w:rsidRPr="006B4FB1" w:rsidTr="00120A78">
        <w:trPr>
          <w:trHeight w:val="289"/>
        </w:trPr>
        <w:tc>
          <w:tcPr>
            <w:tcW w:w="2151" w:type="pct"/>
            <w:tcBorders>
              <w:top w:val="single" w:sz="8" w:space="0" w:color="000000"/>
              <w:left w:val="nil"/>
              <w:bottom w:val="single" w:sz="8" w:space="0" w:color="000000"/>
              <w:right w:val="nil"/>
            </w:tcBorders>
            <w:shd w:val="clear" w:color="auto" w:fill="auto"/>
            <w:tcMar>
              <w:top w:w="15" w:type="dxa"/>
              <w:left w:w="41" w:type="dxa"/>
              <w:bottom w:w="0" w:type="dxa"/>
              <w:right w:w="15" w:type="dxa"/>
            </w:tcMar>
            <w:vAlign w:val="center"/>
            <w:hideMark/>
          </w:tcPr>
          <w:p w:rsidR="00207E3A" w:rsidRPr="006B4FB1" w:rsidRDefault="00207E3A" w:rsidP="00AE6D40">
            <w:pPr>
              <w:rPr>
                <w:rFonts w:ascii="Segoe UI" w:eastAsia="Times New Roman" w:hAnsi="Segoe UI" w:cs="Segoe UI"/>
                <w:sz w:val="14"/>
                <w:szCs w:val="14"/>
                <w:lang w:eastAsia="el-GR"/>
              </w:rPr>
            </w:pPr>
          </w:p>
        </w:tc>
        <w:tc>
          <w:tcPr>
            <w:tcW w:w="475" w:type="pct"/>
            <w:tcBorders>
              <w:top w:val="single" w:sz="8" w:space="0" w:color="000000"/>
              <w:left w:val="nil"/>
              <w:bottom w:val="single" w:sz="8" w:space="0" w:color="000000"/>
              <w:right w:val="nil"/>
            </w:tcBorders>
            <w:vAlign w:val="center"/>
          </w:tcPr>
          <w:p w:rsidR="00207E3A" w:rsidRDefault="00207E3A" w:rsidP="003A412B">
            <w:pPr>
              <w:ind w:right="148"/>
              <w:jc w:val="right"/>
              <w:rPr>
                <w:rFonts w:ascii="Segoe UI" w:hAnsi="Segoe UI" w:cs="Segoe UI"/>
                <w:noProof/>
                <w:sz w:val="12"/>
                <w:szCs w:val="14"/>
                <w:lang w:eastAsia="el-GR"/>
              </w:rPr>
            </w:pPr>
            <w:r>
              <w:rPr>
                <w:rFonts w:ascii="Segoe UI" w:eastAsia="Times New Roman" w:hAnsi="Segoe UI" w:cs="Segoe UI"/>
                <w:b/>
                <w:bCs/>
                <w:color w:val="000000" w:themeColor="text1"/>
                <w:kern w:val="24"/>
                <w:sz w:val="14"/>
                <w:szCs w:val="14"/>
                <w:lang w:eastAsia="el-GR"/>
              </w:rPr>
              <w:t>Β</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21</w:t>
            </w:r>
          </w:p>
        </w:tc>
        <w:tc>
          <w:tcPr>
            <w:tcW w:w="475" w:type="pct"/>
            <w:tcBorders>
              <w:top w:val="single" w:sz="8" w:space="0" w:color="000000"/>
              <w:left w:val="nil"/>
              <w:bottom w:val="single" w:sz="8" w:space="0" w:color="000000"/>
              <w:right w:val="nil"/>
            </w:tcBorders>
            <w:vAlign w:val="center"/>
          </w:tcPr>
          <w:p w:rsidR="00207E3A" w:rsidRDefault="00207E3A" w:rsidP="003A412B">
            <w:pPr>
              <w:ind w:right="148"/>
              <w:jc w:val="right"/>
              <w:rPr>
                <w:rFonts w:ascii="Segoe UI" w:hAnsi="Segoe UI" w:cs="Segoe UI"/>
                <w:noProof/>
                <w:sz w:val="12"/>
                <w:szCs w:val="14"/>
                <w:lang w:eastAsia="el-GR"/>
              </w:rPr>
            </w:pPr>
            <w:r>
              <w:rPr>
                <w:rFonts w:ascii="Segoe UI" w:eastAsia="Times New Roman" w:hAnsi="Segoe UI" w:cs="Segoe UI"/>
                <w:b/>
                <w:bCs/>
                <w:color w:val="000000" w:themeColor="text1"/>
                <w:kern w:val="24"/>
                <w:sz w:val="14"/>
                <w:szCs w:val="14"/>
                <w:lang w:eastAsia="el-GR"/>
              </w:rPr>
              <w:t>Α</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21</w:t>
            </w:r>
          </w:p>
        </w:tc>
        <w:tc>
          <w:tcPr>
            <w:tcW w:w="475" w:type="pct"/>
            <w:tcBorders>
              <w:top w:val="single" w:sz="8" w:space="0" w:color="000000"/>
              <w:left w:val="nil"/>
              <w:bottom w:val="single" w:sz="8" w:space="0" w:color="000000"/>
              <w:right w:val="nil"/>
            </w:tcBorders>
            <w:vAlign w:val="center"/>
          </w:tcPr>
          <w:p w:rsidR="00207E3A" w:rsidRDefault="00207E3A" w:rsidP="003A412B">
            <w:pPr>
              <w:ind w:right="148"/>
              <w:jc w:val="right"/>
              <w:rPr>
                <w:rFonts w:ascii="Segoe UI" w:hAnsi="Segoe UI" w:cs="Segoe UI"/>
                <w:noProof/>
                <w:sz w:val="12"/>
                <w:szCs w:val="14"/>
                <w:lang w:eastAsia="el-GR"/>
              </w:rPr>
            </w:pPr>
            <w:r>
              <w:rPr>
                <w:rFonts w:ascii="Segoe UI" w:eastAsia="Times New Roman" w:hAnsi="Segoe UI" w:cs="Segoe UI"/>
                <w:b/>
                <w:bCs/>
                <w:color w:val="000000" w:themeColor="text1"/>
                <w:kern w:val="24"/>
                <w:sz w:val="14"/>
                <w:szCs w:val="14"/>
                <w:lang w:eastAsia="el-GR"/>
              </w:rPr>
              <w:t>Δ</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20</w:t>
            </w:r>
          </w:p>
        </w:tc>
        <w:tc>
          <w:tcPr>
            <w:tcW w:w="475" w:type="pct"/>
            <w:tcBorders>
              <w:top w:val="single" w:sz="8" w:space="0" w:color="000000"/>
              <w:left w:val="nil"/>
              <w:bottom w:val="single" w:sz="8" w:space="0" w:color="000000"/>
              <w:right w:val="nil"/>
            </w:tcBorders>
            <w:vAlign w:val="center"/>
          </w:tcPr>
          <w:p w:rsidR="00207E3A" w:rsidRDefault="00207E3A" w:rsidP="003A412B">
            <w:pPr>
              <w:ind w:right="148"/>
              <w:jc w:val="right"/>
              <w:rPr>
                <w:rFonts w:ascii="Segoe UI" w:hAnsi="Segoe UI" w:cs="Segoe UI"/>
                <w:noProof/>
                <w:sz w:val="12"/>
                <w:szCs w:val="14"/>
                <w:lang w:eastAsia="el-GR"/>
              </w:rPr>
            </w:pPr>
            <w:r>
              <w:rPr>
                <w:rFonts w:ascii="Segoe UI" w:eastAsia="Times New Roman" w:hAnsi="Segoe UI" w:cs="Segoe UI"/>
                <w:b/>
                <w:bCs/>
                <w:color w:val="000000" w:themeColor="text1"/>
                <w:kern w:val="24"/>
                <w:sz w:val="14"/>
                <w:szCs w:val="14"/>
                <w:lang w:eastAsia="el-GR"/>
              </w:rPr>
              <w:t>Γ</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20</w:t>
            </w:r>
          </w:p>
        </w:tc>
        <w:tc>
          <w:tcPr>
            <w:tcW w:w="475" w:type="pct"/>
            <w:tcBorders>
              <w:top w:val="single" w:sz="8" w:space="0" w:color="000000"/>
              <w:left w:val="nil"/>
              <w:bottom w:val="single" w:sz="8" w:space="0" w:color="000000"/>
              <w:right w:val="nil"/>
            </w:tcBorders>
            <w:vAlign w:val="center"/>
          </w:tcPr>
          <w:p w:rsidR="00207E3A" w:rsidRDefault="00207E3A" w:rsidP="003A412B">
            <w:pPr>
              <w:ind w:right="148"/>
              <w:jc w:val="right"/>
              <w:rPr>
                <w:rFonts w:ascii="Segoe UI" w:hAnsi="Segoe UI" w:cs="Segoe UI"/>
                <w:noProof/>
                <w:sz w:val="12"/>
                <w:szCs w:val="14"/>
                <w:lang w:eastAsia="el-GR"/>
              </w:rPr>
            </w:pPr>
            <w:r>
              <w:rPr>
                <w:rFonts w:ascii="Segoe UI" w:eastAsia="Times New Roman" w:hAnsi="Segoe UI" w:cs="Segoe UI"/>
                <w:b/>
                <w:bCs/>
                <w:color w:val="000000" w:themeColor="text1"/>
                <w:kern w:val="24"/>
                <w:sz w:val="14"/>
                <w:szCs w:val="14"/>
                <w:lang w:eastAsia="el-GR"/>
              </w:rPr>
              <w:t>Β</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20</w:t>
            </w:r>
          </w:p>
        </w:tc>
        <w:tc>
          <w:tcPr>
            <w:tcW w:w="473" w:type="pct"/>
            <w:tcBorders>
              <w:top w:val="single" w:sz="8" w:space="0" w:color="000000"/>
              <w:left w:val="nil"/>
              <w:bottom w:val="single" w:sz="8" w:space="0" w:color="000000"/>
              <w:right w:val="nil"/>
            </w:tcBorders>
            <w:vAlign w:val="center"/>
          </w:tcPr>
          <w:p w:rsidR="00207E3A" w:rsidRPr="006B4FB1" w:rsidRDefault="00207E3A" w:rsidP="003A412B">
            <w:pPr>
              <w:ind w:right="148"/>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Α</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20</w:t>
            </w:r>
          </w:p>
        </w:tc>
      </w:tr>
      <w:tr w:rsidR="00207E3A" w:rsidRPr="006B4FB1" w:rsidTr="00120A78">
        <w:trPr>
          <w:trHeight w:val="227"/>
        </w:trPr>
        <w:tc>
          <w:tcPr>
            <w:tcW w:w="2151" w:type="pct"/>
            <w:tcBorders>
              <w:top w:val="single" w:sz="8" w:space="0" w:color="000000"/>
              <w:left w:val="nil"/>
              <w:bottom w:val="nil"/>
              <w:right w:val="nil"/>
            </w:tcBorders>
            <w:shd w:val="clear" w:color="auto" w:fill="F2F2F2" w:themeFill="background1" w:themeFillShade="F2"/>
            <w:tcMar>
              <w:top w:w="15" w:type="dxa"/>
              <w:left w:w="41" w:type="dxa"/>
              <w:bottom w:w="0" w:type="dxa"/>
              <w:right w:w="15" w:type="dxa"/>
            </w:tcMar>
            <w:vAlign w:val="center"/>
          </w:tcPr>
          <w:p w:rsidR="00207E3A" w:rsidRPr="006B4FB1" w:rsidRDefault="00207E3A" w:rsidP="00AE6D40">
            <w:pPr>
              <w:rPr>
                <w:rFonts w:ascii="Segoe UI" w:eastAsia="Times New Roman" w:hAnsi="Segoe UI" w:cs="Segoe UI"/>
                <w:sz w:val="14"/>
                <w:szCs w:val="14"/>
                <w:lang w:eastAsia="el-GR"/>
              </w:rPr>
            </w:pPr>
            <w:r w:rsidRPr="006B4FB1">
              <w:rPr>
                <w:rFonts w:ascii="Segoe UI" w:eastAsia="Times New Roman" w:hAnsi="Segoe UI" w:cs="Segoe UI"/>
                <w:b/>
                <w:bCs/>
                <w:color w:val="000000" w:themeColor="text1"/>
                <w:kern w:val="24"/>
                <w:sz w:val="14"/>
                <w:szCs w:val="14"/>
                <w:lang w:eastAsia="el-GR"/>
              </w:rPr>
              <w:t>Ρευστότητα</w:t>
            </w:r>
          </w:p>
        </w:tc>
        <w:tc>
          <w:tcPr>
            <w:tcW w:w="475" w:type="pct"/>
            <w:tcBorders>
              <w:top w:val="single" w:sz="8" w:space="0" w:color="000000"/>
              <w:left w:val="nil"/>
              <w:bottom w:val="nil"/>
              <w:right w:val="nil"/>
            </w:tcBorders>
            <w:shd w:val="clear" w:color="auto" w:fill="F2F2F2" w:themeFill="background1" w:themeFillShade="F2"/>
            <w:vAlign w:val="center"/>
          </w:tcPr>
          <w:p w:rsidR="00207E3A" w:rsidRPr="004152D9" w:rsidRDefault="00207E3A" w:rsidP="003A412B">
            <w:pPr>
              <w:ind w:right="148"/>
              <w:jc w:val="right"/>
              <w:rPr>
                <w:rFonts w:ascii="Segoe UI" w:eastAsia="Times New Roman" w:hAnsi="Segoe UI" w:cs="Segoe UI"/>
                <w:b/>
                <w:bCs/>
                <w:color w:val="000000" w:themeColor="text1"/>
                <w:kern w:val="24"/>
                <w:sz w:val="14"/>
                <w:szCs w:val="16"/>
                <w:lang w:eastAsia="el-GR"/>
              </w:rPr>
            </w:pPr>
          </w:p>
        </w:tc>
        <w:tc>
          <w:tcPr>
            <w:tcW w:w="475" w:type="pct"/>
            <w:tcBorders>
              <w:top w:val="single" w:sz="8" w:space="0" w:color="000000"/>
              <w:left w:val="nil"/>
              <w:bottom w:val="nil"/>
              <w:right w:val="nil"/>
            </w:tcBorders>
            <w:shd w:val="clear" w:color="auto" w:fill="F2F2F2" w:themeFill="background1" w:themeFillShade="F2"/>
            <w:vAlign w:val="center"/>
          </w:tcPr>
          <w:p w:rsidR="00207E3A" w:rsidRPr="004152D9" w:rsidRDefault="00207E3A" w:rsidP="003A412B">
            <w:pPr>
              <w:ind w:right="148"/>
              <w:jc w:val="right"/>
              <w:rPr>
                <w:rFonts w:ascii="Segoe UI" w:eastAsia="Times New Roman" w:hAnsi="Segoe UI" w:cs="Segoe UI"/>
                <w:b/>
                <w:bCs/>
                <w:color w:val="000000" w:themeColor="text1"/>
                <w:kern w:val="24"/>
                <w:sz w:val="14"/>
                <w:szCs w:val="16"/>
                <w:lang w:eastAsia="el-GR"/>
              </w:rPr>
            </w:pPr>
          </w:p>
        </w:tc>
        <w:tc>
          <w:tcPr>
            <w:tcW w:w="475" w:type="pct"/>
            <w:tcBorders>
              <w:top w:val="single" w:sz="8" w:space="0" w:color="000000"/>
              <w:left w:val="nil"/>
              <w:bottom w:val="nil"/>
              <w:right w:val="nil"/>
            </w:tcBorders>
            <w:shd w:val="clear" w:color="auto" w:fill="F2F2F2" w:themeFill="background1" w:themeFillShade="F2"/>
            <w:vAlign w:val="center"/>
          </w:tcPr>
          <w:p w:rsidR="00207E3A" w:rsidRPr="004152D9" w:rsidRDefault="00207E3A" w:rsidP="003A412B">
            <w:pPr>
              <w:ind w:right="148"/>
              <w:jc w:val="right"/>
              <w:rPr>
                <w:rFonts w:ascii="Segoe UI" w:eastAsia="Times New Roman" w:hAnsi="Segoe UI" w:cs="Segoe UI"/>
                <w:b/>
                <w:bCs/>
                <w:color w:val="000000" w:themeColor="text1"/>
                <w:kern w:val="24"/>
                <w:sz w:val="14"/>
                <w:szCs w:val="16"/>
                <w:lang w:eastAsia="el-GR"/>
              </w:rPr>
            </w:pPr>
          </w:p>
        </w:tc>
        <w:tc>
          <w:tcPr>
            <w:tcW w:w="475" w:type="pct"/>
            <w:tcBorders>
              <w:top w:val="single" w:sz="8" w:space="0" w:color="000000"/>
              <w:left w:val="nil"/>
              <w:bottom w:val="nil"/>
              <w:right w:val="nil"/>
            </w:tcBorders>
            <w:shd w:val="clear" w:color="auto" w:fill="F2F2F2" w:themeFill="background1" w:themeFillShade="F2"/>
            <w:vAlign w:val="center"/>
          </w:tcPr>
          <w:p w:rsidR="00207E3A" w:rsidRPr="004152D9" w:rsidRDefault="00207E3A" w:rsidP="003A412B">
            <w:pPr>
              <w:ind w:right="148"/>
              <w:jc w:val="right"/>
              <w:rPr>
                <w:rFonts w:ascii="Segoe UI" w:eastAsia="Times New Roman" w:hAnsi="Segoe UI" w:cs="Segoe UI"/>
                <w:b/>
                <w:bCs/>
                <w:color w:val="000000" w:themeColor="text1"/>
                <w:kern w:val="24"/>
                <w:sz w:val="14"/>
                <w:szCs w:val="16"/>
                <w:lang w:eastAsia="el-GR"/>
              </w:rPr>
            </w:pPr>
          </w:p>
        </w:tc>
        <w:tc>
          <w:tcPr>
            <w:tcW w:w="475" w:type="pct"/>
            <w:tcBorders>
              <w:top w:val="single" w:sz="8" w:space="0" w:color="000000"/>
              <w:left w:val="nil"/>
              <w:bottom w:val="nil"/>
              <w:right w:val="nil"/>
            </w:tcBorders>
            <w:shd w:val="clear" w:color="auto" w:fill="F2F2F2" w:themeFill="background1" w:themeFillShade="F2"/>
            <w:vAlign w:val="center"/>
          </w:tcPr>
          <w:p w:rsidR="00207E3A" w:rsidRPr="004152D9" w:rsidRDefault="00207E3A" w:rsidP="003A412B">
            <w:pPr>
              <w:ind w:right="148"/>
              <w:jc w:val="right"/>
              <w:rPr>
                <w:rFonts w:ascii="Segoe UI" w:eastAsia="Times New Roman" w:hAnsi="Segoe UI" w:cs="Segoe UI"/>
                <w:b/>
                <w:bCs/>
                <w:color w:val="000000" w:themeColor="text1"/>
                <w:kern w:val="24"/>
                <w:sz w:val="14"/>
                <w:szCs w:val="16"/>
                <w:lang w:eastAsia="el-GR"/>
              </w:rPr>
            </w:pPr>
          </w:p>
        </w:tc>
        <w:tc>
          <w:tcPr>
            <w:tcW w:w="473" w:type="pct"/>
            <w:tcBorders>
              <w:top w:val="single" w:sz="8" w:space="0" w:color="000000"/>
              <w:left w:val="nil"/>
              <w:bottom w:val="nil"/>
              <w:right w:val="nil"/>
            </w:tcBorders>
            <w:shd w:val="clear" w:color="auto" w:fill="F2F2F2" w:themeFill="background1" w:themeFillShade="F2"/>
            <w:vAlign w:val="center"/>
          </w:tcPr>
          <w:p w:rsidR="00207E3A" w:rsidRPr="006B4FB1" w:rsidRDefault="00207E3A" w:rsidP="003A412B">
            <w:pPr>
              <w:ind w:right="126"/>
              <w:jc w:val="right"/>
              <w:rPr>
                <w:rFonts w:ascii="Segoe UI" w:eastAsia="Times New Roman" w:hAnsi="Segoe UI" w:cs="Segoe UI"/>
                <w:kern w:val="24"/>
                <w:sz w:val="14"/>
                <w:szCs w:val="14"/>
                <w:highlight w:val="yellow"/>
                <w:lang w:eastAsia="el-GR"/>
              </w:rPr>
            </w:pPr>
          </w:p>
        </w:tc>
      </w:tr>
      <w:tr w:rsidR="00114775" w:rsidRPr="006B4FB1" w:rsidTr="00120A78">
        <w:trPr>
          <w:trHeight w:val="227"/>
        </w:trPr>
        <w:tc>
          <w:tcPr>
            <w:tcW w:w="2151" w:type="pct"/>
            <w:tcBorders>
              <w:top w:val="nil"/>
              <w:left w:val="nil"/>
              <w:bottom w:val="nil"/>
              <w:right w:val="nil"/>
            </w:tcBorders>
            <w:shd w:val="clear" w:color="auto" w:fill="auto"/>
            <w:tcMar>
              <w:top w:w="15" w:type="dxa"/>
              <w:left w:w="41" w:type="dxa"/>
              <w:bottom w:w="0" w:type="dxa"/>
              <w:right w:w="15" w:type="dxa"/>
            </w:tcMar>
            <w:vAlign w:val="center"/>
            <w:hideMark/>
          </w:tcPr>
          <w:p w:rsidR="00114775" w:rsidRPr="006B4FB1" w:rsidRDefault="00114775" w:rsidP="001C2BAB">
            <w:pPr>
              <w:rPr>
                <w:rFonts w:ascii="Segoe UI" w:eastAsia="Times New Roman" w:hAnsi="Segoe UI" w:cs="Segoe UI"/>
                <w:sz w:val="14"/>
                <w:szCs w:val="14"/>
                <w:lang w:eastAsia="el-GR"/>
              </w:rPr>
            </w:pPr>
            <w:r w:rsidRPr="006B4FB1">
              <w:rPr>
                <w:rFonts w:ascii="Segoe UI" w:eastAsia="Times New Roman" w:hAnsi="Segoe UI" w:cs="Segoe UI"/>
                <w:color w:val="000000" w:themeColor="text1"/>
                <w:kern w:val="24"/>
                <w:sz w:val="14"/>
                <w:szCs w:val="14"/>
                <w:lang w:eastAsia="el-GR"/>
              </w:rPr>
              <w:t xml:space="preserve">Δάνεια (μετά </w:t>
            </w:r>
            <w:r>
              <w:rPr>
                <w:rFonts w:ascii="Segoe UI" w:eastAsia="Times New Roman" w:hAnsi="Segoe UI" w:cs="Segoe UI"/>
                <w:color w:val="000000" w:themeColor="text1"/>
                <w:kern w:val="24"/>
                <w:sz w:val="14"/>
                <w:szCs w:val="14"/>
                <w:lang w:eastAsia="el-GR"/>
              </w:rPr>
              <w:t xml:space="preserve">από </w:t>
            </w:r>
            <w:r w:rsidRPr="006B4FB1">
              <w:rPr>
                <w:rFonts w:ascii="Segoe UI" w:eastAsia="Times New Roman" w:hAnsi="Segoe UI" w:cs="Segoe UI"/>
                <w:color w:val="000000" w:themeColor="text1"/>
                <w:kern w:val="24"/>
                <w:sz w:val="14"/>
                <w:szCs w:val="14"/>
                <w:lang w:eastAsia="el-GR"/>
              </w:rPr>
              <w:t>προβλέψε</w:t>
            </w:r>
            <w:r>
              <w:rPr>
                <w:rFonts w:ascii="Segoe UI" w:eastAsia="Times New Roman" w:hAnsi="Segoe UI" w:cs="Segoe UI"/>
                <w:color w:val="000000" w:themeColor="text1"/>
                <w:kern w:val="24"/>
                <w:sz w:val="14"/>
                <w:szCs w:val="14"/>
                <w:lang w:eastAsia="el-GR"/>
              </w:rPr>
              <w:t>ις</w:t>
            </w:r>
            <w:r w:rsidRPr="006B4FB1">
              <w:rPr>
                <w:rFonts w:ascii="Segoe UI" w:eastAsia="Times New Roman" w:hAnsi="Segoe UI" w:cs="Segoe UI"/>
                <w:color w:val="000000" w:themeColor="text1"/>
                <w:kern w:val="24"/>
                <w:sz w:val="14"/>
                <w:szCs w:val="14"/>
                <w:lang w:eastAsia="el-GR"/>
              </w:rPr>
              <w:t xml:space="preserve">) προς καταθέσεις </w:t>
            </w:r>
          </w:p>
        </w:tc>
        <w:tc>
          <w:tcPr>
            <w:tcW w:w="475" w:type="pct"/>
            <w:tcBorders>
              <w:top w:val="nil"/>
              <w:left w:val="nil"/>
              <w:bottom w:val="nil"/>
              <w:right w:val="nil"/>
            </w:tcBorders>
            <w:vAlign w:val="center"/>
          </w:tcPr>
          <w:p w:rsidR="00114775" w:rsidRPr="00114775" w:rsidRDefault="00114775" w:rsidP="00120A78">
            <w:pPr>
              <w:ind w:right="148"/>
              <w:jc w:val="right"/>
              <w:rPr>
                <w:rFonts w:ascii="Segoe UI" w:eastAsia="Times New Roman" w:hAnsi="Segoe UI" w:cs="Segoe UI"/>
                <w:bCs/>
                <w:color w:val="000000" w:themeColor="text1"/>
                <w:kern w:val="24"/>
                <w:sz w:val="14"/>
                <w:szCs w:val="16"/>
                <w:lang w:eastAsia="el-GR"/>
              </w:rPr>
            </w:pPr>
            <w:r w:rsidRPr="00114775">
              <w:rPr>
                <w:rFonts w:ascii="Segoe UI" w:eastAsia="Times New Roman" w:hAnsi="Segoe UI" w:cs="Segoe UI"/>
                <w:bCs/>
                <w:color w:val="000000" w:themeColor="text1"/>
                <w:kern w:val="24"/>
                <w:sz w:val="14"/>
                <w:szCs w:val="16"/>
                <w:lang w:eastAsia="el-GR"/>
              </w:rPr>
              <w:t>5</w:t>
            </w:r>
            <w:r w:rsidR="00120A78">
              <w:rPr>
                <w:rFonts w:ascii="Segoe UI" w:eastAsia="Times New Roman" w:hAnsi="Segoe UI" w:cs="Segoe UI"/>
                <w:bCs/>
                <w:color w:val="000000" w:themeColor="text1"/>
                <w:kern w:val="24"/>
                <w:sz w:val="14"/>
                <w:szCs w:val="16"/>
                <w:lang w:eastAsia="el-GR"/>
              </w:rPr>
              <w:t>3</w:t>
            </w:r>
            <w:r w:rsidRPr="00114775">
              <w:rPr>
                <w:rFonts w:ascii="Segoe UI" w:eastAsia="Times New Roman" w:hAnsi="Segoe UI" w:cs="Segoe UI"/>
                <w:bCs/>
                <w:color w:val="000000" w:themeColor="text1"/>
                <w:kern w:val="24"/>
                <w:sz w:val="14"/>
                <w:szCs w:val="16"/>
                <w:lang w:eastAsia="el-GR"/>
              </w:rPr>
              <w:t>%</w:t>
            </w:r>
          </w:p>
        </w:tc>
        <w:tc>
          <w:tcPr>
            <w:tcW w:w="475" w:type="pct"/>
            <w:tcBorders>
              <w:top w:val="nil"/>
              <w:left w:val="nil"/>
              <w:bottom w:val="nil"/>
              <w:right w:val="nil"/>
            </w:tcBorders>
            <w:vAlign w:val="center"/>
          </w:tcPr>
          <w:p w:rsidR="00114775" w:rsidRPr="001C2BAB" w:rsidRDefault="00114775" w:rsidP="003A412B">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eastAsia="el-GR"/>
              </w:rPr>
              <w:t>5</w:t>
            </w:r>
            <w:r>
              <w:rPr>
                <w:rFonts w:ascii="Segoe UI" w:eastAsia="Times New Roman" w:hAnsi="Segoe UI" w:cs="Segoe UI"/>
                <w:bCs/>
                <w:color w:val="000000" w:themeColor="text1"/>
                <w:kern w:val="24"/>
                <w:sz w:val="14"/>
                <w:szCs w:val="16"/>
                <w:lang w:eastAsia="el-GR"/>
              </w:rPr>
              <w:t>6</w:t>
            </w:r>
            <w:r w:rsidRPr="001C2BAB">
              <w:rPr>
                <w:rFonts w:ascii="Segoe UI" w:eastAsia="Times New Roman" w:hAnsi="Segoe UI" w:cs="Segoe UI"/>
                <w:bCs/>
                <w:color w:val="000000" w:themeColor="text1"/>
                <w:kern w:val="24"/>
                <w:sz w:val="14"/>
                <w:szCs w:val="16"/>
                <w:lang w:eastAsia="el-GR"/>
              </w:rPr>
              <w:t>%</w:t>
            </w:r>
          </w:p>
        </w:tc>
        <w:tc>
          <w:tcPr>
            <w:tcW w:w="475" w:type="pct"/>
            <w:tcBorders>
              <w:top w:val="nil"/>
              <w:left w:val="nil"/>
              <w:bottom w:val="nil"/>
              <w:right w:val="nil"/>
            </w:tcBorders>
            <w:vAlign w:val="center"/>
          </w:tcPr>
          <w:p w:rsidR="00114775" w:rsidRPr="001C2BAB" w:rsidRDefault="00114775" w:rsidP="003A412B">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eastAsia="el-GR"/>
              </w:rPr>
              <w:t>55%</w:t>
            </w:r>
          </w:p>
        </w:tc>
        <w:tc>
          <w:tcPr>
            <w:tcW w:w="475" w:type="pct"/>
            <w:tcBorders>
              <w:top w:val="nil"/>
              <w:left w:val="nil"/>
              <w:bottom w:val="nil"/>
              <w:right w:val="nil"/>
            </w:tcBorders>
            <w:vAlign w:val="center"/>
          </w:tcPr>
          <w:p w:rsidR="00114775" w:rsidRPr="001A39BC" w:rsidRDefault="00114775" w:rsidP="003A412B">
            <w:pPr>
              <w:ind w:right="148"/>
              <w:jc w:val="right"/>
              <w:rPr>
                <w:rFonts w:ascii="Segoe UI" w:eastAsia="Times New Roman" w:hAnsi="Segoe UI" w:cs="Segoe UI"/>
                <w:bCs/>
                <w:color w:val="000000" w:themeColor="text1"/>
                <w:kern w:val="24"/>
                <w:sz w:val="14"/>
                <w:szCs w:val="16"/>
                <w:highlight w:val="yellow"/>
                <w:lang w:eastAsia="el-GR"/>
              </w:rPr>
            </w:pPr>
            <w:r w:rsidRPr="001A39BC">
              <w:rPr>
                <w:rFonts w:ascii="Segoe UI" w:eastAsia="Times New Roman" w:hAnsi="Segoe UI" w:cs="Segoe UI"/>
                <w:bCs/>
                <w:color w:val="000000" w:themeColor="text1"/>
                <w:kern w:val="24"/>
                <w:sz w:val="14"/>
                <w:szCs w:val="16"/>
                <w:lang w:eastAsia="el-GR"/>
              </w:rPr>
              <w:t>65%</w:t>
            </w:r>
          </w:p>
        </w:tc>
        <w:tc>
          <w:tcPr>
            <w:tcW w:w="475" w:type="pct"/>
            <w:tcBorders>
              <w:top w:val="nil"/>
              <w:left w:val="nil"/>
              <w:bottom w:val="nil"/>
              <w:right w:val="nil"/>
            </w:tcBorders>
            <w:vAlign w:val="center"/>
          </w:tcPr>
          <w:p w:rsidR="00114775" w:rsidRPr="005610B3" w:rsidRDefault="00114775" w:rsidP="003A412B">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65%</w:t>
            </w:r>
          </w:p>
        </w:tc>
        <w:tc>
          <w:tcPr>
            <w:tcW w:w="473" w:type="pct"/>
            <w:tcBorders>
              <w:top w:val="nil"/>
              <w:left w:val="nil"/>
              <w:bottom w:val="nil"/>
              <w:right w:val="nil"/>
            </w:tcBorders>
            <w:vAlign w:val="center"/>
          </w:tcPr>
          <w:p w:rsidR="00114775" w:rsidRPr="005610B3" w:rsidRDefault="00114775" w:rsidP="003A412B">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64%</w:t>
            </w:r>
          </w:p>
        </w:tc>
      </w:tr>
      <w:tr w:rsidR="00114775" w:rsidRPr="006B4FB1" w:rsidTr="00120A78">
        <w:trPr>
          <w:trHeight w:val="227"/>
        </w:trPr>
        <w:tc>
          <w:tcPr>
            <w:tcW w:w="2151" w:type="pct"/>
            <w:tcBorders>
              <w:top w:val="nil"/>
              <w:left w:val="nil"/>
              <w:bottom w:val="nil"/>
              <w:right w:val="nil"/>
            </w:tcBorders>
            <w:shd w:val="clear" w:color="auto" w:fill="auto"/>
            <w:tcMar>
              <w:top w:w="15" w:type="dxa"/>
              <w:left w:w="41" w:type="dxa"/>
              <w:bottom w:w="0" w:type="dxa"/>
              <w:right w:w="15" w:type="dxa"/>
            </w:tcMar>
            <w:vAlign w:val="center"/>
          </w:tcPr>
          <w:p w:rsidR="00114775" w:rsidRPr="006B4FB1" w:rsidRDefault="00114775" w:rsidP="001C2BAB">
            <w:pPr>
              <w:textAlignment w:val="center"/>
              <w:rPr>
                <w:rFonts w:ascii="Segoe UI" w:eastAsia="Segoe UI" w:hAnsi="Segoe UI" w:cs="Segoe UI"/>
                <w:color w:val="000000"/>
                <w:kern w:val="24"/>
                <w:sz w:val="14"/>
                <w:szCs w:val="14"/>
                <w:lang w:eastAsia="el-GR"/>
              </w:rPr>
            </w:pPr>
            <w:r w:rsidRPr="006B4FB1">
              <w:rPr>
                <w:rFonts w:ascii="Segoe UI" w:eastAsia="Segoe UI" w:hAnsi="Segoe UI" w:cs="Segoe UI"/>
                <w:color w:val="000000"/>
                <w:kern w:val="24"/>
                <w:sz w:val="14"/>
                <w:szCs w:val="14"/>
                <w:lang w:eastAsia="el-GR"/>
              </w:rPr>
              <w:t>Δείκτης Κάλυψης Ρευστότητας (</w:t>
            </w:r>
            <w:r w:rsidRPr="006B4FB1">
              <w:rPr>
                <w:rFonts w:ascii="Segoe UI" w:eastAsia="Segoe UI" w:hAnsi="Segoe UI" w:cs="Segoe UI"/>
                <w:color w:val="000000"/>
                <w:kern w:val="24"/>
                <w:sz w:val="14"/>
                <w:szCs w:val="14"/>
                <w:lang w:val="en-US" w:eastAsia="el-GR"/>
              </w:rPr>
              <w:t>LCR</w:t>
            </w:r>
            <w:r w:rsidRPr="006B4FB1">
              <w:rPr>
                <w:rFonts w:ascii="Segoe UI" w:eastAsia="Segoe UI" w:hAnsi="Segoe UI" w:cs="Segoe UI"/>
                <w:color w:val="000000"/>
                <w:kern w:val="24"/>
                <w:sz w:val="14"/>
                <w:szCs w:val="14"/>
                <w:lang w:eastAsia="el-GR"/>
              </w:rPr>
              <w:t>)</w:t>
            </w:r>
          </w:p>
        </w:tc>
        <w:tc>
          <w:tcPr>
            <w:tcW w:w="475" w:type="pct"/>
            <w:tcBorders>
              <w:top w:val="nil"/>
              <w:left w:val="nil"/>
              <w:bottom w:val="nil"/>
              <w:right w:val="nil"/>
            </w:tcBorders>
            <w:vAlign w:val="center"/>
          </w:tcPr>
          <w:p w:rsidR="00114775" w:rsidRPr="00114775" w:rsidRDefault="00114775" w:rsidP="00250B3E">
            <w:pPr>
              <w:ind w:right="148"/>
              <w:jc w:val="right"/>
              <w:rPr>
                <w:rFonts w:ascii="Segoe UI" w:eastAsia="Times New Roman" w:hAnsi="Segoe UI" w:cs="Segoe UI"/>
                <w:bCs/>
                <w:color w:val="000000" w:themeColor="text1"/>
                <w:kern w:val="24"/>
                <w:sz w:val="14"/>
                <w:szCs w:val="16"/>
                <w:lang w:eastAsia="el-GR"/>
              </w:rPr>
            </w:pPr>
            <w:r w:rsidRPr="00114775">
              <w:rPr>
                <w:rFonts w:ascii="Segoe UI" w:eastAsia="Times New Roman" w:hAnsi="Segoe UI" w:cs="Segoe UI"/>
                <w:bCs/>
                <w:color w:val="000000" w:themeColor="text1"/>
                <w:kern w:val="24"/>
                <w:sz w:val="14"/>
                <w:szCs w:val="16"/>
                <w:lang w:eastAsia="el-GR"/>
              </w:rPr>
              <w:t>259%</w:t>
            </w:r>
          </w:p>
        </w:tc>
        <w:tc>
          <w:tcPr>
            <w:tcW w:w="475" w:type="pct"/>
            <w:tcBorders>
              <w:top w:val="nil"/>
              <w:left w:val="nil"/>
              <w:bottom w:val="nil"/>
              <w:right w:val="nil"/>
            </w:tcBorders>
            <w:vAlign w:val="center"/>
          </w:tcPr>
          <w:p w:rsidR="00114775" w:rsidRPr="001C2BAB" w:rsidRDefault="00114775" w:rsidP="003A412B">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val="en-US" w:eastAsia="el-GR"/>
              </w:rPr>
              <w:t>2</w:t>
            </w:r>
            <w:r>
              <w:rPr>
                <w:rFonts w:ascii="Segoe UI" w:eastAsia="Times New Roman" w:hAnsi="Segoe UI" w:cs="Segoe UI"/>
                <w:bCs/>
                <w:color w:val="000000" w:themeColor="text1"/>
                <w:kern w:val="24"/>
                <w:sz w:val="14"/>
                <w:szCs w:val="16"/>
                <w:lang w:eastAsia="el-GR"/>
              </w:rPr>
              <w:t>50</w:t>
            </w:r>
            <w:r w:rsidRPr="001C2BAB">
              <w:rPr>
                <w:rFonts w:ascii="Segoe UI" w:eastAsia="Times New Roman" w:hAnsi="Segoe UI" w:cs="Segoe UI"/>
                <w:bCs/>
                <w:color w:val="000000" w:themeColor="text1"/>
                <w:kern w:val="24"/>
                <w:sz w:val="14"/>
                <w:szCs w:val="16"/>
                <w:lang w:eastAsia="el-GR"/>
              </w:rPr>
              <w:t>%</w:t>
            </w:r>
          </w:p>
        </w:tc>
        <w:tc>
          <w:tcPr>
            <w:tcW w:w="475" w:type="pct"/>
            <w:tcBorders>
              <w:top w:val="nil"/>
              <w:left w:val="nil"/>
              <w:bottom w:val="nil"/>
              <w:right w:val="nil"/>
            </w:tcBorders>
            <w:vAlign w:val="center"/>
          </w:tcPr>
          <w:p w:rsidR="00114775" w:rsidRPr="001C2BAB" w:rsidRDefault="00114775" w:rsidP="003A412B">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val="en-US" w:eastAsia="el-GR"/>
              </w:rPr>
              <w:t>232</w:t>
            </w:r>
            <w:r w:rsidRPr="001C2BAB">
              <w:rPr>
                <w:rFonts w:ascii="Segoe UI" w:eastAsia="Times New Roman" w:hAnsi="Segoe UI" w:cs="Segoe UI"/>
                <w:bCs/>
                <w:color w:val="000000" w:themeColor="text1"/>
                <w:kern w:val="24"/>
                <w:sz w:val="14"/>
                <w:szCs w:val="16"/>
                <w:lang w:eastAsia="el-GR"/>
              </w:rPr>
              <w:t>%</w:t>
            </w:r>
          </w:p>
        </w:tc>
        <w:tc>
          <w:tcPr>
            <w:tcW w:w="475" w:type="pct"/>
            <w:tcBorders>
              <w:top w:val="nil"/>
              <w:left w:val="nil"/>
              <w:bottom w:val="nil"/>
              <w:right w:val="nil"/>
            </w:tcBorders>
            <w:vAlign w:val="center"/>
          </w:tcPr>
          <w:p w:rsidR="00114775" w:rsidRPr="001A39BC" w:rsidRDefault="00114775" w:rsidP="003A412B">
            <w:pPr>
              <w:ind w:right="148"/>
              <w:jc w:val="right"/>
              <w:rPr>
                <w:rFonts w:ascii="Segoe UI" w:eastAsia="Times New Roman" w:hAnsi="Segoe UI" w:cs="Segoe UI"/>
                <w:bCs/>
                <w:color w:val="000000" w:themeColor="text1"/>
                <w:kern w:val="24"/>
                <w:sz w:val="14"/>
                <w:szCs w:val="16"/>
                <w:lang w:eastAsia="el-GR"/>
              </w:rPr>
            </w:pPr>
            <w:r w:rsidRPr="001A39BC">
              <w:rPr>
                <w:rFonts w:ascii="Segoe UI" w:eastAsia="Times New Roman" w:hAnsi="Segoe UI" w:cs="Segoe UI"/>
                <w:bCs/>
                <w:color w:val="000000" w:themeColor="text1"/>
                <w:kern w:val="24"/>
                <w:sz w:val="14"/>
                <w:szCs w:val="16"/>
                <w:lang w:val="en-US" w:eastAsia="el-GR"/>
              </w:rPr>
              <w:t>196</w:t>
            </w:r>
            <w:r w:rsidRPr="001A39BC">
              <w:rPr>
                <w:rFonts w:ascii="Segoe UI" w:eastAsia="Times New Roman" w:hAnsi="Segoe UI" w:cs="Segoe UI"/>
                <w:bCs/>
                <w:color w:val="000000" w:themeColor="text1"/>
                <w:kern w:val="24"/>
                <w:sz w:val="14"/>
                <w:szCs w:val="16"/>
                <w:lang w:eastAsia="el-GR"/>
              </w:rPr>
              <w:t>%</w:t>
            </w:r>
          </w:p>
        </w:tc>
        <w:tc>
          <w:tcPr>
            <w:tcW w:w="475" w:type="pct"/>
            <w:tcBorders>
              <w:top w:val="nil"/>
              <w:left w:val="nil"/>
              <w:bottom w:val="nil"/>
              <w:right w:val="nil"/>
            </w:tcBorders>
            <w:vAlign w:val="center"/>
          </w:tcPr>
          <w:p w:rsidR="00114775" w:rsidRPr="00CC318B" w:rsidRDefault="00114775" w:rsidP="003A412B">
            <w:pPr>
              <w:ind w:right="148"/>
              <w:jc w:val="right"/>
              <w:rPr>
                <w:rFonts w:ascii="Segoe UI" w:eastAsia="Times New Roman" w:hAnsi="Segoe UI" w:cs="Segoe UI"/>
                <w:bCs/>
                <w:color w:val="000000" w:themeColor="text1"/>
                <w:kern w:val="24"/>
                <w:sz w:val="14"/>
                <w:szCs w:val="16"/>
                <w:lang w:val="en-US" w:eastAsia="el-GR"/>
              </w:rPr>
            </w:pPr>
            <w:r>
              <w:rPr>
                <w:rFonts w:ascii="Segoe UI" w:eastAsia="Times New Roman" w:hAnsi="Segoe UI" w:cs="Segoe UI"/>
                <w:bCs/>
                <w:color w:val="000000" w:themeColor="text1"/>
                <w:kern w:val="24"/>
                <w:sz w:val="14"/>
                <w:szCs w:val="16"/>
                <w:lang w:val="en-US" w:eastAsia="el-GR"/>
              </w:rPr>
              <w:t>216%</w:t>
            </w:r>
          </w:p>
        </w:tc>
        <w:tc>
          <w:tcPr>
            <w:tcW w:w="473" w:type="pct"/>
            <w:tcBorders>
              <w:top w:val="nil"/>
              <w:left w:val="nil"/>
              <w:bottom w:val="nil"/>
              <w:right w:val="nil"/>
            </w:tcBorders>
            <w:vAlign w:val="center"/>
          </w:tcPr>
          <w:p w:rsidR="00114775" w:rsidRPr="005610B3" w:rsidRDefault="00114775" w:rsidP="003A412B">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171%</w:t>
            </w:r>
          </w:p>
        </w:tc>
      </w:tr>
      <w:tr w:rsidR="00114775" w:rsidRPr="006B4FB1" w:rsidTr="00120A78">
        <w:trPr>
          <w:trHeight w:val="227"/>
        </w:trPr>
        <w:tc>
          <w:tcPr>
            <w:tcW w:w="2151" w:type="pct"/>
            <w:tcBorders>
              <w:top w:val="nil"/>
              <w:left w:val="nil"/>
              <w:bottom w:val="nil"/>
              <w:right w:val="nil"/>
            </w:tcBorders>
            <w:shd w:val="clear" w:color="auto" w:fill="F2F2F2" w:themeFill="background1" w:themeFillShade="F2"/>
            <w:tcMar>
              <w:top w:w="15" w:type="dxa"/>
              <w:left w:w="41" w:type="dxa"/>
              <w:bottom w:w="0" w:type="dxa"/>
              <w:right w:w="15" w:type="dxa"/>
            </w:tcMar>
            <w:vAlign w:val="center"/>
          </w:tcPr>
          <w:p w:rsidR="00114775" w:rsidRPr="006B4FB1" w:rsidRDefault="00114775" w:rsidP="001C2BAB">
            <w:pPr>
              <w:rPr>
                <w:rFonts w:ascii="Segoe UI" w:eastAsia="Times New Roman" w:hAnsi="Segoe UI" w:cs="Segoe UI"/>
                <w:sz w:val="14"/>
                <w:szCs w:val="14"/>
                <w:lang w:eastAsia="el-GR"/>
              </w:rPr>
            </w:pPr>
            <w:r w:rsidRPr="006B4FB1">
              <w:rPr>
                <w:rFonts w:ascii="Segoe UI" w:eastAsia="Times New Roman" w:hAnsi="Segoe UI" w:cs="Segoe UI"/>
                <w:b/>
                <w:bCs/>
                <w:color w:val="000000" w:themeColor="text1"/>
                <w:kern w:val="24"/>
                <w:sz w:val="14"/>
                <w:szCs w:val="14"/>
                <w:lang w:eastAsia="el-GR"/>
              </w:rPr>
              <w:t>Κε</w:t>
            </w:r>
            <w:r w:rsidRPr="006B4FB1">
              <w:rPr>
                <w:rFonts w:ascii="Segoe UI" w:eastAsia="Times New Roman" w:hAnsi="Segoe UI" w:cs="Segoe UI"/>
                <w:b/>
                <w:bCs/>
                <w:color w:val="000000" w:themeColor="text1"/>
                <w:kern w:val="24"/>
                <w:sz w:val="14"/>
                <w:szCs w:val="14"/>
                <w:shd w:val="clear" w:color="auto" w:fill="F2F2F2" w:themeFill="background1" w:themeFillShade="F2"/>
                <w:lang w:eastAsia="el-GR"/>
              </w:rPr>
              <w:t>ρδοφορία</w:t>
            </w:r>
          </w:p>
        </w:tc>
        <w:tc>
          <w:tcPr>
            <w:tcW w:w="475" w:type="pct"/>
            <w:tcBorders>
              <w:top w:val="nil"/>
              <w:left w:val="nil"/>
              <w:bottom w:val="nil"/>
              <w:right w:val="nil"/>
            </w:tcBorders>
            <w:shd w:val="clear" w:color="auto" w:fill="F2F2F2" w:themeFill="background1" w:themeFillShade="F2"/>
            <w:vAlign w:val="center"/>
          </w:tcPr>
          <w:p w:rsidR="00114775" w:rsidRPr="00114775" w:rsidRDefault="00114775" w:rsidP="00250B3E">
            <w:pPr>
              <w:ind w:right="148"/>
              <w:jc w:val="right"/>
              <w:rPr>
                <w:rFonts w:ascii="Segoe UI" w:eastAsia="Times New Roman" w:hAnsi="Segoe UI" w:cs="Segoe UI"/>
                <w:bCs/>
                <w:color w:val="000000" w:themeColor="text1"/>
                <w:kern w:val="24"/>
                <w:sz w:val="14"/>
                <w:szCs w:val="16"/>
                <w:lang w:eastAsia="el-GR"/>
              </w:rPr>
            </w:pPr>
          </w:p>
        </w:tc>
        <w:tc>
          <w:tcPr>
            <w:tcW w:w="475" w:type="pct"/>
            <w:tcBorders>
              <w:top w:val="nil"/>
              <w:left w:val="nil"/>
              <w:bottom w:val="nil"/>
              <w:right w:val="nil"/>
            </w:tcBorders>
            <w:shd w:val="clear" w:color="auto" w:fill="F2F2F2" w:themeFill="background1" w:themeFillShade="F2"/>
            <w:vAlign w:val="center"/>
          </w:tcPr>
          <w:p w:rsidR="00114775" w:rsidRPr="001C2BAB" w:rsidRDefault="00114775" w:rsidP="003A412B">
            <w:pPr>
              <w:jc w:val="right"/>
              <w:rPr>
                <w:rFonts w:ascii="Segoe UI" w:hAnsi="Segoe UI" w:cs="Segoe UI"/>
                <w:sz w:val="14"/>
                <w:szCs w:val="16"/>
                <w:highlight w:val="yellow"/>
              </w:rPr>
            </w:pPr>
          </w:p>
        </w:tc>
        <w:tc>
          <w:tcPr>
            <w:tcW w:w="475" w:type="pct"/>
            <w:tcBorders>
              <w:top w:val="nil"/>
              <w:left w:val="nil"/>
              <w:bottom w:val="nil"/>
              <w:right w:val="nil"/>
            </w:tcBorders>
            <w:shd w:val="clear" w:color="auto" w:fill="F2F2F2" w:themeFill="background1" w:themeFillShade="F2"/>
            <w:vAlign w:val="center"/>
          </w:tcPr>
          <w:p w:rsidR="00114775" w:rsidRPr="001C2BAB" w:rsidRDefault="00114775" w:rsidP="003A412B">
            <w:pPr>
              <w:jc w:val="right"/>
              <w:rPr>
                <w:rFonts w:ascii="Segoe UI" w:hAnsi="Segoe UI" w:cs="Segoe UI"/>
                <w:sz w:val="14"/>
                <w:szCs w:val="16"/>
                <w:highlight w:val="yellow"/>
              </w:rPr>
            </w:pPr>
          </w:p>
        </w:tc>
        <w:tc>
          <w:tcPr>
            <w:tcW w:w="475" w:type="pct"/>
            <w:tcBorders>
              <w:top w:val="nil"/>
              <w:left w:val="nil"/>
              <w:bottom w:val="nil"/>
              <w:right w:val="nil"/>
            </w:tcBorders>
            <w:shd w:val="clear" w:color="auto" w:fill="F2F2F2" w:themeFill="background1" w:themeFillShade="F2"/>
            <w:vAlign w:val="center"/>
          </w:tcPr>
          <w:p w:rsidR="00114775" w:rsidRPr="001A39BC" w:rsidRDefault="00114775" w:rsidP="003A412B">
            <w:pPr>
              <w:jc w:val="right"/>
              <w:rPr>
                <w:rFonts w:ascii="Segoe UI" w:hAnsi="Segoe UI" w:cs="Segoe UI"/>
                <w:sz w:val="14"/>
                <w:szCs w:val="16"/>
                <w:highlight w:val="yellow"/>
              </w:rPr>
            </w:pPr>
          </w:p>
        </w:tc>
        <w:tc>
          <w:tcPr>
            <w:tcW w:w="475" w:type="pct"/>
            <w:tcBorders>
              <w:top w:val="nil"/>
              <w:left w:val="nil"/>
              <w:bottom w:val="nil"/>
              <w:right w:val="nil"/>
            </w:tcBorders>
            <w:shd w:val="clear" w:color="auto" w:fill="F2F2F2" w:themeFill="background1" w:themeFillShade="F2"/>
            <w:vAlign w:val="center"/>
          </w:tcPr>
          <w:p w:rsidR="00114775" w:rsidRPr="005610B3" w:rsidRDefault="00114775" w:rsidP="003A412B">
            <w:pPr>
              <w:jc w:val="right"/>
              <w:rPr>
                <w:rFonts w:ascii="Segoe UI" w:hAnsi="Segoe UI" w:cs="Segoe UI"/>
                <w:sz w:val="14"/>
                <w:szCs w:val="16"/>
              </w:rPr>
            </w:pPr>
          </w:p>
        </w:tc>
        <w:tc>
          <w:tcPr>
            <w:tcW w:w="473" w:type="pct"/>
            <w:tcBorders>
              <w:top w:val="nil"/>
              <w:left w:val="nil"/>
              <w:bottom w:val="nil"/>
              <w:right w:val="nil"/>
            </w:tcBorders>
            <w:shd w:val="clear" w:color="auto" w:fill="F2F2F2" w:themeFill="background1" w:themeFillShade="F2"/>
            <w:vAlign w:val="center"/>
          </w:tcPr>
          <w:p w:rsidR="00114775" w:rsidRPr="005610B3" w:rsidRDefault="00114775" w:rsidP="003A412B">
            <w:pPr>
              <w:jc w:val="right"/>
              <w:rPr>
                <w:rFonts w:ascii="Segoe UI" w:hAnsi="Segoe UI" w:cs="Segoe UI"/>
                <w:sz w:val="14"/>
                <w:szCs w:val="16"/>
              </w:rPr>
            </w:pPr>
          </w:p>
        </w:tc>
      </w:tr>
      <w:tr w:rsidR="00114775" w:rsidRPr="006B4FB1" w:rsidTr="00120A78">
        <w:trPr>
          <w:trHeight w:val="227"/>
        </w:trPr>
        <w:tc>
          <w:tcPr>
            <w:tcW w:w="2151" w:type="pct"/>
            <w:tcBorders>
              <w:top w:val="nil"/>
              <w:left w:val="nil"/>
              <w:bottom w:val="nil"/>
              <w:right w:val="nil"/>
            </w:tcBorders>
            <w:shd w:val="clear" w:color="auto" w:fill="auto"/>
            <w:tcMar>
              <w:top w:w="15" w:type="dxa"/>
              <w:left w:w="41" w:type="dxa"/>
              <w:bottom w:w="0" w:type="dxa"/>
              <w:right w:w="15" w:type="dxa"/>
            </w:tcMar>
            <w:vAlign w:val="center"/>
            <w:hideMark/>
          </w:tcPr>
          <w:p w:rsidR="00114775" w:rsidRPr="006B4FB1" w:rsidRDefault="00114775" w:rsidP="001C2BAB">
            <w:pPr>
              <w:textAlignment w:val="center"/>
              <w:rPr>
                <w:rFonts w:ascii="Segoe UI" w:eastAsia="Times New Roman" w:hAnsi="Segoe UI" w:cs="Segoe UI"/>
                <w:sz w:val="14"/>
                <w:szCs w:val="14"/>
                <w:lang w:eastAsia="el-GR"/>
              </w:rPr>
            </w:pPr>
            <w:r w:rsidRPr="006B4FB1">
              <w:rPr>
                <w:rFonts w:ascii="Segoe UI" w:eastAsia="Segoe UI" w:hAnsi="Segoe UI" w:cs="Segoe UI"/>
                <w:color w:val="000000"/>
                <w:kern w:val="24"/>
                <w:sz w:val="14"/>
                <w:szCs w:val="14"/>
                <w:lang w:eastAsia="el-GR"/>
              </w:rPr>
              <w:t>Καθαρό επιτοκιακό περιθώριο</w:t>
            </w:r>
            <w:r w:rsidRPr="00A06532">
              <w:rPr>
                <w:rFonts w:ascii="Segoe UI" w:eastAsia="Segoe UI" w:hAnsi="Segoe UI" w:cs="Segoe UI"/>
                <w:color w:val="000000"/>
                <w:kern w:val="24"/>
                <w:sz w:val="14"/>
                <w:szCs w:val="14"/>
                <w:vertAlign w:val="superscript"/>
                <w:lang w:eastAsia="el-GR"/>
              </w:rPr>
              <w:t>1</w:t>
            </w:r>
            <w:r w:rsidRPr="006B4FB1">
              <w:rPr>
                <w:rFonts w:ascii="Segoe UI" w:eastAsia="Segoe UI" w:hAnsi="Segoe UI" w:cs="Segoe UI"/>
                <w:color w:val="000000"/>
                <w:kern w:val="24"/>
                <w:sz w:val="14"/>
                <w:szCs w:val="14"/>
                <w:lang w:eastAsia="el-GR"/>
              </w:rPr>
              <w:t xml:space="preserve"> (μ.β.)</w:t>
            </w:r>
          </w:p>
        </w:tc>
        <w:tc>
          <w:tcPr>
            <w:tcW w:w="475" w:type="pct"/>
            <w:tcBorders>
              <w:top w:val="nil"/>
              <w:left w:val="nil"/>
              <w:bottom w:val="nil"/>
              <w:right w:val="nil"/>
            </w:tcBorders>
            <w:vAlign w:val="center"/>
          </w:tcPr>
          <w:p w:rsidR="00114775" w:rsidRPr="00114775" w:rsidRDefault="00114775" w:rsidP="003B37C2">
            <w:pPr>
              <w:ind w:right="148"/>
              <w:jc w:val="right"/>
              <w:rPr>
                <w:rFonts w:ascii="Segoe UI" w:eastAsia="Times New Roman" w:hAnsi="Segoe UI" w:cs="Segoe UI"/>
                <w:bCs/>
                <w:color w:val="000000" w:themeColor="text1"/>
                <w:kern w:val="24"/>
                <w:sz w:val="14"/>
                <w:szCs w:val="16"/>
                <w:lang w:eastAsia="el-GR"/>
              </w:rPr>
            </w:pPr>
            <w:r w:rsidRPr="00114775">
              <w:rPr>
                <w:rFonts w:ascii="Segoe UI" w:eastAsia="Times New Roman" w:hAnsi="Segoe UI" w:cs="Segoe UI"/>
                <w:bCs/>
                <w:color w:val="000000" w:themeColor="text1"/>
                <w:kern w:val="24"/>
                <w:sz w:val="14"/>
                <w:szCs w:val="16"/>
                <w:lang w:eastAsia="el-GR"/>
              </w:rPr>
              <w:t>2</w:t>
            </w:r>
            <w:r w:rsidR="003B37C2">
              <w:rPr>
                <w:rFonts w:ascii="Segoe UI" w:eastAsia="Times New Roman" w:hAnsi="Segoe UI" w:cs="Segoe UI"/>
                <w:bCs/>
                <w:color w:val="000000" w:themeColor="text1"/>
                <w:kern w:val="24"/>
                <w:sz w:val="14"/>
                <w:szCs w:val="16"/>
                <w:lang w:val="en-US" w:eastAsia="el-GR"/>
              </w:rPr>
              <w:t>12</w:t>
            </w:r>
            <w:r w:rsidRPr="00114775">
              <w:rPr>
                <w:rFonts w:ascii="Segoe UI" w:eastAsia="Times New Roman" w:hAnsi="Segoe UI" w:cs="Segoe UI"/>
                <w:bCs/>
                <w:color w:val="000000" w:themeColor="text1"/>
                <w:kern w:val="24"/>
                <w:sz w:val="14"/>
                <w:szCs w:val="16"/>
                <w:lang w:eastAsia="el-GR"/>
              </w:rPr>
              <w:t xml:space="preserve"> </w:t>
            </w:r>
          </w:p>
        </w:tc>
        <w:tc>
          <w:tcPr>
            <w:tcW w:w="475" w:type="pct"/>
            <w:tcBorders>
              <w:top w:val="nil"/>
              <w:left w:val="nil"/>
              <w:bottom w:val="nil"/>
              <w:right w:val="nil"/>
            </w:tcBorders>
            <w:vAlign w:val="center"/>
          </w:tcPr>
          <w:p w:rsidR="00114775" w:rsidRPr="001C2BAB" w:rsidRDefault="00114775" w:rsidP="003A412B">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eastAsia="el-GR"/>
              </w:rPr>
              <w:t>2</w:t>
            </w:r>
            <w:r>
              <w:rPr>
                <w:rFonts w:ascii="Segoe UI" w:eastAsia="Times New Roman" w:hAnsi="Segoe UI" w:cs="Segoe UI"/>
                <w:bCs/>
                <w:color w:val="000000" w:themeColor="text1"/>
                <w:kern w:val="24"/>
                <w:sz w:val="14"/>
                <w:szCs w:val="16"/>
                <w:lang w:eastAsia="el-GR"/>
              </w:rPr>
              <w:t>12</w:t>
            </w:r>
            <w:r w:rsidRPr="001C2BAB">
              <w:rPr>
                <w:rFonts w:ascii="Segoe UI" w:eastAsia="Times New Roman" w:hAnsi="Segoe UI" w:cs="Segoe UI"/>
                <w:bCs/>
                <w:color w:val="000000" w:themeColor="text1"/>
                <w:kern w:val="24"/>
                <w:sz w:val="14"/>
                <w:szCs w:val="16"/>
                <w:lang w:eastAsia="el-GR"/>
              </w:rPr>
              <w:t xml:space="preserve"> </w:t>
            </w:r>
          </w:p>
        </w:tc>
        <w:tc>
          <w:tcPr>
            <w:tcW w:w="475" w:type="pct"/>
            <w:tcBorders>
              <w:top w:val="nil"/>
              <w:left w:val="nil"/>
              <w:bottom w:val="nil"/>
              <w:right w:val="nil"/>
            </w:tcBorders>
            <w:vAlign w:val="center"/>
          </w:tcPr>
          <w:p w:rsidR="00114775" w:rsidRPr="001C2BAB" w:rsidRDefault="00114775" w:rsidP="003A412B">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eastAsia="el-GR"/>
              </w:rPr>
              <w:t xml:space="preserve">228 </w:t>
            </w:r>
          </w:p>
        </w:tc>
        <w:tc>
          <w:tcPr>
            <w:tcW w:w="475" w:type="pct"/>
            <w:tcBorders>
              <w:top w:val="nil"/>
              <w:left w:val="nil"/>
              <w:bottom w:val="nil"/>
              <w:right w:val="nil"/>
            </w:tcBorders>
            <w:vAlign w:val="center"/>
          </w:tcPr>
          <w:p w:rsidR="00114775" w:rsidRPr="001A39BC" w:rsidRDefault="00114775" w:rsidP="003A412B">
            <w:pPr>
              <w:ind w:right="148"/>
              <w:jc w:val="right"/>
              <w:rPr>
                <w:rFonts w:ascii="Segoe UI" w:eastAsia="Times New Roman" w:hAnsi="Segoe UI" w:cs="Segoe UI"/>
                <w:bCs/>
                <w:color w:val="000000" w:themeColor="text1"/>
                <w:kern w:val="24"/>
                <w:sz w:val="14"/>
                <w:szCs w:val="16"/>
                <w:lang w:eastAsia="el-GR"/>
              </w:rPr>
            </w:pPr>
            <w:r w:rsidRPr="001A39BC">
              <w:rPr>
                <w:rFonts w:ascii="Segoe UI" w:eastAsia="Times New Roman" w:hAnsi="Segoe UI" w:cs="Segoe UI"/>
                <w:bCs/>
                <w:color w:val="000000" w:themeColor="text1"/>
                <w:kern w:val="24"/>
                <w:sz w:val="14"/>
                <w:szCs w:val="16"/>
                <w:lang w:eastAsia="el-GR"/>
              </w:rPr>
              <w:t xml:space="preserve">222 </w:t>
            </w:r>
          </w:p>
        </w:tc>
        <w:tc>
          <w:tcPr>
            <w:tcW w:w="475" w:type="pct"/>
            <w:tcBorders>
              <w:top w:val="nil"/>
              <w:left w:val="nil"/>
              <w:bottom w:val="nil"/>
              <w:right w:val="nil"/>
            </w:tcBorders>
            <w:vAlign w:val="center"/>
          </w:tcPr>
          <w:p w:rsidR="00114775" w:rsidRPr="00E9061A" w:rsidRDefault="00114775" w:rsidP="003A412B">
            <w:pPr>
              <w:ind w:right="148"/>
              <w:jc w:val="right"/>
              <w:rPr>
                <w:rFonts w:ascii="Segoe UI" w:eastAsia="Times New Roman" w:hAnsi="Segoe UI" w:cs="Segoe UI"/>
                <w:bCs/>
                <w:color w:val="000000" w:themeColor="text1"/>
                <w:kern w:val="24"/>
                <w:sz w:val="14"/>
                <w:szCs w:val="16"/>
                <w:lang w:eastAsia="el-GR"/>
              </w:rPr>
            </w:pPr>
            <w:r w:rsidRPr="00E9061A">
              <w:rPr>
                <w:rFonts w:ascii="Segoe UI" w:eastAsia="Times New Roman" w:hAnsi="Segoe UI" w:cs="Segoe UI"/>
                <w:bCs/>
                <w:color w:val="000000" w:themeColor="text1"/>
                <w:kern w:val="24"/>
                <w:sz w:val="14"/>
                <w:szCs w:val="16"/>
                <w:lang w:eastAsia="el-GR"/>
              </w:rPr>
              <w:t xml:space="preserve">216 </w:t>
            </w:r>
          </w:p>
        </w:tc>
        <w:tc>
          <w:tcPr>
            <w:tcW w:w="473" w:type="pct"/>
            <w:tcBorders>
              <w:top w:val="nil"/>
              <w:left w:val="nil"/>
              <w:bottom w:val="nil"/>
              <w:right w:val="nil"/>
            </w:tcBorders>
            <w:shd w:val="clear" w:color="auto" w:fill="auto"/>
            <w:vAlign w:val="center"/>
          </w:tcPr>
          <w:p w:rsidR="00114775" w:rsidRPr="00E9061A" w:rsidRDefault="00114775" w:rsidP="003A412B">
            <w:pPr>
              <w:ind w:right="148"/>
              <w:jc w:val="right"/>
              <w:rPr>
                <w:rFonts w:ascii="Segoe UI" w:eastAsia="Times New Roman" w:hAnsi="Segoe UI" w:cs="Segoe UI"/>
                <w:bCs/>
                <w:color w:val="000000" w:themeColor="text1"/>
                <w:kern w:val="24"/>
                <w:sz w:val="14"/>
                <w:szCs w:val="16"/>
                <w:lang w:eastAsia="el-GR"/>
              </w:rPr>
            </w:pPr>
            <w:r w:rsidRPr="00E9061A">
              <w:rPr>
                <w:rFonts w:ascii="Segoe UI" w:eastAsia="Times New Roman" w:hAnsi="Segoe UI" w:cs="Segoe UI"/>
                <w:bCs/>
                <w:color w:val="000000" w:themeColor="text1"/>
                <w:kern w:val="24"/>
                <w:sz w:val="14"/>
                <w:szCs w:val="16"/>
                <w:lang w:eastAsia="el-GR"/>
              </w:rPr>
              <w:t xml:space="preserve">236 </w:t>
            </w:r>
          </w:p>
        </w:tc>
      </w:tr>
      <w:tr w:rsidR="00114775" w:rsidRPr="006B4FB1" w:rsidTr="00120A78">
        <w:trPr>
          <w:trHeight w:val="227"/>
        </w:trPr>
        <w:tc>
          <w:tcPr>
            <w:tcW w:w="2151" w:type="pct"/>
            <w:tcBorders>
              <w:top w:val="nil"/>
              <w:left w:val="nil"/>
              <w:bottom w:val="nil"/>
              <w:right w:val="nil"/>
            </w:tcBorders>
            <w:shd w:val="clear" w:color="auto" w:fill="auto"/>
            <w:tcMar>
              <w:top w:w="15" w:type="dxa"/>
              <w:left w:w="41" w:type="dxa"/>
              <w:bottom w:w="0" w:type="dxa"/>
              <w:right w:w="15" w:type="dxa"/>
            </w:tcMar>
            <w:vAlign w:val="center"/>
          </w:tcPr>
          <w:p w:rsidR="00114775" w:rsidRPr="006B4FB1" w:rsidRDefault="00114775" w:rsidP="001C2BAB">
            <w:pPr>
              <w:textAlignment w:val="center"/>
              <w:rPr>
                <w:rFonts w:ascii="Segoe UI" w:eastAsia="Segoe UI" w:hAnsi="Segoe UI" w:cs="Segoe UI"/>
                <w:color w:val="000000"/>
                <w:kern w:val="24"/>
                <w:sz w:val="14"/>
                <w:szCs w:val="14"/>
                <w:lang w:eastAsia="el-GR"/>
              </w:rPr>
            </w:pPr>
            <w:r w:rsidRPr="006B4FB1">
              <w:rPr>
                <w:rFonts w:ascii="Segoe UI" w:eastAsia="Segoe UI" w:hAnsi="Segoe UI" w:cs="Segoe UI"/>
                <w:color w:val="000000"/>
                <w:kern w:val="24"/>
                <w:sz w:val="14"/>
                <w:szCs w:val="14"/>
                <w:lang w:eastAsia="el-GR"/>
              </w:rPr>
              <w:t xml:space="preserve">Δείκτης κόστους προς οργανικά έσοδα </w:t>
            </w:r>
          </w:p>
        </w:tc>
        <w:tc>
          <w:tcPr>
            <w:tcW w:w="475" w:type="pct"/>
            <w:tcBorders>
              <w:top w:val="nil"/>
              <w:left w:val="nil"/>
              <w:bottom w:val="nil"/>
              <w:right w:val="nil"/>
            </w:tcBorders>
            <w:vAlign w:val="center"/>
          </w:tcPr>
          <w:p w:rsidR="00114775" w:rsidRPr="00114775" w:rsidRDefault="00114775" w:rsidP="00250B3E">
            <w:pPr>
              <w:ind w:right="148"/>
              <w:jc w:val="right"/>
              <w:rPr>
                <w:rFonts w:ascii="Segoe UI" w:eastAsia="Times New Roman" w:hAnsi="Segoe UI" w:cs="Segoe UI"/>
                <w:bCs/>
                <w:color w:val="000000" w:themeColor="text1"/>
                <w:kern w:val="24"/>
                <w:sz w:val="14"/>
                <w:szCs w:val="16"/>
                <w:lang w:eastAsia="el-GR"/>
              </w:rPr>
            </w:pPr>
            <w:r w:rsidRPr="00114775">
              <w:rPr>
                <w:rFonts w:ascii="Segoe UI" w:eastAsia="Times New Roman" w:hAnsi="Segoe UI" w:cs="Segoe UI"/>
                <w:bCs/>
                <w:color w:val="000000" w:themeColor="text1"/>
                <w:kern w:val="24"/>
                <w:sz w:val="14"/>
                <w:szCs w:val="16"/>
                <w:lang w:eastAsia="el-GR"/>
              </w:rPr>
              <w:t>50%</w:t>
            </w:r>
          </w:p>
        </w:tc>
        <w:tc>
          <w:tcPr>
            <w:tcW w:w="475" w:type="pct"/>
            <w:tcBorders>
              <w:top w:val="nil"/>
              <w:left w:val="nil"/>
              <w:bottom w:val="nil"/>
              <w:right w:val="nil"/>
            </w:tcBorders>
            <w:vAlign w:val="center"/>
          </w:tcPr>
          <w:p w:rsidR="00114775" w:rsidRPr="001C2BAB" w:rsidRDefault="00114775" w:rsidP="003A412B">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eastAsia="el-GR"/>
              </w:rPr>
              <w:t>5</w:t>
            </w:r>
            <w:r>
              <w:rPr>
                <w:rFonts w:ascii="Segoe UI" w:eastAsia="Times New Roman" w:hAnsi="Segoe UI" w:cs="Segoe UI"/>
                <w:bCs/>
                <w:color w:val="000000" w:themeColor="text1"/>
                <w:kern w:val="24"/>
                <w:sz w:val="14"/>
                <w:szCs w:val="16"/>
                <w:lang w:eastAsia="el-GR"/>
              </w:rPr>
              <w:t>2</w:t>
            </w:r>
            <w:r w:rsidRPr="001C2BAB">
              <w:rPr>
                <w:rFonts w:ascii="Segoe UI" w:eastAsia="Times New Roman" w:hAnsi="Segoe UI" w:cs="Segoe UI"/>
                <w:bCs/>
                <w:color w:val="000000" w:themeColor="text1"/>
                <w:kern w:val="24"/>
                <w:sz w:val="14"/>
                <w:szCs w:val="16"/>
                <w:lang w:eastAsia="el-GR"/>
              </w:rPr>
              <w:t>%</w:t>
            </w:r>
          </w:p>
        </w:tc>
        <w:tc>
          <w:tcPr>
            <w:tcW w:w="475" w:type="pct"/>
            <w:tcBorders>
              <w:top w:val="nil"/>
              <w:left w:val="nil"/>
              <w:bottom w:val="nil"/>
              <w:right w:val="nil"/>
            </w:tcBorders>
            <w:vAlign w:val="center"/>
          </w:tcPr>
          <w:p w:rsidR="00114775" w:rsidRPr="001C2BAB" w:rsidRDefault="00114775" w:rsidP="003A412B">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eastAsia="el-GR"/>
              </w:rPr>
              <w:t>55%</w:t>
            </w:r>
          </w:p>
        </w:tc>
        <w:tc>
          <w:tcPr>
            <w:tcW w:w="475" w:type="pct"/>
            <w:tcBorders>
              <w:top w:val="nil"/>
              <w:left w:val="nil"/>
              <w:bottom w:val="nil"/>
              <w:right w:val="nil"/>
            </w:tcBorders>
            <w:vAlign w:val="center"/>
          </w:tcPr>
          <w:p w:rsidR="00114775" w:rsidRPr="001A39BC" w:rsidRDefault="00114775" w:rsidP="003A412B">
            <w:pPr>
              <w:ind w:right="148"/>
              <w:jc w:val="right"/>
              <w:rPr>
                <w:rFonts w:ascii="Segoe UI" w:eastAsia="Times New Roman" w:hAnsi="Segoe UI" w:cs="Segoe UI"/>
                <w:bCs/>
                <w:color w:val="000000" w:themeColor="text1"/>
                <w:kern w:val="24"/>
                <w:sz w:val="14"/>
                <w:szCs w:val="16"/>
                <w:lang w:eastAsia="el-GR"/>
              </w:rPr>
            </w:pPr>
            <w:r w:rsidRPr="001A39BC">
              <w:rPr>
                <w:rFonts w:ascii="Segoe UI" w:eastAsia="Times New Roman" w:hAnsi="Segoe UI" w:cs="Segoe UI"/>
                <w:bCs/>
                <w:color w:val="000000" w:themeColor="text1"/>
                <w:kern w:val="24"/>
                <w:sz w:val="14"/>
                <w:szCs w:val="16"/>
                <w:lang w:eastAsia="el-GR"/>
              </w:rPr>
              <w:t>54%</w:t>
            </w:r>
          </w:p>
        </w:tc>
        <w:tc>
          <w:tcPr>
            <w:tcW w:w="475" w:type="pct"/>
            <w:tcBorders>
              <w:top w:val="nil"/>
              <w:left w:val="nil"/>
              <w:bottom w:val="nil"/>
              <w:right w:val="nil"/>
            </w:tcBorders>
            <w:vAlign w:val="center"/>
          </w:tcPr>
          <w:p w:rsidR="00114775" w:rsidRPr="005610B3" w:rsidRDefault="00114775" w:rsidP="003A412B">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60%</w:t>
            </w:r>
          </w:p>
        </w:tc>
        <w:tc>
          <w:tcPr>
            <w:tcW w:w="473" w:type="pct"/>
            <w:tcBorders>
              <w:top w:val="nil"/>
              <w:left w:val="nil"/>
              <w:bottom w:val="nil"/>
              <w:right w:val="nil"/>
            </w:tcBorders>
            <w:shd w:val="clear" w:color="auto" w:fill="auto"/>
            <w:vAlign w:val="center"/>
          </w:tcPr>
          <w:p w:rsidR="00114775" w:rsidRPr="005610B3" w:rsidRDefault="00114775" w:rsidP="003A412B">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60%</w:t>
            </w:r>
          </w:p>
        </w:tc>
      </w:tr>
      <w:tr w:rsidR="00114775" w:rsidRPr="006B4FB1" w:rsidTr="00120A78">
        <w:trPr>
          <w:trHeight w:val="227"/>
        </w:trPr>
        <w:tc>
          <w:tcPr>
            <w:tcW w:w="2151" w:type="pct"/>
            <w:tcBorders>
              <w:top w:val="nil"/>
              <w:left w:val="nil"/>
              <w:bottom w:val="nil"/>
              <w:right w:val="nil"/>
            </w:tcBorders>
            <w:shd w:val="clear" w:color="auto" w:fill="auto"/>
            <w:tcMar>
              <w:top w:w="15" w:type="dxa"/>
              <w:left w:w="41" w:type="dxa"/>
              <w:bottom w:w="0" w:type="dxa"/>
              <w:right w:w="15" w:type="dxa"/>
            </w:tcMar>
            <w:vAlign w:val="center"/>
          </w:tcPr>
          <w:p w:rsidR="00114775" w:rsidRPr="006B4FB1" w:rsidRDefault="00114775" w:rsidP="001C2BAB">
            <w:pPr>
              <w:rPr>
                <w:rFonts w:ascii="Segoe UI" w:eastAsia="Times New Roman" w:hAnsi="Segoe UI" w:cs="Segoe UI"/>
                <w:sz w:val="14"/>
                <w:szCs w:val="14"/>
                <w:lang w:eastAsia="el-GR"/>
              </w:rPr>
            </w:pPr>
            <w:r w:rsidRPr="006B4FB1">
              <w:rPr>
                <w:rFonts w:ascii="Segoe UI" w:eastAsia="Segoe UI" w:hAnsi="Segoe UI" w:cs="Segoe UI"/>
                <w:color w:val="000000"/>
                <w:kern w:val="24"/>
                <w:sz w:val="14"/>
                <w:szCs w:val="14"/>
                <w:lang w:eastAsia="el-GR"/>
              </w:rPr>
              <w:t xml:space="preserve">Περιθώριο </w:t>
            </w:r>
            <w:r>
              <w:rPr>
                <w:rFonts w:ascii="Segoe UI" w:eastAsia="Segoe UI" w:hAnsi="Segoe UI" w:cs="Segoe UI"/>
                <w:color w:val="000000"/>
                <w:kern w:val="24"/>
                <w:sz w:val="14"/>
                <w:szCs w:val="14"/>
                <w:lang w:eastAsia="el-GR"/>
              </w:rPr>
              <w:t xml:space="preserve">οργανικών </w:t>
            </w:r>
            <w:r w:rsidRPr="006B4FB1">
              <w:rPr>
                <w:rFonts w:ascii="Segoe UI" w:eastAsia="Segoe UI" w:hAnsi="Segoe UI" w:cs="Segoe UI"/>
                <w:color w:val="000000"/>
                <w:kern w:val="24"/>
                <w:sz w:val="14"/>
                <w:szCs w:val="14"/>
                <w:lang w:eastAsia="el-GR"/>
              </w:rPr>
              <w:t>κερδών προ προβλέψεων (μ.β.)</w:t>
            </w:r>
          </w:p>
        </w:tc>
        <w:tc>
          <w:tcPr>
            <w:tcW w:w="475" w:type="pct"/>
            <w:tcBorders>
              <w:top w:val="nil"/>
              <w:left w:val="nil"/>
              <w:bottom w:val="nil"/>
              <w:right w:val="nil"/>
            </w:tcBorders>
            <w:vAlign w:val="center"/>
          </w:tcPr>
          <w:p w:rsidR="00114775" w:rsidRPr="00114775" w:rsidRDefault="00114775" w:rsidP="00120A78">
            <w:pPr>
              <w:ind w:right="148"/>
              <w:jc w:val="right"/>
              <w:rPr>
                <w:rFonts w:ascii="Segoe UI" w:eastAsia="Times New Roman" w:hAnsi="Segoe UI" w:cs="Segoe UI"/>
                <w:bCs/>
                <w:color w:val="000000" w:themeColor="text1"/>
                <w:kern w:val="24"/>
                <w:sz w:val="14"/>
                <w:szCs w:val="16"/>
                <w:lang w:eastAsia="el-GR"/>
              </w:rPr>
            </w:pPr>
            <w:r w:rsidRPr="00114775">
              <w:rPr>
                <w:rFonts w:ascii="Segoe UI" w:eastAsia="Times New Roman" w:hAnsi="Segoe UI" w:cs="Segoe UI"/>
                <w:bCs/>
                <w:color w:val="000000" w:themeColor="text1"/>
                <w:kern w:val="24"/>
                <w:sz w:val="14"/>
                <w:szCs w:val="16"/>
                <w:lang w:eastAsia="el-GR"/>
              </w:rPr>
              <w:t>2</w:t>
            </w:r>
            <w:r w:rsidR="00120A78">
              <w:rPr>
                <w:rFonts w:ascii="Segoe UI" w:eastAsia="Times New Roman" w:hAnsi="Segoe UI" w:cs="Segoe UI"/>
                <w:bCs/>
                <w:color w:val="000000" w:themeColor="text1"/>
                <w:kern w:val="24"/>
                <w:sz w:val="14"/>
                <w:szCs w:val="16"/>
                <w:lang w:eastAsia="el-GR"/>
              </w:rPr>
              <w:t>71</w:t>
            </w:r>
          </w:p>
        </w:tc>
        <w:tc>
          <w:tcPr>
            <w:tcW w:w="475" w:type="pct"/>
            <w:tcBorders>
              <w:top w:val="nil"/>
              <w:left w:val="nil"/>
              <w:bottom w:val="nil"/>
              <w:right w:val="nil"/>
            </w:tcBorders>
            <w:vAlign w:val="center"/>
          </w:tcPr>
          <w:p w:rsidR="00114775" w:rsidRPr="001C2BAB" w:rsidRDefault="00114775" w:rsidP="003A412B">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eastAsia="el-GR"/>
              </w:rPr>
              <w:t>2</w:t>
            </w:r>
            <w:r>
              <w:rPr>
                <w:rFonts w:ascii="Segoe UI" w:eastAsia="Times New Roman" w:hAnsi="Segoe UI" w:cs="Segoe UI"/>
                <w:bCs/>
                <w:color w:val="000000" w:themeColor="text1"/>
                <w:kern w:val="24"/>
                <w:sz w:val="14"/>
                <w:szCs w:val="16"/>
                <w:lang w:eastAsia="el-GR"/>
              </w:rPr>
              <w:t>56</w:t>
            </w:r>
          </w:p>
        </w:tc>
        <w:tc>
          <w:tcPr>
            <w:tcW w:w="475" w:type="pct"/>
            <w:tcBorders>
              <w:top w:val="nil"/>
              <w:left w:val="nil"/>
              <w:bottom w:val="nil"/>
              <w:right w:val="nil"/>
            </w:tcBorders>
            <w:vAlign w:val="center"/>
          </w:tcPr>
          <w:p w:rsidR="00114775" w:rsidRPr="001C2BAB" w:rsidRDefault="00114775" w:rsidP="003A412B">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eastAsia="el-GR"/>
              </w:rPr>
              <w:t>244</w:t>
            </w:r>
          </w:p>
        </w:tc>
        <w:tc>
          <w:tcPr>
            <w:tcW w:w="475" w:type="pct"/>
            <w:tcBorders>
              <w:top w:val="nil"/>
              <w:left w:val="nil"/>
              <w:bottom w:val="nil"/>
              <w:right w:val="nil"/>
            </w:tcBorders>
            <w:vAlign w:val="center"/>
          </w:tcPr>
          <w:p w:rsidR="00114775" w:rsidRPr="001A39BC" w:rsidRDefault="00114775" w:rsidP="003A412B">
            <w:pPr>
              <w:ind w:right="148"/>
              <w:jc w:val="right"/>
              <w:rPr>
                <w:rFonts w:ascii="Segoe UI" w:eastAsia="Times New Roman" w:hAnsi="Segoe UI" w:cs="Segoe UI"/>
                <w:bCs/>
                <w:color w:val="000000" w:themeColor="text1"/>
                <w:kern w:val="24"/>
                <w:sz w:val="14"/>
                <w:szCs w:val="16"/>
                <w:lang w:eastAsia="el-GR"/>
              </w:rPr>
            </w:pPr>
            <w:r w:rsidRPr="001A39BC">
              <w:rPr>
                <w:rFonts w:ascii="Segoe UI" w:eastAsia="Times New Roman" w:hAnsi="Segoe UI" w:cs="Segoe UI"/>
                <w:bCs/>
                <w:color w:val="000000" w:themeColor="text1"/>
                <w:kern w:val="24"/>
                <w:sz w:val="14"/>
                <w:szCs w:val="16"/>
                <w:lang w:eastAsia="el-GR"/>
              </w:rPr>
              <w:t>236</w:t>
            </w:r>
          </w:p>
        </w:tc>
        <w:tc>
          <w:tcPr>
            <w:tcW w:w="475" w:type="pct"/>
            <w:tcBorders>
              <w:top w:val="nil"/>
              <w:left w:val="nil"/>
              <w:bottom w:val="nil"/>
              <w:right w:val="nil"/>
            </w:tcBorders>
            <w:vAlign w:val="center"/>
          </w:tcPr>
          <w:p w:rsidR="00114775" w:rsidRPr="005610B3" w:rsidRDefault="00114775" w:rsidP="003A412B">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181</w:t>
            </w:r>
          </w:p>
        </w:tc>
        <w:tc>
          <w:tcPr>
            <w:tcW w:w="473" w:type="pct"/>
            <w:tcBorders>
              <w:top w:val="nil"/>
              <w:left w:val="nil"/>
              <w:bottom w:val="nil"/>
              <w:right w:val="nil"/>
            </w:tcBorders>
            <w:shd w:val="clear" w:color="auto" w:fill="auto"/>
            <w:vAlign w:val="center"/>
          </w:tcPr>
          <w:p w:rsidR="00114775" w:rsidRPr="005610B3" w:rsidRDefault="00114775" w:rsidP="003A412B">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188</w:t>
            </w:r>
          </w:p>
        </w:tc>
      </w:tr>
      <w:tr w:rsidR="00114775" w:rsidRPr="006B4FB1" w:rsidTr="00120A78">
        <w:trPr>
          <w:trHeight w:val="227"/>
        </w:trPr>
        <w:tc>
          <w:tcPr>
            <w:tcW w:w="2151" w:type="pct"/>
            <w:tcBorders>
              <w:top w:val="nil"/>
              <w:left w:val="nil"/>
              <w:bottom w:val="nil"/>
              <w:right w:val="nil"/>
            </w:tcBorders>
            <w:shd w:val="clear" w:color="auto" w:fill="auto"/>
            <w:tcMar>
              <w:top w:w="15" w:type="dxa"/>
              <w:left w:w="41" w:type="dxa"/>
              <w:bottom w:w="0" w:type="dxa"/>
              <w:right w:w="15" w:type="dxa"/>
            </w:tcMar>
            <w:vAlign w:val="center"/>
            <w:hideMark/>
          </w:tcPr>
          <w:p w:rsidR="00114775" w:rsidRPr="006B4FB1" w:rsidRDefault="00B22BC0" w:rsidP="001C2BAB">
            <w:pPr>
              <w:pStyle w:val="NormalWeb"/>
              <w:spacing w:before="0" w:beforeAutospacing="0" w:after="0" w:afterAutospacing="0"/>
              <w:rPr>
                <w:rFonts w:ascii="Segoe UI" w:hAnsi="Segoe UI" w:cs="Segoe UI"/>
                <w:sz w:val="14"/>
                <w:szCs w:val="14"/>
              </w:rPr>
            </w:pPr>
            <w:r>
              <w:rPr>
                <w:rFonts w:ascii="Segoe UI" w:eastAsia="Segoe UI" w:hAnsi="Segoe UI" w:cs="Segoe UI"/>
                <w:color w:val="000000"/>
                <w:kern w:val="24"/>
                <w:sz w:val="14"/>
                <w:szCs w:val="14"/>
                <w:lang w:eastAsia="el-GR"/>
              </w:rPr>
              <w:t>Κόστος</w:t>
            </w:r>
            <w:r w:rsidR="00114775" w:rsidRPr="006B4FB1">
              <w:rPr>
                <w:rFonts w:ascii="Segoe UI" w:eastAsia="Segoe UI" w:hAnsi="Segoe UI" w:cs="Segoe UI"/>
                <w:color w:val="000000"/>
                <w:kern w:val="24"/>
                <w:sz w:val="14"/>
                <w:szCs w:val="14"/>
                <w:lang w:eastAsia="el-GR"/>
              </w:rPr>
              <w:t xml:space="preserve"> πιστωτικού κινδύνου (μ.β.)</w:t>
            </w:r>
          </w:p>
        </w:tc>
        <w:tc>
          <w:tcPr>
            <w:tcW w:w="475" w:type="pct"/>
            <w:tcBorders>
              <w:top w:val="nil"/>
              <w:left w:val="nil"/>
              <w:bottom w:val="nil"/>
              <w:right w:val="nil"/>
            </w:tcBorders>
            <w:vAlign w:val="center"/>
          </w:tcPr>
          <w:p w:rsidR="00114775" w:rsidRPr="00114775" w:rsidRDefault="00114775" w:rsidP="00250B3E">
            <w:pPr>
              <w:ind w:right="148"/>
              <w:jc w:val="right"/>
              <w:rPr>
                <w:rFonts w:ascii="Segoe UI" w:eastAsia="Times New Roman" w:hAnsi="Segoe UI" w:cs="Segoe UI"/>
                <w:bCs/>
                <w:color w:val="000000" w:themeColor="text1"/>
                <w:kern w:val="24"/>
                <w:sz w:val="14"/>
                <w:szCs w:val="16"/>
                <w:lang w:eastAsia="el-GR"/>
              </w:rPr>
            </w:pPr>
            <w:r w:rsidRPr="00114775">
              <w:rPr>
                <w:rFonts w:ascii="Segoe UI" w:eastAsia="Times New Roman" w:hAnsi="Segoe UI" w:cs="Segoe UI"/>
                <w:bCs/>
                <w:color w:val="000000" w:themeColor="text1"/>
                <w:kern w:val="24"/>
                <w:sz w:val="14"/>
                <w:szCs w:val="16"/>
                <w:lang w:eastAsia="el-GR"/>
              </w:rPr>
              <w:t>104</w:t>
            </w:r>
          </w:p>
        </w:tc>
        <w:tc>
          <w:tcPr>
            <w:tcW w:w="475" w:type="pct"/>
            <w:tcBorders>
              <w:top w:val="nil"/>
              <w:left w:val="nil"/>
              <w:bottom w:val="nil"/>
              <w:right w:val="nil"/>
            </w:tcBorders>
            <w:vAlign w:val="center"/>
          </w:tcPr>
          <w:p w:rsidR="00114775" w:rsidRPr="00852DA0" w:rsidRDefault="00114775" w:rsidP="003A412B">
            <w:pPr>
              <w:ind w:right="148"/>
              <w:jc w:val="right"/>
              <w:rPr>
                <w:rFonts w:ascii="Segoe UI" w:eastAsia="Times New Roman" w:hAnsi="Segoe UI" w:cs="Segoe UI"/>
                <w:bCs/>
                <w:color w:val="000000" w:themeColor="text1"/>
                <w:kern w:val="24"/>
                <w:sz w:val="14"/>
                <w:szCs w:val="16"/>
                <w:lang w:val="en-US" w:eastAsia="el-GR"/>
              </w:rPr>
            </w:pPr>
            <w:r>
              <w:rPr>
                <w:rFonts w:ascii="Segoe UI" w:eastAsia="Times New Roman" w:hAnsi="Segoe UI" w:cs="Segoe UI"/>
                <w:bCs/>
                <w:color w:val="000000" w:themeColor="text1"/>
                <w:kern w:val="24"/>
                <w:sz w:val="14"/>
                <w:szCs w:val="16"/>
                <w:lang w:eastAsia="el-GR"/>
              </w:rPr>
              <w:t>114</w:t>
            </w:r>
          </w:p>
        </w:tc>
        <w:tc>
          <w:tcPr>
            <w:tcW w:w="475" w:type="pct"/>
            <w:tcBorders>
              <w:top w:val="nil"/>
              <w:left w:val="nil"/>
              <w:bottom w:val="nil"/>
              <w:right w:val="nil"/>
            </w:tcBorders>
            <w:vAlign w:val="center"/>
          </w:tcPr>
          <w:p w:rsidR="00114775" w:rsidRPr="00852DA0" w:rsidRDefault="00114775" w:rsidP="003A412B">
            <w:pPr>
              <w:ind w:right="148"/>
              <w:jc w:val="right"/>
              <w:rPr>
                <w:rFonts w:ascii="Segoe UI" w:eastAsia="Times New Roman" w:hAnsi="Segoe UI" w:cs="Segoe UI"/>
                <w:bCs/>
                <w:color w:val="000000" w:themeColor="text1"/>
                <w:kern w:val="24"/>
                <w:sz w:val="14"/>
                <w:szCs w:val="16"/>
                <w:lang w:val="en-US" w:eastAsia="el-GR"/>
              </w:rPr>
            </w:pPr>
            <w:r>
              <w:rPr>
                <w:rFonts w:ascii="Segoe UI" w:eastAsia="Times New Roman" w:hAnsi="Segoe UI" w:cs="Segoe UI"/>
                <w:bCs/>
                <w:color w:val="000000" w:themeColor="text1"/>
                <w:kern w:val="24"/>
                <w:sz w:val="14"/>
                <w:szCs w:val="16"/>
                <w:lang w:val="en-US" w:eastAsia="el-GR"/>
              </w:rPr>
              <w:t>242</w:t>
            </w:r>
          </w:p>
        </w:tc>
        <w:tc>
          <w:tcPr>
            <w:tcW w:w="475" w:type="pct"/>
            <w:tcBorders>
              <w:top w:val="nil"/>
              <w:left w:val="nil"/>
              <w:bottom w:val="nil"/>
              <w:right w:val="nil"/>
            </w:tcBorders>
            <w:vAlign w:val="center"/>
          </w:tcPr>
          <w:p w:rsidR="00114775" w:rsidRPr="001A39BC" w:rsidRDefault="00114775" w:rsidP="003A412B">
            <w:pPr>
              <w:ind w:right="148"/>
              <w:jc w:val="right"/>
              <w:rPr>
                <w:rFonts w:ascii="Segoe UI" w:eastAsia="Times New Roman" w:hAnsi="Segoe UI" w:cs="Segoe UI"/>
                <w:bCs/>
                <w:color w:val="000000" w:themeColor="text1"/>
                <w:kern w:val="24"/>
                <w:sz w:val="14"/>
                <w:szCs w:val="16"/>
                <w:lang w:eastAsia="el-GR"/>
              </w:rPr>
            </w:pPr>
            <w:r w:rsidRPr="001A39BC">
              <w:rPr>
                <w:rFonts w:ascii="Segoe UI" w:eastAsia="Times New Roman" w:hAnsi="Segoe UI" w:cs="Segoe UI"/>
                <w:bCs/>
                <w:color w:val="000000" w:themeColor="text1"/>
                <w:kern w:val="24"/>
                <w:sz w:val="14"/>
                <w:szCs w:val="16"/>
                <w:lang w:eastAsia="el-GR"/>
              </w:rPr>
              <w:t>10</w:t>
            </w:r>
            <w:r>
              <w:rPr>
                <w:rFonts w:ascii="Segoe UI" w:eastAsia="Times New Roman" w:hAnsi="Segoe UI" w:cs="Segoe UI"/>
                <w:bCs/>
                <w:color w:val="000000" w:themeColor="text1"/>
                <w:kern w:val="24"/>
                <w:sz w:val="14"/>
                <w:szCs w:val="16"/>
                <w:lang w:val="en-US" w:eastAsia="el-GR"/>
              </w:rPr>
              <w:t>4</w:t>
            </w:r>
          </w:p>
        </w:tc>
        <w:tc>
          <w:tcPr>
            <w:tcW w:w="475" w:type="pct"/>
            <w:tcBorders>
              <w:top w:val="nil"/>
              <w:left w:val="nil"/>
              <w:bottom w:val="nil"/>
              <w:right w:val="nil"/>
            </w:tcBorders>
            <w:vAlign w:val="center"/>
          </w:tcPr>
          <w:p w:rsidR="00114775" w:rsidRPr="005610B3" w:rsidRDefault="00114775" w:rsidP="003A412B">
            <w:pPr>
              <w:ind w:right="148"/>
              <w:jc w:val="right"/>
              <w:rPr>
                <w:rFonts w:ascii="Segoe UI" w:eastAsia="Times New Roman" w:hAnsi="Segoe UI" w:cs="Segoe UI"/>
                <w:bCs/>
                <w:color w:val="000000" w:themeColor="text1"/>
                <w:kern w:val="24"/>
                <w:sz w:val="14"/>
                <w:szCs w:val="16"/>
                <w:lang w:eastAsia="el-GR"/>
              </w:rPr>
            </w:pPr>
            <w:r>
              <w:rPr>
                <w:rFonts w:ascii="Segoe UI" w:eastAsia="Times New Roman" w:hAnsi="Segoe UI" w:cs="Segoe UI"/>
                <w:bCs/>
                <w:color w:val="000000" w:themeColor="text1"/>
                <w:kern w:val="24"/>
                <w:sz w:val="14"/>
                <w:szCs w:val="16"/>
                <w:lang w:eastAsia="el-GR"/>
              </w:rPr>
              <w:t>9</w:t>
            </w:r>
            <w:r>
              <w:rPr>
                <w:rFonts w:ascii="Segoe UI" w:eastAsia="Times New Roman" w:hAnsi="Segoe UI" w:cs="Segoe UI"/>
                <w:bCs/>
                <w:color w:val="000000" w:themeColor="text1"/>
                <w:kern w:val="24"/>
                <w:sz w:val="14"/>
                <w:szCs w:val="16"/>
                <w:lang w:val="en-US" w:eastAsia="el-GR"/>
              </w:rPr>
              <w:t>5</w:t>
            </w:r>
            <w:r w:rsidRPr="005610B3">
              <w:rPr>
                <w:rFonts w:ascii="Segoe UI" w:eastAsia="Times New Roman" w:hAnsi="Segoe UI" w:cs="Segoe UI"/>
                <w:bCs/>
                <w:color w:val="000000" w:themeColor="text1"/>
                <w:kern w:val="24"/>
                <w:sz w:val="14"/>
                <w:szCs w:val="16"/>
                <w:lang w:eastAsia="el-GR"/>
              </w:rPr>
              <w:t xml:space="preserve"> </w:t>
            </w:r>
          </w:p>
        </w:tc>
        <w:tc>
          <w:tcPr>
            <w:tcW w:w="473" w:type="pct"/>
            <w:tcBorders>
              <w:top w:val="nil"/>
              <w:left w:val="nil"/>
              <w:bottom w:val="nil"/>
              <w:right w:val="nil"/>
            </w:tcBorders>
            <w:shd w:val="clear" w:color="auto" w:fill="auto"/>
            <w:vAlign w:val="center"/>
          </w:tcPr>
          <w:p w:rsidR="00114775" w:rsidRPr="005610B3" w:rsidRDefault="00114775" w:rsidP="003A412B">
            <w:pPr>
              <w:ind w:right="148"/>
              <w:jc w:val="right"/>
              <w:rPr>
                <w:rFonts w:ascii="Segoe UI" w:eastAsia="Times New Roman" w:hAnsi="Segoe UI" w:cs="Segoe UI"/>
                <w:bCs/>
                <w:color w:val="000000" w:themeColor="text1"/>
                <w:kern w:val="24"/>
                <w:sz w:val="14"/>
                <w:szCs w:val="16"/>
                <w:lang w:eastAsia="el-GR"/>
              </w:rPr>
            </w:pPr>
            <w:r>
              <w:rPr>
                <w:rFonts w:ascii="Segoe UI" w:eastAsia="Times New Roman" w:hAnsi="Segoe UI" w:cs="Segoe UI"/>
                <w:bCs/>
                <w:color w:val="000000" w:themeColor="text1"/>
                <w:kern w:val="24"/>
                <w:sz w:val="14"/>
                <w:szCs w:val="16"/>
                <w:lang w:val="en-US" w:eastAsia="el-GR"/>
              </w:rPr>
              <w:t>239</w:t>
            </w:r>
          </w:p>
        </w:tc>
      </w:tr>
      <w:tr w:rsidR="00114775" w:rsidRPr="006B4FB1" w:rsidTr="00120A78">
        <w:trPr>
          <w:trHeight w:val="227"/>
        </w:trPr>
        <w:tc>
          <w:tcPr>
            <w:tcW w:w="2151" w:type="pct"/>
            <w:tcBorders>
              <w:top w:val="nil"/>
              <w:left w:val="nil"/>
              <w:bottom w:val="nil"/>
              <w:right w:val="nil"/>
            </w:tcBorders>
            <w:shd w:val="clear" w:color="auto" w:fill="auto"/>
            <w:tcMar>
              <w:top w:w="15" w:type="dxa"/>
              <w:left w:w="41" w:type="dxa"/>
              <w:bottom w:w="0" w:type="dxa"/>
              <w:right w:w="15" w:type="dxa"/>
            </w:tcMar>
            <w:vAlign w:val="center"/>
          </w:tcPr>
          <w:p w:rsidR="00114775" w:rsidRPr="00852DA0" w:rsidRDefault="00114775" w:rsidP="00120A78">
            <w:pPr>
              <w:pStyle w:val="NormalWeb"/>
              <w:spacing w:before="0" w:beforeAutospacing="0" w:after="0" w:afterAutospacing="0"/>
              <w:rPr>
                <w:rFonts w:ascii="Segoe UI" w:eastAsia="Segoe UI" w:hAnsi="Segoe UI" w:cs="Segoe UI"/>
                <w:color w:val="000000"/>
                <w:kern w:val="24"/>
                <w:sz w:val="14"/>
                <w:szCs w:val="14"/>
                <w:lang w:eastAsia="el-GR"/>
              </w:rPr>
            </w:pPr>
            <w:r>
              <w:rPr>
                <w:rFonts w:ascii="Segoe UI" w:eastAsia="Segoe UI" w:hAnsi="Segoe UI" w:cs="Segoe UI"/>
                <w:color w:val="000000"/>
                <w:kern w:val="24"/>
                <w:sz w:val="14"/>
                <w:szCs w:val="14"/>
                <w:lang w:eastAsia="el-GR"/>
              </w:rPr>
              <w:t>Περιθώριο οργανικού κέρδους</w:t>
            </w:r>
            <w:r w:rsidR="00120A78" w:rsidRPr="00852DA0">
              <w:rPr>
                <w:rFonts w:ascii="Segoe UI" w:eastAsia="Segoe UI" w:hAnsi="Segoe UI" w:cs="Segoe UI"/>
                <w:color w:val="000000"/>
                <w:kern w:val="24"/>
                <w:sz w:val="14"/>
                <w:szCs w:val="14"/>
                <w:vertAlign w:val="superscript"/>
                <w:lang w:eastAsia="el-GR"/>
              </w:rPr>
              <w:t>2</w:t>
            </w:r>
            <w:r w:rsidR="00120A78">
              <w:rPr>
                <w:rFonts w:ascii="Segoe UI" w:eastAsia="Segoe UI" w:hAnsi="Segoe UI" w:cs="Segoe UI"/>
                <w:color w:val="000000"/>
                <w:kern w:val="24"/>
                <w:sz w:val="14"/>
                <w:szCs w:val="14"/>
                <w:lang w:eastAsia="el-GR"/>
              </w:rPr>
              <w:t xml:space="preserve"> </w:t>
            </w:r>
            <w:r>
              <w:rPr>
                <w:rFonts w:ascii="Segoe UI" w:eastAsia="Segoe UI" w:hAnsi="Segoe UI" w:cs="Segoe UI"/>
                <w:color w:val="000000"/>
                <w:kern w:val="24"/>
                <w:sz w:val="14"/>
                <w:szCs w:val="14"/>
                <w:lang w:eastAsia="el-GR"/>
              </w:rPr>
              <w:t>(μ.β.)</w:t>
            </w:r>
          </w:p>
        </w:tc>
        <w:tc>
          <w:tcPr>
            <w:tcW w:w="475" w:type="pct"/>
            <w:tcBorders>
              <w:top w:val="nil"/>
              <w:left w:val="nil"/>
              <w:bottom w:val="nil"/>
              <w:right w:val="nil"/>
            </w:tcBorders>
            <w:vAlign w:val="center"/>
          </w:tcPr>
          <w:p w:rsidR="00114775" w:rsidRPr="00114775" w:rsidRDefault="00114775" w:rsidP="00250B3E">
            <w:pPr>
              <w:ind w:right="148"/>
              <w:jc w:val="right"/>
              <w:rPr>
                <w:rFonts w:ascii="Segoe UI" w:eastAsia="Times New Roman" w:hAnsi="Segoe UI" w:cs="Segoe UI"/>
                <w:bCs/>
                <w:color w:val="000000" w:themeColor="text1"/>
                <w:kern w:val="24"/>
                <w:sz w:val="14"/>
                <w:szCs w:val="16"/>
                <w:lang w:eastAsia="el-GR"/>
              </w:rPr>
            </w:pPr>
            <w:r w:rsidRPr="00114775">
              <w:rPr>
                <w:rFonts w:ascii="Segoe UI" w:eastAsia="Times New Roman" w:hAnsi="Segoe UI" w:cs="Segoe UI"/>
                <w:bCs/>
                <w:color w:val="000000" w:themeColor="text1"/>
                <w:kern w:val="24"/>
                <w:sz w:val="14"/>
                <w:szCs w:val="16"/>
                <w:lang w:eastAsia="el-GR"/>
              </w:rPr>
              <w:t>16</w:t>
            </w:r>
            <w:r w:rsidR="00120A78">
              <w:rPr>
                <w:rFonts w:ascii="Segoe UI" w:eastAsia="Times New Roman" w:hAnsi="Segoe UI" w:cs="Segoe UI"/>
                <w:bCs/>
                <w:color w:val="000000" w:themeColor="text1"/>
                <w:kern w:val="24"/>
                <w:sz w:val="14"/>
                <w:szCs w:val="16"/>
                <w:lang w:eastAsia="el-GR"/>
              </w:rPr>
              <w:t>7</w:t>
            </w:r>
          </w:p>
        </w:tc>
        <w:tc>
          <w:tcPr>
            <w:tcW w:w="475" w:type="pct"/>
            <w:tcBorders>
              <w:top w:val="nil"/>
              <w:left w:val="nil"/>
              <w:bottom w:val="nil"/>
              <w:right w:val="nil"/>
            </w:tcBorders>
            <w:vAlign w:val="center"/>
          </w:tcPr>
          <w:p w:rsidR="00114775" w:rsidRPr="001C2BAB" w:rsidRDefault="00114775" w:rsidP="003A412B">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eastAsia="el-GR"/>
              </w:rPr>
              <w:t>1</w:t>
            </w:r>
            <w:r>
              <w:rPr>
                <w:rFonts w:ascii="Segoe UI" w:eastAsia="Times New Roman" w:hAnsi="Segoe UI" w:cs="Segoe UI"/>
                <w:bCs/>
                <w:color w:val="000000" w:themeColor="text1"/>
                <w:kern w:val="24"/>
                <w:sz w:val="14"/>
                <w:szCs w:val="16"/>
                <w:lang w:eastAsia="el-GR"/>
              </w:rPr>
              <w:t>42</w:t>
            </w:r>
          </w:p>
        </w:tc>
        <w:tc>
          <w:tcPr>
            <w:tcW w:w="475" w:type="pct"/>
            <w:tcBorders>
              <w:top w:val="nil"/>
              <w:left w:val="nil"/>
              <w:bottom w:val="nil"/>
              <w:right w:val="nil"/>
            </w:tcBorders>
            <w:vAlign w:val="center"/>
          </w:tcPr>
          <w:p w:rsidR="00114775" w:rsidRPr="001C2BAB" w:rsidRDefault="00114775" w:rsidP="003A412B">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eastAsia="el-GR"/>
              </w:rPr>
              <w:t>137</w:t>
            </w:r>
          </w:p>
        </w:tc>
        <w:tc>
          <w:tcPr>
            <w:tcW w:w="475" w:type="pct"/>
            <w:tcBorders>
              <w:top w:val="nil"/>
              <w:left w:val="nil"/>
              <w:bottom w:val="nil"/>
              <w:right w:val="nil"/>
            </w:tcBorders>
            <w:vAlign w:val="center"/>
          </w:tcPr>
          <w:p w:rsidR="00114775" w:rsidRPr="001A39BC" w:rsidRDefault="00114775" w:rsidP="003A412B">
            <w:pPr>
              <w:ind w:right="148"/>
              <w:jc w:val="right"/>
              <w:rPr>
                <w:rFonts w:ascii="Segoe UI" w:eastAsia="Times New Roman" w:hAnsi="Segoe UI" w:cs="Segoe UI"/>
                <w:bCs/>
                <w:color w:val="000000" w:themeColor="text1"/>
                <w:kern w:val="24"/>
                <w:sz w:val="14"/>
                <w:szCs w:val="16"/>
                <w:lang w:eastAsia="el-GR"/>
              </w:rPr>
            </w:pPr>
            <w:r w:rsidRPr="001A39BC">
              <w:rPr>
                <w:rFonts w:ascii="Segoe UI" w:eastAsia="Times New Roman" w:hAnsi="Segoe UI" w:cs="Segoe UI"/>
                <w:bCs/>
                <w:color w:val="000000" w:themeColor="text1"/>
                <w:kern w:val="24"/>
                <w:sz w:val="14"/>
                <w:szCs w:val="16"/>
                <w:lang w:eastAsia="el-GR"/>
              </w:rPr>
              <w:t>133</w:t>
            </w:r>
          </w:p>
        </w:tc>
        <w:tc>
          <w:tcPr>
            <w:tcW w:w="475" w:type="pct"/>
            <w:tcBorders>
              <w:top w:val="nil"/>
              <w:left w:val="nil"/>
              <w:bottom w:val="nil"/>
              <w:right w:val="nil"/>
            </w:tcBorders>
            <w:vAlign w:val="center"/>
          </w:tcPr>
          <w:p w:rsidR="00114775" w:rsidRPr="005610B3" w:rsidRDefault="00114775" w:rsidP="003A412B">
            <w:pPr>
              <w:ind w:right="148"/>
              <w:jc w:val="right"/>
              <w:rPr>
                <w:rFonts w:ascii="Segoe UI" w:eastAsia="Times New Roman" w:hAnsi="Segoe UI" w:cs="Segoe UI"/>
                <w:bCs/>
                <w:color w:val="000000" w:themeColor="text1"/>
                <w:kern w:val="24"/>
                <w:sz w:val="14"/>
                <w:szCs w:val="16"/>
                <w:lang w:eastAsia="el-GR"/>
              </w:rPr>
            </w:pPr>
            <w:r>
              <w:rPr>
                <w:rFonts w:ascii="Segoe UI" w:eastAsia="Times New Roman" w:hAnsi="Segoe UI" w:cs="Segoe UI"/>
                <w:bCs/>
                <w:color w:val="000000" w:themeColor="text1"/>
                <w:kern w:val="24"/>
                <w:sz w:val="14"/>
                <w:szCs w:val="16"/>
                <w:lang w:eastAsia="el-GR"/>
              </w:rPr>
              <w:t>90</w:t>
            </w:r>
          </w:p>
        </w:tc>
        <w:tc>
          <w:tcPr>
            <w:tcW w:w="473" w:type="pct"/>
            <w:tcBorders>
              <w:top w:val="nil"/>
              <w:left w:val="nil"/>
              <w:bottom w:val="nil"/>
              <w:right w:val="nil"/>
            </w:tcBorders>
            <w:shd w:val="clear" w:color="auto" w:fill="auto"/>
            <w:vAlign w:val="center"/>
          </w:tcPr>
          <w:p w:rsidR="00114775" w:rsidRPr="005610B3" w:rsidRDefault="00114775" w:rsidP="003A412B">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92</w:t>
            </w:r>
          </w:p>
        </w:tc>
      </w:tr>
      <w:tr w:rsidR="00207E3A" w:rsidRPr="006B4FB1" w:rsidTr="00120A78">
        <w:trPr>
          <w:trHeight w:val="227"/>
        </w:trPr>
        <w:tc>
          <w:tcPr>
            <w:tcW w:w="2151" w:type="pct"/>
            <w:tcBorders>
              <w:top w:val="nil"/>
              <w:left w:val="nil"/>
              <w:bottom w:val="nil"/>
              <w:right w:val="nil"/>
            </w:tcBorders>
            <w:shd w:val="clear" w:color="auto" w:fill="F2F2F2" w:themeFill="background1" w:themeFillShade="F2"/>
            <w:tcMar>
              <w:top w:w="15" w:type="dxa"/>
              <w:left w:w="41" w:type="dxa"/>
              <w:bottom w:w="0" w:type="dxa"/>
              <w:right w:w="15" w:type="dxa"/>
            </w:tcMar>
            <w:vAlign w:val="center"/>
          </w:tcPr>
          <w:p w:rsidR="00207E3A" w:rsidRPr="001168B2" w:rsidRDefault="00207E3A" w:rsidP="001C2BAB">
            <w:pPr>
              <w:rPr>
                <w:rFonts w:ascii="Segoe UI" w:eastAsia="Times New Roman" w:hAnsi="Segoe UI" w:cs="Segoe UI"/>
                <w:b/>
                <w:bCs/>
                <w:color w:val="000000" w:themeColor="text1"/>
                <w:kern w:val="24"/>
                <w:sz w:val="14"/>
                <w:szCs w:val="14"/>
                <w:lang w:eastAsia="el-GR"/>
              </w:rPr>
            </w:pPr>
            <w:r w:rsidRPr="001168B2">
              <w:rPr>
                <w:rFonts w:ascii="Segoe UI" w:eastAsia="Times New Roman" w:hAnsi="Segoe UI" w:cs="Segoe UI"/>
                <w:b/>
                <w:bCs/>
                <w:color w:val="000000" w:themeColor="text1"/>
                <w:kern w:val="24"/>
                <w:sz w:val="14"/>
                <w:szCs w:val="14"/>
                <w:lang w:eastAsia="el-GR"/>
              </w:rPr>
              <w:t>Ποιότητα δανειακού χαρτοφυλακίου</w:t>
            </w:r>
          </w:p>
        </w:tc>
        <w:tc>
          <w:tcPr>
            <w:tcW w:w="475" w:type="pct"/>
            <w:tcBorders>
              <w:top w:val="nil"/>
              <w:left w:val="nil"/>
              <w:bottom w:val="nil"/>
              <w:right w:val="nil"/>
            </w:tcBorders>
            <w:shd w:val="clear" w:color="auto" w:fill="F2F2F2" w:themeFill="background1" w:themeFillShade="F2"/>
            <w:vAlign w:val="center"/>
          </w:tcPr>
          <w:p w:rsidR="00207E3A" w:rsidRPr="001C2BAB" w:rsidRDefault="00207E3A" w:rsidP="003A412B">
            <w:pPr>
              <w:ind w:right="148"/>
              <w:jc w:val="right"/>
              <w:rPr>
                <w:rFonts w:ascii="Segoe UI" w:eastAsia="Times New Roman" w:hAnsi="Segoe UI" w:cs="Segoe UI"/>
                <w:bCs/>
                <w:color w:val="000000" w:themeColor="text1"/>
                <w:kern w:val="24"/>
                <w:sz w:val="14"/>
                <w:szCs w:val="16"/>
                <w:highlight w:val="yellow"/>
                <w:lang w:eastAsia="el-GR"/>
              </w:rPr>
            </w:pPr>
          </w:p>
        </w:tc>
        <w:tc>
          <w:tcPr>
            <w:tcW w:w="475" w:type="pct"/>
            <w:tcBorders>
              <w:top w:val="nil"/>
              <w:left w:val="nil"/>
              <w:bottom w:val="nil"/>
              <w:right w:val="nil"/>
            </w:tcBorders>
            <w:shd w:val="clear" w:color="auto" w:fill="F2F2F2" w:themeFill="background1" w:themeFillShade="F2"/>
            <w:vAlign w:val="center"/>
          </w:tcPr>
          <w:p w:rsidR="00207E3A" w:rsidRPr="001C2BAB" w:rsidRDefault="00207E3A" w:rsidP="003A412B">
            <w:pPr>
              <w:ind w:right="148"/>
              <w:jc w:val="right"/>
              <w:rPr>
                <w:rFonts w:ascii="Segoe UI" w:eastAsia="Times New Roman" w:hAnsi="Segoe UI" w:cs="Segoe UI"/>
                <w:bCs/>
                <w:color w:val="000000" w:themeColor="text1"/>
                <w:kern w:val="24"/>
                <w:sz w:val="14"/>
                <w:szCs w:val="16"/>
                <w:highlight w:val="yellow"/>
                <w:lang w:eastAsia="el-GR"/>
              </w:rPr>
            </w:pPr>
          </w:p>
        </w:tc>
        <w:tc>
          <w:tcPr>
            <w:tcW w:w="475" w:type="pct"/>
            <w:tcBorders>
              <w:top w:val="nil"/>
              <w:left w:val="nil"/>
              <w:bottom w:val="nil"/>
              <w:right w:val="nil"/>
            </w:tcBorders>
            <w:shd w:val="clear" w:color="auto" w:fill="F2F2F2" w:themeFill="background1" w:themeFillShade="F2"/>
            <w:vAlign w:val="center"/>
          </w:tcPr>
          <w:p w:rsidR="00207E3A" w:rsidRPr="001C2BAB" w:rsidRDefault="00207E3A" w:rsidP="003A412B">
            <w:pPr>
              <w:ind w:right="148"/>
              <w:jc w:val="right"/>
              <w:rPr>
                <w:rFonts w:ascii="Segoe UI" w:eastAsia="Times New Roman" w:hAnsi="Segoe UI" w:cs="Segoe UI"/>
                <w:bCs/>
                <w:color w:val="000000" w:themeColor="text1"/>
                <w:kern w:val="24"/>
                <w:sz w:val="14"/>
                <w:szCs w:val="16"/>
                <w:highlight w:val="yellow"/>
                <w:lang w:eastAsia="el-GR"/>
              </w:rPr>
            </w:pPr>
          </w:p>
        </w:tc>
        <w:tc>
          <w:tcPr>
            <w:tcW w:w="475" w:type="pct"/>
            <w:tcBorders>
              <w:top w:val="nil"/>
              <w:left w:val="nil"/>
              <w:bottom w:val="nil"/>
              <w:right w:val="nil"/>
            </w:tcBorders>
            <w:shd w:val="clear" w:color="auto" w:fill="F2F2F2" w:themeFill="background1" w:themeFillShade="F2"/>
            <w:vAlign w:val="center"/>
          </w:tcPr>
          <w:p w:rsidR="00207E3A" w:rsidRPr="001A39BC" w:rsidRDefault="00207E3A" w:rsidP="003A412B">
            <w:pPr>
              <w:ind w:right="148"/>
              <w:jc w:val="right"/>
              <w:rPr>
                <w:rFonts w:ascii="Segoe UI" w:eastAsia="Times New Roman" w:hAnsi="Segoe UI" w:cs="Segoe UI"/>
                <w:bCs/>
                <w:color w:val="000000" w:themeColor="text1"/>
                <w:kern w:val="24"/>
                <w:sz w:val="14"/>
                <w:szCs w:val="16"/>
                <w:highlight w:val="yellow"/>
                <w:lang w:eastAsia="el-GR"/>
              </w:rPr>
            </w:pPr>
          </w:p>
        </w:tc>
        <w:tc>
          <w:tcPr>
            <w:tcW w:w="475" w:type="pct"/>
            <w:tcBorders>
              <w:top w:val="nil"/>
              <w:left w:val="nil"/>
              <w:bottom w:val="nil"/>
              <w:right w:val="nil"/>
            </w:tcBorders>
            <w:shd w:val="clear" w:color="auto" w:fill="F2F2F2" w:themeFill="background1" w:themeFillShade="F2"/>
            <w:vAlign w:val="center"/>
          </w:tcPr>
          <w:p w:rsidR="00207E3A" w:rsidRPr="005610B3" w:rsidRDefault="00207E3A" w:rsidP="003A412B">
            <w:pPr>
              <w:ind w:right="148"/>
              <w:jc w:val="right"/>
              <w:rPr>
                <w:rFonts w:ascii="Segoe UI" w:eastAsia="Times New Roman" w:hAnsi="Segoe UI" w:cs="Segoe UI"/>
                <w:bCs/>
                <w:color w:val="000000" w:themeColor="text1"/>
                <w:kern w:val="24"/>
                <w:sz w:val="14"/>
                <w:szCs w:val="16"/>
                <w:highlight w:val="yellow"/>
                <w:lang w:eastAsia="el-GR"/>
              </w:rPr>
            </w:pPr>
          </w:p>
        </w:tc>
        <w:tc>
          <w:tcPr>
            <w:tcW w:w="473" w:type="pct"/>
            <w:tcBorders>
              <w:top w:val="nil"/>
              <w:left w:val="nil"/>
              <w:bottom w:val="nil"/>
              <w:right w:val="nil"/>
            </w:tcBorders>
            <w:shd w:val="clear" w:color="auto" w:fill="F2F2F2" w:themeFill="background1" w:themeFillShade="F2"/>
            <w:vAlign w:val="center"/>
          </w:tcPr>
          <w:p w:rsidR="00207E3A" w:rsidRPr="005610B3" w:rsidRDefault="00207E3A" w:rsidP="003A412B">
            <w:pPr>
              <w:ind w:right="148"/>
              <w:jc w:val="right"/>
              <w:rPr>
                <w:rFonts w:ascii="Segoe UI" w:eastAsia="Times New Roman" w:hAnsi="Segoe UI" w:cs="Segoe UI"/>
                <w:bCs/>
                <w:color w:val="000000" w:themeColor="text1"/>
                <w:kern w:val="24"/>
                <w:sz w:val="14"/>
                <w:szCs w:val="16"/>
                <w:lang w:eastAsia="el-GR"/>
              </w:rPr>
            </w:pPr>
          </w:p>
        </w:tc>
      </w:tr>
      <w:tr w:rsidR="00120A78" w:rsidRPr="006B4FB1" w:rsidTr="00120A78">
        <w:trPr>
          <w:trHeight w:val="227"/>
        </w:trPr>
        <w:tc>
          <w:tcPr>
            <w:tcW w:w="2151" w:type="pct"/>
            <w:tcBorders>
              <w:top w:val="nil"/>
              <w:left w:val="nil"/>
              <w:bottom w:val="nil"/>
              <w:right w:val="nil"/>
            </w:tcBorders>
            <w:shd w:val="clear" w:color="auto" w:fill="auto"/>
            <w:tcMar>
              <w:top w:w="15" w:type="dxa"/>
              <w:left w:w="41" w:type="dxa"/>
              <w:bottom w:w="0" w:type="dxa"/>
              <w:right w:w="15" w:type="dxa"/>
            </w:tcMar>
            <w:vAlign w:val="center"/>
            <w:hideMark/>
          </w:tcPr>
          <w:p w:rsidR="00120A78" w:rsidRPr="00C62FEB" w:rsidRDefault="00120A78" w:rsidP="00120A78">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Δείκτης Μη Εξυπηρετούμενων Ανοιγμάτων</w:t>
            </w:r>
          </w:p>
        </w:tc>
        <w:tc>
          <w:tcPr>
            <w:tcW w:w="475" w:type="pct"/>
            <w:tcBorders>
              <w:top w:val="nil"/>
              <w:left w:val="nil"/>
              <w:bottom w:val="nil"/>
              <w:right w:val="nil"/>
            </w:tcBorders>
          </w:tcPr>
          <w:p w:rsidR="00120A78" w:rsidRPr="00120A78" w:rsidRDefault="00120A78" w:rsidP="00B41080">
            <w:pPr>
              <w:ind w:right="148"/>
              <w:jc w:val="right"/>
              <w:rPr>
                <w:rFonts w:ascii="Segoe UI" w:eastAsia="Times New Roman" w:hAnsi="Segoe UI" w:cs="Segoe UI"/>
                <w:bCs/>
                <w:color w:val="000000" w:themeColor="text1"/>
                <w:kern w:val="24"/>
                <w:sz w:val="14"/>
                <w:szCs w:val="14"/>
                <w:lang w:val="en-US" w:eastAsia="el-GR"/>
              </w:rPr>
            </w:pPr>
            <w:r w:rsidRPr="00120A78">
              <w:rPr>
                <w:rFonts w:ascii="Segoe UI" w:eastAsia="Times New Roman" w:hAnsi="Segoe UI" w:cs="Segoe UI"/>
                <w:bCs/>
                <w:color w:val="000000" w:themeColor="text1"/>
                <w:kern w:val="24"/>
                <w:sz w:val="14"/>
                <w:szCs w:val="14"/>
                <w:lang w:eastAsia="el-GR"/>
              </w:rPr>
              <w:t>12</w:t>
            </w:r>
            <w:r w:rsidR="00B41080">
              <w:rPr>
                <w:rFonts w:ascii="Segoe UI" w:eastAsia="Times New Roman" w:hAnsi="Segoe UI" w:cs="Segoe UI"/>
                <w:bCs/>
                <w:color w:val="000000" w:themeColor="text1"/>
                <w:kern w:val="24"/>
                <w:sz w:val="14"/>
                <w:szCs w:val="14"/>
                <w:lang w:eastAsia="el-GR"/>
              </w:rPr>
              <w:t>,</w:t>
            </w:r>
            <w:r w:rsidRPr="00120A78">
              <w:rPr>
                <w:rFonts w:ascii="Segoe UI" w:eastAsia="Times New Roman" w:hAnsi="Segoe UI" w:cs="Segoe UI"/>
                <w:bCs/>
                <w:color w:val="000000" w:themeColor="text1"/>
                <w:kern w:val="24"/>
                <w:sz w:val="14"/>
                <w:szCs w:val="14"/>
                <w:lang w:eastAsia="el-GR"/>
              </w:rPr>
              <w:t>7%</w:t>
            </w:r>
            <w:r w:rsidRPr="00120A78">
              <w:rPr>
                <w:rFonts w:ascii="Segoe UI" w:eastAsia="Times New Roman" w:hAnsi="Segoe UI" w:cs="Segoe UI"/>
                <w:bCs/>
                <w:color w:val="000000" w:themeColor="text1"/>
                <w:kern w:val="24"/>
                <w:sz w:val="14"/>
                <w:szCs w:val="14"/>
                <w:vertAlign w:val="superscript"/>
                <w:lang w:val="en-US" w:eastAsia="el-GR"/>
              </w:rPr>
              <w:t>3</w:t>
            </w:r>
          </w:p>
        </w:tc>
        <w:tc>
          <w:tcPr>
            <w:tcW w:w="475" w:type="pct"/>
            <w:tcBorders>
              <w:top w:val="nil"/>
              <w:left w:val="nil"/>
              <w:bottom w:val="nil"/>
              <w:right w:val="nil"/>
            </w:tcBorders>
            <w:vAlign w:val="center"/>
          </w:tcPr>
          <w:p w:rsidR="00120A78" w:rsidRPr="00F3004F" w:rsidRDefault="00120A78" w:rsidP="00120A78">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eastAsia="el-GR"/>
              </w:rPr>
              <w:t>13</w:t>
            </w:r>
            <w:r>
              <w:rPr>
                <w:rFonts w:ascii="Segoe UI" w:eastAsia="Times New Roman" w:hAnsi="Segoe UI" w:cs="Segoe UI"/>
                <w:bCs/>
                <w:color w:val="000000" w:themeColor="text1"/>
                <w:kern w:val="24"/>
                <w:sz w:val="14"/>
                <w:szCs w:val="16"/>
                <w:lang w:eastAsia="el-GR"/>
              </w:rPr>
              <w:t>,1</w:t>
            </w:r>
            <w:r w:rsidRPr="001C2BAB">
              <w:rPr>
                <w:rFonts w:ascii="Segoe UI" w:eastAsia="Times New Roman" w:hAnsi="Segoe UI" w:cs="Segoe UI"/>
                <w:bCs/>
                <w:color w:val="000000" w:themeColor="text1"/>
                <w:kern w:val="24"/>
                <w:sz w:val="14"/>
                <w:szCs w:val="16"/>
                <w:lang w:eastAsia="el-GR"/>
              </w:rPr>
              <w:t>%</w:t>
            </w:r>
            <w:r>
              <w:rPr>
                <w:rFonts w:ascii="Segoe UI" w:eastAsia="Times New Roman" w:hAnsi="Segoe UI" w:cs="Segoe UI"/>
                <w:bCs/>
                <w:color w:val="000000" w:themeColor="text1"/>
                <w:kern w:val="24"/>
                <w:sz w:val="14"/>
                <w:szCs w:val="16"/>
                <w:vertAlign w:val="superscript"/>
                <w:lang w:eastAsia="el-GR"/>
              </w:rPr>
              <w:t>3</w:t>
            </w:r>
          </w:p>
        </w:tc>
        <w:tc>
          <w:tcPr>
            <w:tcW w:w="475" w:type="pct"/>
            <w:tcBorders>
              <w:top w:val="nil"/>
              <w:left w:val="nil"/>
              <w:bottom w:val="nil"/>
              <w:right w:val="nil"/>
            </w:tcBorders>
            <w:vAlign w:val="center"/>
          </w:tcPr>
          <w:p w:rsidR="00120A78" w:rsidRPr="00F3004F" w:rsidRDefault="00120A78" w:rsidP="00120A78">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eastAsia="el-GR"/>
              </w:rPr>
              <w:t>13</w:t>
            </w:r>
            <w:r>
              <w:rPr>
                <w:rFonts w:ascii="Segoe UI" w:eastAsia="Times New Roman" w:hAnsi="Segoe UI" w:cs="Segoe UI"/>
                <w:bCs/>
                <w:color w:val="000000" w:themeColor="text1"/>
                <w:kern w:val="24"/>
                <w:sz w:val="14"/>
                <w:szCs w:val="16"/>
                <w:lang w:eastAsia="el-GR"/>
              </w:rPr>
              <w:t>,6</w:t>
            </w:r>
            <w:r w:rsidRPr="001C2BAB">
              <w:rPr>
                <w:rFonts w:ascii="Segoe UI" w:eastAsia="Times New Roman" w:hAnsi="Segoe UI" w:cs="Segoe UI"/>
                <w:bCs/>
                <w:color w:val="000000" w:themeColor="text1"/>
                <w:kern w:val="24"/>
                <w:sz w:val="14"/>
                <w:szCs w:val="16"/>
                <w:lang w:eastAsia="el-GR"/>
              </w:rPr>
              <w:t>%</w:t>
            </w:r>
            <w:r>
              <w:rPr>
                <w:rFonts w:ascii="Segoe UI" w:eastAsia="Times New Roman" w:hAnsi="Segoe UI" w:cs="Segoe UI"/>
                <w:bCs/>
                <w:color w:val="000000" w:themeColor="text1"/>
                <w:kern w:val="24"/>
                <w:sz w:val="14"/>
                <w:szCs w:val="16"/>
                <w:vertAlign w:val="superscript"/>
                <w:lang w:eastAsia="el-GR"/>
              </w:rPr>
              <w:t>3</w:t>
            </w:r>
          </w:p>
        </w:tc>
        <w:tc>
          <w:tcPr>
            <w:tcW w:w="475" w:type="pct"/>
            <w:tcBorders>
              <w:top w:val="nil"/>
              <w:left w:val="nil"/>
              <w:bottom w:val="nil"/>
              <w:right w:val="nil"/>
            </w:tcBorders>
            <w:vAlign w:val="center"/>
          </w:tcPr>
          <w:p w:rsidR="00120A78" w:rsidRPr="001A39BC" w:rsidRDefault="00120A78" w:rsidP="00120A78">
            <w:pPr>
              <w:ind w:right="148"/>
              <w:jc w:val="right"/>
              <w:rPr>
                <w:rFonts w:ascii="Segoe UI" w:eastAsia="Times New Roman" w:hAnsi="Segoe UI" w:cs="Segoe UI"/>
                <w:bCs/>
                <w:color w:val="000000" w:themeColor="text1"/>
                <w:kern w:val="24"/>
                <w:sz w:val="14"/>
                <w:szCs w:val="16"/>
                <w:lang w:eastAsia="el-GR"/>
              </w:rPr>
            </w:pPr>
            <w:r w:rsidRPr="001A39BC">
              <w:rPr>
                <w:rFonts w:ascii="Segoe UI" w:eastAsia="Times New Roman" w:hAnsi="Segoe UI" w:cs="Segoe UI"/>
                <w:bCs/>
                <w:color w:val="000000" w:themeColor="text1"/>
                <w:kern w:val="24"/>
                <w:sz w:val="14"/>
                <w:szCs w:val="16"/>
                <w:lang w:eastAsia="el-GR"/>
              </w:rPr>
              <w:t>29</w:t>
            </w:r>
            <w:r>
              <w:rPr>
                <w:rFonts w:ascii="Segoe UI" w:eastAsia="Times New Roman" w:hAnsi="Segoe UI" w:cs="Segoe UI"/>
                <w:bCs/>
                <w:color w:val="000000" w:themeColor="text1"/>
                <w:kern w:val="24"/>
                <w:sz w:val="14"/>
                <w:szCs w:val="16"/>
                <w:lang w:eastAsia="el-GR"/>
              </w:rPr>
              <w:t>,</w:t>
            </w:r>
            <w:r w:rsidRPr="001A39BC">
              <w:rPr>
                <w:rFonts w:ascii="Segoe UI" w:eastAsia="Times New Roman" w:hAnsi="Segoe UI" w:cs="Segoe UI"/>
                <w:bCs/>
                <w:color w:val="000000" w:themeColor="text1"/>
                <w:kern w:val="24"/>
                <w:sz w:val="14"/>
                <w:szCs w:val="16"/>
                <w:lang w:eastAsia="el-GR"/>
              </w:rPr>
              <w:t>3%</w:t>
            </w:r>
          </w:p>
        </w:tc>
        <w:tc>
          <w:tcPr>
            <w:tcW w:w="475" w:type="pct"/>
            <w:tcBorders>
              <w:top w:val="nil"/>
              <w:left w:val="nil"/>
              <w:bottom w:val="nil"/>
              <w:right w:val="nil"/>
            </w:tcBorders>
            <w:vAlign w:val="center"/>
          </w:tcPr>
          <w:p w:rsidR="00120A78" w:rsidRPr="005610B3" w:rsidRDefault="00120A78" w:rsidP="00120A78">
            <w:pPr>
              <w:ind w:right="148"/>
              <w:jc w:val="right"/>
              <w:rPr>
                <w:rFonts w:ascii="Segoe UI" w:eastAsia="Times New Roman" w:hAnsi="Segoe UI" w:cs="Segoe UI"/>
                <w:bCs/>
                <w:color w:val="000000" w:themeColor="text1"/>
                <w:kern w:val="24"/>
                <w:sz w:val="14"/>
                <w:szCs w:val="16"/>
                <w:lang w:eastAsia="el-GR"/>
              </w:rPr>
            </w:pPr>
            <w:r>
              <w:rPr>
                <w:rFonts w:ascii="Segoe UI" w:eastAsia="Times New Roman" w:hAnsi="Segoe UI" w:cs="Segoe UI"/>
                <w:bCs/>
                <w:color w:val="000000" w:themeColor="text1"/>
                <w:kern w:val="24"/>
                <w:sz w:val="14"/>
                <w:szCs w:val="16"/>
                <w:lang w:val="en-US" w:eastAsia="el-GR"/>
              </w:rPr>
              <w:t>29</w:t>
            </w:r>
            <w:r>
              <w:rPr>
                <w:rFonts w:ascii="Segoe UI" w:eastAsia="Times New Roman" w:hAnsi="Segoe UI" w:cs="Segoe UI"/>
                <w:bCs/>
                <w:color w:val="000000" w:themeColor="text1"/>
                <w:kern w:val="24"/>
                <w:sz w:val="14"/>
                <w:szCs w:val="16"/>
                <w:lang w:eastAsia="el-GR"/>
              </w:rPr>
              <w:t>,</w:t>
            </w:r>
            <w:r>
              <w:rPr>
                <w:rFonts w:ascii="Segoe UI" w:eastAsia="Times New Roman" w:hAnsi="Segoe UI" w:cs="Segoe UI"/>
                <w:bCs/>
                <w:color w:val="000000" w:themeColor="text1"/>
                <w:kern w:val="24"/>
                <w:sz w:val="14"/>
                <w:szCs w:val="16"/>
                <w:lang w:val="en-US" w:eastAsia="el-GR"/>
              </w:rPr>
              <w:t>9</w:t>
            </w:r>
            <w:r w:rsidRPr="005610B3">
              <w:rPr>
                <w:rFonts w:ascii="Segoe UI" w:eastAsia="Times New Roman" w:hAnsi="Segoe UI" w:cs="Segoe UI"/>
                <w:bCs/>
                <w:color w:val="000000" w:themeColor="text1"/>
                <w:kern w:val="24"/>
                <w:sz w:val="14"/>
                <w:szCs w:val="16"/>
                <w:lang w:eastAsia="el-GR"/>
              </w:rPr>
              <w:t>%</w:t>
            </w:r>
          </w:p>
        </w:tc>
        <w:tc>
          <w:tcPr>
            <w:tcW w:w="473" w:type="pct"/>
            <w:tcBorders>
              <w:top w:val="nil"/>
              <w:left w:val="nil"/>
              <w:bottom w:val="nil"/>
              <w:right w:val="nil"/>
            </w:tcBorders>
            <w:shd w:val="clear" w:color="auto" w:fill="auto"/>
            <w:vAlign w:val="center"/>
          </w:tcPr>
          <w:p w:rsidR="00120A78" w:rsidRPr="005610B3" w:rsidRDefault="00120A78" w:rsidP="00120A78">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30</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8%</w:t>
            </w:r>
          </w:p>
        </w:tc>
      </w:tr>
      <w:tr w:rsidR="00120A78" w:rsidRPr="006B4FB1" w:rsidTr="00120A78">
        <w:trPr>
          <w:trHeight w:val="227"/>
        </w:trPr>
        <w:tc>
          <w:tcPr>
            <w:tcW w:w="2151" w:type="pct"/>
            <w:tcBorders>
              <w:top w:val="nil"/>
              <w:left w:val="nil"/>
              <w:bottom w:val="nil"/>
              <w:right w:val="nil"/>
            </w:tcBorders>
            <w:shd w:val="clear" w:color="auto" w:fill="auto"/>
            <w:tcMar>
              <w:top w:w="15" w:type="dxa"/>
              <w:left w:w="41" w:type="dxa"/>
              <w:bottom w:w="0" w:type="dxa"/>
              <w:right w:w="15" w:type="dxa"/>
            </w:tcMar>
            <w:vAlign w:val="center"/>
            <w:hideMark/>
          </w:tcPr>
          <w:p w:rsidR="00120A78" w:rsidRPr="00C62FEB" w:rsidRDefault="00120A78" w:rsidP="00120A78">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Δείκτης κάλυψης Μη Εξυπηρετούμενων Ανοιγμάτων</w:t>
            </w:r>
          </w:p>
        </w:tc>
        <w:tc>
          <w:tcPr>
            <w:tcW w:w="475" w:type="pct"/>
            <w:tcBorders>
              <w:top w:val="nil"/>
              <w:left w:val="nil"/>
              <w:bottom w:val="nil"/>
              <w:right w:val="nil"/>
            </w:tcBorders>
          </w:tcPr>
          <w:p w:rsidR="00120A78" w:rsidRPr="00120A78" w:rsidRDefault="00120A78" w:rsidP="00B41080">
            <w:pPr>
              <w:ind w:right="148"/>
              <w:jc w:val="right"/>
              <w:rPr>
                <w:rFonts w:ascii="Segoe UI" w:eastAsia="Times New Roman" w:hAnsi="Segoe UI" w:cs="Segoe UI"/>
                <w:bCs/>
                <w:color w:val="000000" w:themeColor="text1"/>
                <w:kern w:val="24"/>
                <w:sz w:val="14"/>
                <w:szCs w:val="14"/>
                <w:lang w:eastAsia="el-GR"/>
              </w:rPr>
            </w:pPr>
            <w:r w:rsidRPr="00120A78">
              <w:rPr>
                <w:rFonts w:ascii="Segoe UI" w:eastAsia="Times New Roman" w:hAnsi="Segoe UI" w:cs="Segoe UI"/>
                <w:bCs/>
                <w:color w:val="000000" w:themeColor="text1"/>
                <w:kern w:val="24"/>
                <w:sz w:val="14"/>
                <w:szCs w:val="14"/>
                <w:lang w:eastAsia="el-GR"/>
              </w:rPr>
              <w:t>66</w:t>
            </w:r>
            <w:r w:rsidR="00B41080">
              <w:rPr>
                <w:rFonts w:ascii="Segoe UI" w:eastAsia="Times New Roman" w:hAnsi="Segoe UI" w:cs="Segoe UI"/>
                <w:bCs/>
                <w:color w:val="000000" w:themeColor="text1"/>
                <w:kern w:val="24"/>
                <w:sz w:val="14"/>
                <w:szCs w:val="14"/>
                <w:lang w:eastAsia="el-GR"/>
              </w:rPr>
              <w:t>,</w:t>
            </w:r>
            <w:r w:rsidRPr="00120A78">
              <w:rPr>
                <w:rFonts w:ascii="Segoe UI" w:eastAsia="Times New Roman" w:hAnsi="Segoe UI" w:cs="Segoe UI"/>
                <w:bCs/>
                <w:color w:val="000000" w:themeColor="text1"/>
                <w:kern w:val="24"/>
                <w:sz w:val="14"/>
                <w:szCs w:val="14"/>
                <w:lang w:eastAsia="el-GR"/>
              </w:rPr>
              <w:t>8%</w:t>
            </w:r>
          </w:p>
        </w:tc>
        <w:tc>
          <w:tcPr>
            <w:tcW w:w="475" w:type="pct"/>
            <w:tcBorders>
              <w:top w:val="nil"/>
              <w:left w:val="nil"/>
              <w:bottom w:val="nil"/>
              <w:right w:val="nil"/>
            </w:tcBorders>
            <w:vAlign w:val="center"/>
          </w:tcPr>
          <w:p w:rsidR="00120A78" w:rsidRPr="001C2BAB" w:rsidRDefault="00120A78" w:rsidP="00120A78">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eastAsia="el-GR"/>
              </w:rPr>
              <w:t>6</w:t>
            </w:r>
            <w:r>
              <w:rPr>
                <w:rFonts w:ascii="Segoe UI" w:eastAsia="Times New Roman" w:hAnsi="Segoe UI" w:cs="Segoe UI"/>
                <w:bCs/>
                <w:color w:val="000000" w:themeColor="text1"/>
                <w:kern w:val="24"/>
                <w:sz w:val="14"/>
                <w:szCs w:val="16"/>
                <w:lang w:eastAsia="el-GR"/>
              </w:rPr>
              <w:t>5,2</w:t>
            </w:r>
            <w:r w:rsidRPr="001C2BAB">
              <w:rPr>
                <w:rFonts w:ascii="Segoe UI" w:eastAsia="Times New Roman" w:hAnsi="Segoe UI" w:cs="Segoe UI"/>
                <w:bCs/>
                <w:color w:val="000000" w:themeColor="text1"/>
                <w:kern w:val="24"/>
                <w:sz w:val="14"/>
                <w:szCs w:val="16"/>
                <w:lang w:eastAsia="el-GR"/>
              </w:rPr>
              <w:t>%</w:t>
            </w:r>
          </w:p>
        </w:tc>
        <w:tc>
          <w:tcPr>
            <w:tcW w:w="475" w:type="pct"/>
            <w:tcBorders>
              <w:top w:val="nil"/>
              <w:left w:val="nil"/>
              <w:bottom w:val="nil"/>
              <w:right w:val="nil"/>
            </w:tcBorders>
            <w:vAlign w:val="center"/>
          </w:tcPr>
          <w:p w:rsidR="00120A78" w:rsidRPr="001C2BAB" w:rsidRDefault="00120A78" w:rsidP="00120A78">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eastAsia="el-GR"/>
              </w:rPr>
              <w:t>63</w:t>
            </w:r>
            <w:r>
              <w:rPr>
                <w:rFonts w:ascii="Segoe UI" w:eastAsia="Times New Roman" w:hAnsi="Segoe UI" w:cs="Segoe UI"/>
                <w:bCs/>
                <w:color w:val="000000" w:themeColor="text1"/>
                <w:kern w:val="24"/>
                <w:sz w:val="14"/>
                <w:szCs w:val="16"/>
                <w:lang w:eastAsia="el-GR"/>
              </w:rPr>
              <w:t>,</w:t>
            </w:r>
            <w:r w:rsidRPr="001C2BAB">
              <w:rPr>
                <w:rFonts w:ascii="Segoe UI" w:eastAsia="Times New Roman" w:hAnsi="Segoe UI" w:cs="Segoe UI"/>
                <w:bCs/>
                <w:color w:val="000000" w:themeColor="text1"/>
                <w:kern w:val="24"/>
                <w:sz w:val="14"/>
                <w:szCs w:val="16"/>
                <w:lang w:eastAsia="el-GR"/>
              </w:rPr>
              <w:t>3%</w:t>
            </w:r>
          </w:p>
        </w:tc>
        <w:tc>
          <w:tcPr>
            <w:tcW w:w="475" w:type="pct"/>
            <w:tcBorders>
              <w:top w:val="nil"/>
              <w:left w:val="nil"/>
              <w:bottom w:val="nil"/>
              <w:right w:val="nil"/>
            </w:tcBorders>
            <w:vAlign w:val="center"/>
          </w:tcPr>
          <w:p w:rsidR="00120A78" w:rsidRPr="001A39BC" w:rsidRDefault="00120A78" w:rsidP="00120A78">
            <w:pPr>
              <w:ind w:right="148"/>
              <w:jc w:val="right"/>
              <w:rPr>
                <w:rFonts w:ascii="Segoe UI" w:eastAsia="Times New Roman" w:hAnsi="Segoe UI" w:cs="Segoe UI"/>
                <w:bCs/>
                <w:color w:val="000000" w:themeColor="text1"/>
                <w:kern w:val="24"/>
                <w:sz w:val="14"/>
                <w:szCs w:val="16"/>
                <w:lang w:eastAsia="el-GR"/>
              </w:rPr>
            </w:pPr>
            <w:r w:rsidRPr="001A39BC">
              <w:rPr>
                <w:rFonts w:ascii="Segoe UI" w:eastAsia="Times New Roman" w:hAnsi="Segoe UI" w:cs="Segoe UI"/>
                <w:bCs/>
                <w:color w:val="000000" w:themeColor="text1"/>
                <w:kern w:val="24"/>
                <w:sz w:val="14"/>
                <w:szCs w:val="16"/>
                <w:lang w:eastAsia="el-GR"/>
              </w:rPr>
              <w:t>56</w:t>
            </w:r>
            <w:r>
              <w:rPr>
                <w:rFonts w:ascii="Segoe UI" w:eastAsia="Times New Roman" w:hAnsi="Segoe UI" w:cs="Segoe UI"/>
                <w:bCs/>
                <w:color w:val="000000" w:themeColor="text1"/>
                <w:kern w:val="24"/>
                <w:sz w:val="14"/>
                <w:szCs w:val="16"/>
                <w:lang w:eastAsia="el-GR"/>
              </w:rPr>
              <w:t>,</w:t>
            </w:r>
            <w:r w:rsidRPr="001A39BC">
              <w:rPr>
                <w:rFonts w:ascii="Segoe UI" w:eastAsia="Times New Roman" w:hAnsi="Segoe UI" w:cs="Segoe UI"/>
                <w:bCs/>
                <w:color w:val="000000" w:themeColor="text1"/>
                <w:kern w:val="24"/>
                <w:sz w:val="14"/>
                <w:szCs w:val="16"/>
                <w:lang w:eastAsia="el-GR"/>
              </w:rPr>
              <w:t>7%</w:t>
            </w:r>
          </w:p>
        </w:tc>
        <w:tc>
          <w:tcPr>
            <w:tcW w:w="475" w:type="pct"/>
            <w:tcBorders>
              <w:top w:val="nil"/>
              <w:left w:val="nil"/>
              <w:bottom w:val="nil"/>
              <w:right w:val="nil"/>
            </w:tcBorders>
            <w:vAlign w:val="center"/>
          </w:tcPr>
          <w:p w:rsidR="00120A78" w:rsidRPr="005610B3" w:rsidRDefault="00120A78" w:rsidP="00120A78">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57</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2%</w:t>
            </w:r>
          </w:p>
        </w:tc>
        <w:tc>
          <w:tcPr>
            <w:tcW w:w="473" w:type="pct"/>
            <w:tcBorders>
              <w:top w:val="nil"/>
              <w:left w:val="nil"/>
              <w:bottom w:val="nil"/>
              <w:right w:val="nil"/>
            </w:tcBorders>
            <w:shd w:val="clear" w:color="auto" w:fill="auto"/>
            <w:vAlign w:val="center"/>
          </w:tcPr>
          <w:p w:rsidR="00120A78" w:rsidRPr="005610B3" w:rsidRDefault="00120A78" w:rsidP="00120A78">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56</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2%</w:t>
            </w:r>
          </w:p>
        </w:tc>
      </w:tr>
      <w:tr w:rsidR="00120A78" w:rsidRPr="006B4FB1" w:rsidTr="00120A78">
        <w:trPr>
          <w:trHeight w:val="227"/>
        </w:trPr>
        <w:tc>
          <w:tcPr>
            <w:tcW w:w="2151" w:type="pct"/>
            <w:tcBorders>
              <w:top w:val="nil"/>
              <w:left w:val="nil"/>
              <w:bottom w:val="nil"/>
              <w:right w:val="nil"/>
            </w:tcBorders>
            <w:shd w:val="clear" w:color="auto" w:fill="F2F2F2" w:themeFill="background1" w:themeFillShade="F2"/>
            <w:tcMar>
              <w:top w:w="15" w:type="dxa"/>
              <w:left w:w="41" w:type="dxa"/>
              <w:bottom w:w="0" w:type="dxa"/>
              <w:right w:w="15" w:type="dxa"/>
            </w:tcMar>
            <w:vAlign w:val="center"/>
          </w:tcPr>
          <w:p w:rsidR="00120A78" w:rsidRPr="00FE75EA" w:rsidRDefault="00120A78" w:rsidP="00120A78">
            <w:pPr>
              <w:rPr>
                <w:rFonts w:ascii="Segoe UI" w:eastAsia="Times New Roman" w:hAnsi="Segoe UI" w:cs="Segoe UI"/>
                <w:b/>
                <w:bCs/>
                <w:color w:val="000000" w:themeColor="text1"/>
                <w:kern w:val="24"/>
                <w:sz w:val="14"/>
                <w:szCs w:val="14"/>
                <w:lang w:eastAsia="el-GR"/>
              </w:rPr>
            </w:pPr>
            <w:r w:rsidRPr="00FE75EA">
              <w:rPr>
                <w:rFonts w:ascii="Segoe UI" w:eastAsia="Times New Roman" w:hAnsi="Segoe UI" w:cs="Segoe UI"/>
                <w:b/>
                <w:bCs/>
                <w:color w:val="000000" w:themeColor="text1"/>
                <w:kern w:val="24"/>
                <w:sz w:val="14"/>
                <w:szCs w:val="14"/>
                <w:lang w:eastAsia="el-GR"/>
              </w:rPr>
              <w:t>Κεφαλαιακή επάρκεια</w:t>
            </w:r>
          </w:p>
        </w:tc>
        <w:tc>
          <w:tcPr>
            <w:tcW w:w="475" w:type="pct"/>
            <w:tcBorders>
              <w:top w:val="nil"/>
              <w:left w:val="nil"/>
              <w:bottom w:val="nil"/>
              <w:right w:val="nil"/>
            </w:tcBorders>
            <w:shd w:val="clear" w:color="auto" w:fill="F2F2F2" w:themeFill="background1" w:themeFillShade="F2"/>
          </w:tcPr>
          <w:p w:rsidR="00120A78" w:rsidRPr="00120A78" w:rsidRDefault="00120A78" w:rsidP="00120A78">
            <w:pPr>
              <w:ind w:right="148"/>
              <w:jc w:val="right"/>
              <w:rPr>
                <w:rFonts w:ascii="Segoe UI" w:eastAsia="Times New Roman" w:hAnsi="Segoe UI" w:cs="Segoe UI"/>
                <w:bCs/>
                <w:color w:val="000000" w:themeColor="text1"/>
                <w:kern w:val="24"/>
                <w:sz w:val="14"/>
                <w:szCs w:val="14"/>
                <w:lang w:eastAsia="el-GR"/>
              </w:rPr>
            </w:pPr>
          </w:p>
        </w:tc>
        <w:tc>
          <w:tcPr>
            <w:tcW w:w="475" w:type="pct"/>
            <w:tcBorders>
              <w:top w:val="nil"/>
              <w:left w:val="nil"/>
              <w:bottom w:val="nil"/>
              <w:right w:val="nil"/>
            </w:tcBorders>
            <w:shd w:val="clear" w:color="auto" w:fill="F2F2F2" w:themeFill="background1" w:themeFillShade="F2"/>
            <w:vAlign w:val="center"/>
          </w:tcPr>
          <w:p w:rsidR="00120A78" w:rsidRPr="001C2BAB" w:rsidRDefault="00120A78" w:rsidP="00120A78">
            <w:pPr>
              <w:ind w:right="148"/>
              <w:jc w:val="right"/>
              <w:rPr>
                <w:rFonts w:ascii="Segoe UI" w:eastAsia="Times New Roman" w:hAnsi="Segoe UI" w:cs="Segoe UI"/>
                <w:bCs/>
                <w:color w:val="000000" w:themeColor="text1"/>
                <w:kern w:val="24"/>
                <w:sz w:val="14"/>
                <w:szCs w:val="16"/>
                <w:lang w:eastAsia="el-GR"/>
              </w:rPr>
            </w:pPr>
          </w:p>
        </w:tc>
        <w:tc>
          <w:tcPr>
            <w:tcW w:w="475" w:type="pct"/>
            <w:tcBorders>
              <w:top w:val="nil"/>
              <w:left w:val="nil"/>
              <w:bottom w:val="nil"/>
              <w:right w:val="nil"/>
            </w:tcBorders>
            <w:shd w:val="clear" w:color="auto" w:fill="F2F2F2" w:themeFill="background1" w:themeFillShade="F2"/>
            <w:vAlign w:val="center"/>
          </w:tcPr>
          <w:p w:rsidR="00120A78" w:rsidRPr="001C2BAB" w:rsidRDefault="00120A78" w:rsidP="00120A78">
            <w:pPr>
              <w:ind w:right="148"/>
              <w:jc w:val="right"/>
              <w:rPr>
                <w:rFonts w:ascii="Segoe UI" w:eastAsia="Times New Roman" w:hAnsi="Segoe UI" w:cs="Segoe UI"/>
                <w:bCs/>
                <w:color w:val="000000" w:themeColor="text1"/>
                <w:kern w:val="24"/>
                <w:sz w:val="14"/>
                <w:szCs w:val="16"/>
                <w:lang w:eastAsia="el-GR"/>
              </w:rPr>
            </w:pPr>
          </w:p>
        </w:tc>
        <w:tc>
          <w:tcPr>
            <w:tcW w:w="475" w:type="pct"/>
            <w:tcBorders>
              <w:top w:val="nil"/>
              <w:left w:val="nil"/>
              <w:bottom w:val="nil"/>
              <w:right w:val="nil"/>
            </w:tcBorders>
            <w:shd w:val="clear" w:color="auto" w:fill="F2F2F2" w:themeFill="background1" w:themeFillShade="F2"/>
            <w:vAlign w:val="center"/>
          </w:tcPr>
          <w:p w:rsidR="00120A78" w:rsidRPr="001A39BC" w:rsidRDefault="00120A78" w:rsidP="00120A78">
            <w:pPr>
              <w:ind w:right="148"/>
              <w:jc w:val="right"/>
              <w:rPr>
                <w:rFonts w:ascii="Segoe UI" w:eastAsia="Times New Roman" w:hAnsi="Segoe UI" w:cs="Segoe UI"/>
                <w:bCs/>
                <w:color w:val="000000" w:themeColor="text1"/>
                <w:kern w:val="24"/>
                <w:sz w:val="14"/>
                <w:szCs w:val="16"/>
                <w:highlight w:val="yellow"/>
                <w:lang w:eastAsia="el-GR"/>
              </w:rPr>
            </w:pPr>
          </w:p>
        </w:tc>
        <w:tc>
          <w:tcPr>
            <w:tcW w:w="475" w:type="pct"/>
            <w:tcBorders>
              <w:top w:val="nil"/>
              <w:left w:val="nil"/>
              <w:bottom w:val="nil"/>
              <w:right w:val="nil"/>
            </w:tcBorders>
            <w:shd w:val="clear" w:color="auto" w:fill="F2F2F2" w:themeFill="background1" w:themeFillShade="F2"/>
            <w:vAlign w:val="center"/>
          </w:tcPr>
          <w:p w:rsidR="00120A78" w:rsidRPr="005610B3" w:rsidRDefault="00120A78" w:rsidP="00120A78">
            <w:pPr>
              <w:ind w:right="148"/>
              <w:jc w:val="right"/>
              <w:rPr>
                <w:rFonts w:ascii="Segoe UI" w:eastAsia="Times New Roman" w:hAnsi="Segoe UI" w:cs="Segoe UI"/>
                <w:bCs/>
                <w:color w:val="000000" w:themeColor="text1"/>
                <w:kern w:val="24"/>
                <w:sz w:val="14"/>
                <w:szCs w:val="16"/>
                <w:highlight w:val="yellow"/>
                <w:lang w:eastAsia="el-GR"/>
              </w:rPr>
            </w:pPr>
          </w:p>
        </w:tc>
        <w:tc>
          <w:tcPr>
            <w:tcW w:w="473" w:type="pct"/>
            <w:tcBorders>
              <w:top w:val="nil"/>
              <w:left w:val="nil"/>
              <w:bottom w:val="nil"/>
              <w:right w:val="nil"/>
            </w:tcBorders>
            <w:shd w:val="clear" w:color="auto" w:fill="F2F2F2" w:themeFill="background1" w:themeFillShade="F2"/>
            <w:vAlign w:val="center"/>
          </w:tcPr>
          <w:p w:rsidR="00120A78" w:rsidRPr="005610B3" w:rsidRDefault="00120A78" w:rsidP="00120A78">
            <w:pPr>
              <w:ind w:right="148"/>
              <w:jc w:val="right"/>
              <w:rPr>
                <w:rFonts w:ascii="Segoe UI" w:eastAsia="Times New Roman" w:hAnsi="Segoe UI" w:cs="Segoe UI"/>
                <w:bCs/>
                <w:color w:val="000000" w:themeColor="text1"/>
                <w:kern w:val="24"/>
                <w:sz w:val="14"/>
                <w:szCs w:val="16"/>
                <w:lang w:eastAsia="el-GR"/>
              </w:rPr>
            </w:pPr>
          </w:p>
        </w:tc>
      </w:tr>
      <w:tr w:rsidR="00120A78" w:rsidRPr="006B4FB1" w:rsidTr="00120A78">
        <w:trPr>
          <w:trHeight w:val="227"/>
        </w:trPr>
        <w:tc>
          <w:tcPr>
            <w:tcW w:w="2151" w:type="pct"/>
            <w:tcBorders>
              <w:top w:val="nil"/>
              <w:left w:val="nil"/>
              <w:right w:val="nil"/>
            </w:tcBorders>
            <w:shd w:val="clear" w:color="auto" w:fill="auto"/>
            <w:tcMar>
              <w:top w:w="15" w:type="dxa"/>
              <w:left w:w="41" w:type="dxa"/>
              <w:bottom w:w="0" w:type="dxa"/>
              <w:right w:w="15" w:type="dxa"/>
            </w:tcMar>
            <w:vAlign w:val="center"/>
            <w:hideMark/>
          </w:tcPr>
          <w:p w:rsidR="00120A78" w:rsidRPr="00C62FEB" w:rsidRDefault="00120A78" w:rsidP="00120A78">
            <w:pPr>
              <w:textAlignment w:val="center"/>
              <w:rPr>
                <w:rFonts w:ascii="Segoe UI" w:eastAsia="Times New Roman" w:hAnsi="Segoe UI" w:cs="Segoe UI"/>
                <w:sz w:val="14"/>
                <w:szCs w:val="14"/>
                <w:lang w:val="en-US" w:eastAsia="el-GR"/>
              </w:rPr>
            </w:pPr>
            <w:r w:rsidRPr="00C62FEB">
              <w:rPr>
                <w:rFonts w:ascii="Segoe UI" w:eastAsia="Segoe UI" w:hAnsi="Segoe UI" w:cs="Segoe UI"/>
                <w:color w:val="000000"/>
                <w:kern w:val="24"/>
                <w:sz w:val="14"/>
                <w:szCs w:val="14"/>
                <w:lang w:eastAsia="el-GR"/>
              </w:rPr>
              <w:t xml:space="preserve">Δείκτης </w:t>
            </w:r>
            <w:r w:rsidRPr="00C62FEB">
              <w:rPr>
                <w:rFonts w:ascii="Segoe UI" w:eastAsia="Segoe UI" w:hAnsi="Segoe UI" w:cs="Segoe UI"/>
                <w:color w:val="000000"/>
                <w:kern w:val="24"/>
                <w:sz w:val="14"/>
                <w:szCs w:val="14"/>
                <w:lang w:val="en-US" w:eastAsia="el-GR"/>
              </w:rPr>
              <w:t>CET</w:t>
            </w:r>
            <w:r w:rsidRPr="00C62FEB">
              <w:rPr>
                <w:rFonts w:ascii="Segoe UI" w:eastAsia="Segoe UI" w:hAnsi="Segoe UI" w:cs="Segoe UI"/>
                <w:color w:val="000000"/>
                <w:kern w:val="24"/>
                <w:sz w:val="14"/>
                <w:szCs w:val="14"/>
                <w:lang w:eastAsia="el-GR"/>
              </w:rPr>
              <w:t>1</w:t>
            </w:r>
          </w:p>
        </w:tc>
        <w:tc>
          <w:tcPr>
            <w:tcW w:w="475" w:type="pct"/>
            <w:tcBorders>
              <w:top w:val="nil"/>
              <w:left w:val="nil"/>
              <w:right w:val="nil"/>
            </w:tcBorders>
          </w:tcPr>
          <w:p w:rsidR="00120A78" w:rsidRPr="00120A78" w:rsidRDefault="00120A78" w:rsidP="00B41080">
            <w:pPr>
              <w:ind w:right="148"/>
              <w:jc w:val="right"/>
              <w:rPr>
                <w:rFonts w:ascii="Segoe UI" w:eastAsia="Times New Roman" w:hAnsi="Segoe UI" w:cs="Segoe UI"/>
                <w:bCs/>
                <w:color w:val="000000" w:themeColor="text1"/>
                <w:kern w:val="24"/>
                <w:sz w:val="14"/>
                <w:szCs w:val="14"/>
                <w:lang w:eastAsia="el-GR"/>
              </w:rPr>
            </w:pPr>
            <w:r w:rsidRPr="00120A78">
              <w:rPr>
                <w:rFonts w:ascii="Segoe UI" w:eastAsia="Times New Roman" w:hAnsi="Segoe UI" w:cs="Segoe UI"/>
                <w:bCs/>
                <w:color w:val="000000" w:themeColor="text1"/>
                <w:kern w:val="24"/>
                <w:sz w:val="14"/>
                <w:szCs w:val="14"/>
                <w:lang w:eastAsia="el-GR"/>
              </w:rPr>
              <w:t>16</w:t>
            </w:r>
            <w:r w:rsidR="00B41080">
              <w:rPr>
                <w:rFonts w:ascii="Segoe UI" w:eastAsia="Times New Roman" w:hAnsi="Segoe UI" w:cs="Segoe UI"/>
                <w:bCs/>
                <w:color w:val="000000" w:themeColor="text1"/>
                <w:kern w:val="24"/>
                <w:sz w:val="14"/>
                <w:szCs w:val="14"/>
                <w:lang w:eastAsia="el-GR"/>
              </w:rPr>
              <w:t>,</w:t>
            </w:r>
            <w:r w:rsidR="00A82421">
              <w:rPr>
                <w:rFonts w:ascii="Segoe UI" w:eastAsia="Times New Roman" w:hAnsi="Segoe UI" w:cs="Segoe UI"/>
                <w:bCs/>
                <w:color w:val="000000" w:themeColor="text1"/>
                <w:kern w:val="24"/>
                <w:sz w:val="14"/>
                <w:szCs w:val="14"/>
                <w:lang w:eastAsia="el-GR"/>
              </w:rPr>
              <w:t>0</w:t>
            </w:r>
            <w:r w:rsidRPr="00120A78">
              <w:rPr>
                <w:rFonts w:ascii="Segoe UI" w:eastAsia="Times New Roman" w:hAnsi="Segoe UI" w:cs="Segoe UI"/>
                <w:bCs/>
                <w:color w:val="000000" w:themeColor="text1"/>
                <w:kern w:val="24"/>
                <w:sz w:val="14"/>
                <w:szCs w:val="14"/>
                <w:lang w:eastAsia="el-GR"/>
              </w:rPr>
              <w:t>%</w:t>
            </w:r>
            <w:r w:rsidRPr="00120A78">
              <w:rPr>
                <w:rFonts w:ascii="Segoe UI" w:eastAsia="Times New Roman" w:hAnsi="Segoe UI" w:cs="Segoe UI"/>
                <w:bCs/>
                <w:color w:val="000000" w:themeColor="text1"/>
                <w:kern w:val="24"/>
                <w:sz w:val="14"/>
                <w:szCs w:val="14"/>
                <w:vertAlign w:val="superscript"/>
                <w:lang w:eastAsia="el-GR"/>
              </w:rPr>
              <w:t>4</w:t>
            </w:r>
          </w:p>
        </w:tc>
        <w:tc>
          <w:tcPr>
            <w:tcW w:w="475" w:type="pct"/>
            <w:tcBorders>
              <w:top w:val="nil"/>
              <w:left w:val="nil"/>
              <w:right w:val="nil"/>
            </w:tcBorders>
            <w:vAlign w:val="center"/>
          </w:tcPr>
          <w:p w:rsidR="00120A78" w:rsidRPr="001C2BAB" w:rsidRDefault="00120A78" w:rsidP="00120A78">
            <w:pPr>
              <w:ind w:right="148"/>
              <w:jc w:val="right"/>
              <w:rPr>
                <w:rFonts w:ascii="Segoe UI" w:eastAsia="Times New Roman" w:hAnsi="Segoe UI" w:cs="Segoe UI"/>
                <w:bCs/>
                <w:color w:val="000000" w:themeColor="text1"/>
                <w:kern w:val="24"/>
                <w:sz w:val="14"/>
                <w:szCs w:val="16"/>
                <w:lang w:eastAsia="el-GR"/>
              </w:rPr>
            </w:pPr>
            <w:r>
              <w:rPr>
                <w:rFonts w:ascii="Segoe UI" w:eastAsia="Times New Roman" w:hAnsi="Segoe UI" w:cs="Segoe UI"/>
                <w:bCs/>
                <w:color w:val="000000" w:themeColor="text1"/>
                <w:kern w:val="24"/>
                <w:sz w:val="14"/>
                <w:szCs w:val="16"/>
                <w:lang w:eastAsia="el-GR"/>
              </w:rPr>
              <w:t>16,1</w:t>
            </w:r>
            <w:r w:rsidRPr="001C2BAB">
              <w:rPr>
                <w:rFonts w:ascii="Segoe UI" w:eastAsia="Times New Roman" w:hAnsi="Segoe UI" w:cs="Segoe UI"/>
                <w:bCs/>
                <w:color w:val="000000" w:themeColor="text1"/>
                <w:kern w:val="24"/>
                <w:sz w:val="14"/>
                <w:szCs w:val="16"/>
                <w:lang w:eastAsia="el-GR"/>
              </w:rPr>
              <w:t>%</w:t>
            </w:r>
            <w:r>
              <w:rPr>
                <w:rFonts w:ascii="Segoe UI" w:eastAsia="Times New Roman" w:hAnsi="Segoe UI" w:cs="Segoe UI"/>
                <w:bCs/>
                <w:color w:val="000000" w:themeColor="text1"/>
                <w:kern w:val="24"/>
                <w:sz w:val="14"/>
                <w:szCs w:val="16"/>
                <w:vertAlign w:val="superscript"/>
                <w:lang w:eastAsia="el-GR"/>
              </w:rPr>
              <w:t>4</w:t>
            </w:r>
          </w:p>
        </w:tc>
        <w:tc>
          <w:tcPr>
            <w:tcW w:w="475" w:type="pct"/>
            <w:tcBorders>
              <w:top w:val="nil"/>
              <w:left w:val="nil"/>
              <w:right w:val="nil"/>
            </w:tcBorders>
            <w:vAlign w:val="center"/>
          </w:tcPr>
          <w:p w:rsidR="00120A78" w:rsidRPr="001C2BAB" w:rsidRDefault="00120A78" w:rsidP="00120A78">
            <w:pPr>
              <w:ind w:right="148"/>
              <w:jc w:val="right"/>
              <w:rPr>
                <w:rFonts w:ascii="Segoe UI" w:eastAsia="Times New Roman" w:hAnsi="Segoe UI" w:cs="Segoe UI"/>
                <w:bCs/>
                <w:color w:val="000000" w:themeColor="text1"/>
                <w:kern w:val="24"/>
                <w:sz w:val="14"/>
                <w:szCs w:val="16"/>
                <w:lang w:eastAsia="el-GR"/>
              </w:rPr>
            </w:pPr>
            <w:r>
              <w:rPr>
                <w:rFonts w:ascii="Segoe UI" w:eastAsia="Times New Roman" w:hAnsi="Segoe UI" w:cs="Segoe UI"/>
                <w:bCs/>
                <w:color w:val="000000" w:themeColor="text1"/>
                <w:kern w:val="24"/>
                <w:sz w:val="14"/>
                <w:szCs w:val="16"/>
                <w:lang w:eastAsia="el-GR"/>
              </w:rPr>
              <w:t>15,</w:t>
            </w:r>
            <w:r w:rsidRPr="001C2BAB">
              <w:rPr>
                <w:rFonts w:ascii="Segoe UI" w:eastAsia="Times New Roman" w:hAnsi="Segoe UI" w:cs="Segoe UI"/>
                <w:bCs/>
                <w:color w:val="000000" w:themeColor="text1"/>
                <w:kern w:val="24"/>
                <w:sz w:val="14"/>
                <w:szCs w:val="16"/>
                <w:lang w:eastAsia="el-GR"/>
              </w:rPr>
              <w:t>7%</w:t>
            </w:r>
          </w:p>
        </w:tc>
        <w:tc>
          <w:tcPr>
            <w:tcW w:w="475" w:type="pct"/>
            <w:tcBorders>
              <w:top w:val="nil"/>
              <w:left w:val="nil"/>
              <w:right w:val="nil"/>
            </w:tcBorders>
            <w:vAlign w:val="center"/>
          </w:tcPr>
          <w:p w:rsidR="00120A78" w:rsidRPr="00F3004F" w:rsidRDefault="00120A78" w:rsidP="00120A78">
            <w:pPr>
              <w:ind w:right="148"/>
              <w:jc w:val="right"/>
              <w:rPr>
                <w:rFonts w:ascii="Segoe UI" w:eastAsia="Times New Roman" w:hAnsi="Segoe UI" w:cs="Segoe UI"/>
                <w:bCs/>
                <w:color w:val="000000" w:themeColor="text1"/>
                <w:kern w:val="24"/>
                <w:sz w:val="14"/>
                <w:szCs w:val="16"/>
                <w:lang w:eastAsia="el-GR"/>
              </w:rPr>
            </w:pPr>
            <w:r>
              <w:rPr>
                <w:rFonts w:ascii="Segoe UI" w:eastAsia="Times New Roman" w:hAnsi="Segoe UI" w:cs="Segoe UI"/>
                <w:bCs/>
                <w:color w:val="000000" w:themeColor="text1"/>
                <w:kern w:val="24"/>
                <w:sz w:val="14"/>
                <w:szCs w:val="16"/>
                <w:lang w:eastAsia="el-GR"/>
              </w:rPr>
              <w:t>15,</w:t>
            </w:r>
            <w:r w:rsidRPr="005255A9">
              <w:rPr>
                <w:rFonts w:ascii="Segoe UI" w:eastAsia="Times New Roman" w:hAnsi="Segoe UI" w:cs="Segoe UI"/>
                <w:bCs/>
                <w:color w:val="000000" w:themeColor="text1"/>
                <w:kern w:val="24"/>
                <w:sz w:val="14"/>
                <w:szCs w:val="16"/>
                <w:lang w:eastAsia="el-GR"/>
              </w:rPr>
              <w:t>9%</w:t>
            </w:r>
            <w:r>
              <w:rPr>
                <w:rFonts w:ascii="Segoe UI" w:eastAsia="Times New Roman" w:hAnsi="Segoe UI" w:cs="Segoe UI"/>
                <w:bCs/>
                <w:color w:val="000000" w:themeColor="text1"/>
                <w:kern w:val="24"/>
                <w:sz w:val="14"/>
                <w:szCs w:val="16"/>
                <w:vertAlign w:val="superscript"/>
                <w:lang w:eastAsia="el-GR"/>
              </w:rPr>
              <w:t>4</w:t>
            </w:r>
          </w:p>
        </w:tc>
        <w:tc>
          <w:tcPr>
            <w:tcW w:w="475" w:type="pct"/>
            <w:tcBorders>
              <w:top w:val="nil"/>
              <w:left w:val="nil"/>
              <w:right w:val="nil"/>
            </w:tcBorders>
            <w:vAlign w:val="center"/>
          </w:tcPr>
          <w:p w:rsidR="00120A78" w:rsidRPr="00F3004F" w:rsidRDefault="00120A78" w:rsidP="00120A78">
            <w:pPr>
              <w:ind w:right="148"/>
              <w:jc w:val="right"/>
              <w:rPr>
                <w:rFonts w:ascii="Segoe UI" w:eastAsia="Times New Roman" w:hAnsi="Segoe UI" w:cs="Segoe UI"/>
                <w:bCs/>
                <w:color w:val="000000" w:themeColor="text1"/>
                <w:kern w:val="24"/>
                <w:sz w:val="14"/>
                <w:szCs w:val="16"/>
                <w:lang w:eastAsia="el-GR"/>
              </w:rPr>
            </w:pPr>
            <w:r w:rsidRPr="005255A9">
              <w:rPr>
                <w:rFonts w:ascii="Segoe UI" w:eastAsia="Times New Roman" w:hAnsi="Segoe UI" w:cs="Segoe UI"/>
                <w:bCs/>
                <w:color w:val="000000" w:themeColor="text1"/>
                <w:kern w:val="24"/>
                <w:sz w:val="14"/>
                <w:szCs w:val="16"/>
                <w:lang w:eastAsia="el-GR"/>
              </w:rPr>
              <w:t>15</w:t>
            </w:r>
            <w:r>
              <w:rPr>
                <w:rFonts w:ascii="Segoe UI" w:eastAsia="Times New Roman" w:hAnsi="Segoe UI" w:cs="Segoe UI"/>
                <w:bCs/>
                <w:color w:val="000000" w:themeColor="text1"/>
                <w:kern w:val="24"/>
                <w:sz w:val="14"/>
                <w:szCs w:val="16"/>
                <w:lang w:eastAsia="el-GR"/>
              </w:rPr>
              <w:t>,</w:t>
            </w:r>
            <w:r w:rsidRPr="005255A9">
              <w:rPr>
                <w:rFonts w:ascii="Segoe UI" w:eastAsia="Times New Roman" w:hAnsi="Segoe UI" w:cs="Segoe UI"/>
                <w:bCs/>
                <w:color w:val="000000" w:themeColor="text1"/>
                <w:kern w:val="24"/>
                <w:sz w:val="14"/>
                <w:szCs w:val="16"/>
                <w:lang w:eastAsia="el-GR"/>
              </w:rPr>
              <w:t>9%</w:t>
            </w:r>
            <w:r>
              <w:rPr>
                <w:rFonts w:ascii="Segoe UI" w:eastAsia="Times New Roman" w:hAnsi="Segoe UI" w:cs="Segoe UI"/>
                <w:bCs/>
                <w:color w:val="000000" w:themeColor="text1"/>
                <w:kern w:val="24"/>
                <w:sz w:val="14"/>
                <w:szCs w:val="16"/>
                <w:vertAlign w:val="superscript"/>
                <w:lang w:eastAsia="el-GR"/>
              </w:rPr>
              <w:t>4</w:t>
            </w:r>
          </w:p>
        </w:tc>
        <w:tc>
          <w:tcPr>
            <w:tcW w:w="473" w:type="pct"/>
            <w:tcBorders>
              <w:top w:val="nil"/>
              <w:left w:val="nil"/>
              <w:right w:val="nil"/>
            </w:tcBorders>
            <w:vAlign w:val="center"/>
          </w:tcPr>
          <w:p w:rsidR="00120A78" w:rsidRPr="00F3004F" w:rsidRDefault="00120A78" w:rsidP="00120A78">
            <w:pPr>
              <w:ind w:right="148"/>
              <w:jc w:val="right"/>
              <w:rPr>
                <w:rFonts w:ascii="Segoe UI" w:eastAsia="Times New Roman" w:hAnsi="Segoe UI" w:cs="Segoe UI"/>
                <w:bCs/>
                <w:color w:val="000000" w:themeColor="text1"/>
                <w:kern w:val="24"/>
                <w:sz w:val="14"/>
                <w:szCs w:val="16"/>
                <w:lang w:eastAsia="el-GR"/>
              </w:rPr>
            </w:pPr>
            <w:r>
              <w:rPr>
                <w:rFonts w:ascii="Segoe UI" w:eastAsia="Times New Roman" w:hAnsi="Segoe UI" w:cs="Segoe UI"/>
                <w:bCs/>
                <w:color w:val="000000" w:themeColor="text1"/>
                <w:kern w:val="24"/>
                <w:sz w:val="14"/>
                <w:szCs w:val="16"/>
                <w:lang w:eastAsia="el-GR"/>
              </w:rPr>
              <w:t>15,</w:t>
            </w:r>
            <w:r w:rsidRPr="005255A9">
              <w:rPr>
                <w:rFonts w:ascii="Segoe UI" w:eastAsia="Times New Roman" w:hAnsi="Segoe UI" w:cs="Segoe UI"/>
                <w:bCs/>
                <w:color w:val="000000" w:themeColor="text1"/>
                <w:kern w:val="24"/>
                <w:sz w:val="14"/>
                <w:szCs w:val="16"/>
                <w:lang w:eastAsia="el-GR"/>
              </w:rPr>
              <w:t>5%</w:t>
            </w:r>
            <w:r>
              <w:rPr>
                <w:rFonts w:ascii="Segoe UI" w:eastAsia="Times New Roman" w:hAnsi="Segoe UI" w:cs="Segoe UI"/>
                <w:bCs/>
                <w:color w:val="000000" w:themeColor="text1"/>
                <w:kern w:val="24"/>
                <w:sz w:val="14"/>
                <w:szCs w:val="16"/>
                <w:vertAlign w:val="superscript"/>
                <w:lang w:eastAsia="el-GR"/>
              </w:rPr>
              <w:t>4</w:t>
            </w:r>
          </w:p>
        </w:tc>
      </w:tr>
      <w:tr w:rsidR="00120A78" w:rsidRPr="006B4FB1" w:rsidTr="00120A78">
        <w:trPr>
          <w:trHeight w:val="227"/>
        </w:trPr>
        <w:tc>
          <w:tcPr>
            <w:tcW w:w="2151" w:type="pct"/>
            <w:tcBorders>
              <w:top w:val="nil"/>
              <w:left w:val="nil"/>
              <w:right w:val="nil"/>
            </w:tcBorders>
            <w:shd w:val="clear" w:color="auto" w:fill="auto"/>
            <w:tcMar>
              <w:top w:w="15" w:type="dxa"/>
              <w:left w:w="41" w:type="dxa"/>
              <w:bottom w:w="0" w:type="dxa"/>
              <w:right w:w="15" w:type="dxa"/>
            </w:tcMar>
            <w:vAlign w:val="center"/>
          </w:tcPr>
          <w:p w:rsidR="00120A78" w:rsidRPr="00C62FEB" w:rsidRDefault="00120A78" w:rsidP="00120A78">
            <w:pPr>
              <w:textAlignment w:val="center"/>
              <w:rPr>
                <w:rFonts w:ascii="Segoe UI" w:eastAsia="Segoe UI" w:hAnsi="Segoe UI" w:cs="Segoe UI"/>
                <w:color w:val="000000"/>
                <w:kern w:val="24"/>
                <w:sz w:val="14"/>
                <w:szCs w:val="14"/>
                <w:lang w:eastAsia="el-GR"/>
              </w:rPr>
            </w:pPr>
            <w:r w:rsidRPr="00C62FEB">
              <w:rPr>
                <w:rFonts w:ascii="Segoe UI" w:eastAsia="Segoe UI" w:hAnsi="Segoe UI" w:cs="Segoe UI"/>
                <w:color w:val="000000"/>
                <w:kern w:val="24"/>
                <w:sz w:val="14"/>
                <w:szCs w:val="14"/>
                <w:lang w:eastAsia="el-GR"/>
              </w:rPr>
              <w:t xml:space="preserve">Δείκτης </w:t>
            </w:r>
            <w:r w:rsidRPr="00C62FEB">
              <w:rPr>
                <w:rFonts w:ascii="Segoe UI" w:eastAsia="Segoe UI" w:hAnsi="Segoe UI" w:cs="Segoe UI"/>
                <w:color w:val="000000"/>
                <w:kern w:val="24"/>
                <w:sz w:val="14"/>
                <w:szCs w:val="14"/>
                <w:lang w:val="en-US" w:eastAsia="el-GR"/>
              </w:rPr>
              <w:t>CET</w:t>
            </w:r>
            <w:r w:rsidRPr="00C62FEB">
              <w:rPr>
                <w:rFonts w:ascii="Segoe UI" w:eastAsia="Segoe UI" w:hAnsi="Segoe UI" w:cs="Segoe UI"/>
                <w:color w:val="000000"/>
                <w:kern w:val="24"/>
                <w:sz w:val="14"/>
                <w:szCs w:val="14"/>
                <w:lang w:eastAsia="el-GR"/>
              </w:rPr>
              <w:t>1</w:t>
            </w:r>
            <w:r>
              <w:rPr>
                <w:rFonts w:ascii="Segoe UI" w:eastAsia="Segoe UI" w:hAnsi="Segoe UI" w:cs="Segoe UI"/>
                <w:color w:val="000000"/>
                <w:kern w:val="24"/>
                <w:sz w:val="14"/>
                <w:szCs w:val="14"/>
                <w:lang w:val="en-US" w:eastAsia="el-GR"/>
              </w:rPr>
              <w:t>FL</w:t>
            </w:r>
          </w:p>
        </w:tc>
        <w:tc>
          <w:tcPr>
            <w:tcW w:w="475" w:type="pct"/>
            <w:tcBorders>
              <w:top w:val="nil"/>
              <w:left w:val="nil"/>
              <w:right w:val="nil"/>
            </w:tcBorders>
          </w:tcPr>
          <w:p w:rsidR="00120A78" w:rsidRPr="00120A78" w:rsidRDefault="00120A78" w:rsidP="00B01961">
            <w:pPr>
              <w:ind w:right="148"/>
              <w:jc w:val="right"/>
              <w:rPr>
                <w:rFonts w:ascii="Segoe UI" w:eastAsia="Times New Roman" w:hAnsi="Segoe UI" w:cs="Segoe UI"/>
                <w:bCs/>
                <w:color w:val="000000" w:themeColor="text1"/>
                <w:kern w:val="24"/>
                <w:sz w:val="14"/>
                <w:szCs w:val="14"/>
                <w:lang w:eastAsia="el-GR"/>
              </w:rPr>
            </w:pPr>
            <w:r w:rsidRPr="00120A78">
              <w:rPr>
                <w:rFonts w:ascii="Segoe UI" w:eastAsia="Times New Roman" w:hAnsi="Segoe UI" w:cs="Segoe UI"/>
                <w:bCs/>
                <w:color w:val="000000" w:themeColor="text1"/>
                <w:kern w:val="24"/>
                <w:sz w:val="14"/>
                <w:szCs w:val="14"/>
                <w:lang w:eastAsia="el-GR"/>
              </w:rPr>
              <w:t>1</w:t>
            </w:r>
            <w:r w:rsidR="00B01961">
              <w:rPr>
                <w:rFonts w:ascii="Segoe UI" w:eastAsia="Times New Roman" w:hAnsi="Segoe UI" w:cs="Segoe UI"/>
                <w:bCs/>
                <w:color w:val="000000" w:themeColor="text1"/>
                <w:kern w:val="24"/>
                <w:sz w:val="14"/>
                <w:szCs w:val="14"/>
                <w:lang w:val="en-US" w:eastAsia="el-GR"/>
              </w:rPr>
              <w:t>3</w:t>
            </w:r>
            <w:r w:rsidR="00B41080">
              <w:rPr>
                <w:rFonts w:ascii="Segoe UI" w:eastAsia="Times New Roman" w:hAnsi="Segoe UI" w:cs="Segoe UI"/>
                <w:bCs/>
                <w:color w:val="000000" w:themeColor="text1"/>
                <w:kern w:val="24"/>
                <w:sz w:val="14"/>
                <w:szCs w:val="14"/>
                <w:lang w:eastAsia="el-GR"/>
              </w:rPr>
              <w:t>,</w:t>
            </w:r>
            <w:r w:rsidR="00B01961">
              <w:rPr>
                <w:rFonts w:ascii="Segoe UI" w:eastAsia="Times New Roman" w:hAnsi="Segoe UI" w:cs="Segoe UI"/>
                <w:bCs/>
                <w:color w:val="000000" w:themeColor="text1"/>
                <w:kern w:val="24"/>
                <w:sz w:val="14"/>
                <w:szCs w:val="14"/>
                <w:lang w:val="en-US" w:eastAsia="el-GR"/>
              </w:rPr>
              <w:t>8</w:t>
            </w:r>
            <w:r w:rsidRPr="00120A78">
              <w:rPr>
                <w:rFonts w:ascii="Segoe UI" w:eastAsia="Times New Roman" w:hAnsi="Segoe UI" w:cs="Segoe UI"/>
                <w:bCs/>
                <w:color w:val="000000" w:themeColor="text1"/>
                <w:kern w:val="24"/>
                <w:sz w:val="14"/>
                <w:szCs w:val="14"/>
                <w:lang w:eastAsia="el-GR"/>
              </w:rPr>
              <w:t>%</w:t>
            </w:r>
            <w:r w:rsidRPr="00120A78">
              <w:rPr>
                <w:rFonts w:ascii="Segoe UI" w:eastAsia="Times New Roman" w:hAnsi="Segoe UI" w:cs="Segoe UI"/>
                <w:bCs/>
                <w:color w:val="000000" w:themeColor="text1"/>
                <w:kern w:val="24"/>
                <w:sz w:val="14"/>
                <w:szCs w:val="14"/>
                <w:vertAlign w:val="superscript"/>
                <w:lang w:eastAsia="el-GR"/>
              </w:rPr>
              <w:t>4</w:t>
            </w:r>
          </w:p>
        </w:tc>
        <w:tc>
          <w:tcPr>
            <w:tcW w:w="475" w:type="pct"/>
            <w:tcBorders>
              <w:top w:val="nil"/>
              <w:left w:val="nil"/>
              <w:right w:val="nil"/>
            </w:tcBorders>
            <w:vAlign w:val="center"/>
          </w:tcPr>
          <w:p w:rsidR="00120A78" w:rsidRPr="001C2BAB" w:rsidRDefault="00120A78" w:rsidP="00120A78">
            <w:pPr>
              <w:ind w:right="148"/>
              <w:jc w:val="right"/>
              <w:rPr>
                <w:rFonts w:ascii="Segoe UI" w:eastAsia="Times New Roman" w:hAnsi="Segoe UI" w:cs="Segoe UI"/>
                <w:bCs/>
                <w:color w:val="000000" w:themeColor="text1"/>
                <w:kern w:val="24"/>
                <w:sz w:val="14"/>
                <w:szCs w:val="16"/>
                <w:lang w:eastAsia="el-GR"/>
              </w:rPr>
            </w:pPr>
            <w:r>
              <w:rPr>
                <w:rFonts w:ascii="Segoe UI" w:eastAsia="Times New Roman" w:hAnsi="Segoe UI" w:cs="Segoe UI"/>
                <w:bCs/>
                <w:color w:val="000000" w:themeColor="text1"/>
                <w:kern w:val="24"/>
                <w:sz w:val="14"/>
                <w:szCs w:val="16"/>
                <w:lang w:eastAsia="el-GR"/>
              </w:rPr>
              <w:t>14,0</w:t>
            </w:r>
            <w:r w:rsidRPr="001C2BAB">
              <w:rPr>
                <w:rFonts w:ascii="Segoe UI" w:eastAsia="Times New Roman" w:hAnsi="Segoe UI" w:cs="Segoe UI"/>
                <w:bCs/>
                <w:color w:val="000000" w:themeColor="text1"/>
                <w:kern w:val="24"/>
                <w:sz w:val="14"/>
                <w:szCs w:val="16"/>
                <w:lang w:eastAsia="el-GR"/>
              </w:rPr>
              <w:t>%</w:t>
            </w:r>
            <w:r>
              <w:rPr>
                <w:rFonts w:ascii="Segoe UI" w:eastAsia="Times New Roman" w:hAnsi="Segoe UI" w:cs="Segoe UI"/>
                <w:bCs/>
                <w:color w:val="000000" w:themeColor="text1"/>
                <w:kern w:val="24"/>
                <w:sz w:val="14"/>
                <w:szCs w:val="16"/>
                <w:vertAlign w:val="superscript"/>
                <w:lang w:eastAsia="el-GR"/>
              </w:rPr>
              <w:t>4</w:t>
            </w:r>
          </w:p>
        </w:tc>
        <w:tc>
          <w:tcPr>
            <w:tcW w:w="475" w:type="pct"/>
            <w:tcBorders>
              <w:top w:val="nil"/>
              <w:left w:val="nil"/>
              <w:right w:val="nil"/>
            </w:tcBorders>
            <w:vAlign w:val="center"/>
          </w:tcPr>
          <w:p w:rsidR="00120A78" w:rsidRPr="001C2BAB" w:rsidRDefault="00120A78" w:rsidP="00120A78">
            <w:pPr>
              <w:ind w:right="148"/>
              <w:jc w:val="right"/>
              <w:rPr>
                <w:rFonts w:ascii="Segoe UI" w:eastAsia="Times New Roman" w:hAnsi="Segoe UI" w:cs="Segoe UI"/>
                <w:bCs/>
                <w:color w:val="000000" w:themeColor="text1"/>
                <w:kern w:val="24"/>
                <w:sz w:val="14"/>
                <w:szCs w:val="16"/>
                <w:lang w:eastAsia="el-GR"/>
              </w:rPr>
            </w:pPr>
            <w:r>
              <w:rPr>
                <w:rFonts w:ascii="Segoe UI" w:eastAsia="Times New Roman" w:hAnsi="Segoe UI" w:cs="Segoe UI"/>
                <w:bCs/>
                <w:color w:val="000000" w:themeColor="text1"/>
                <w:kern w:val="24"/>
                <w:sz w:val="14"/>
                <w:szCs w:val="16"/>
                <w:lang w:eastAsia="el-GR"/>
              </w:rPr>
              <w:t>12,8</w:t>
            </w:r>
            <w:r w:rsidRPr="001C2BAB">
              <w:rPr>
                <w:rFonts w:ascii="Segoe UI" w:eastAsia="Times New Roman" w:hAnsi="Segoe UI" w:cs="Segoe UI"/>
                <w:bCs/>
                <w:color w:val="000000" w:themeColor="text1"/>
                <w:kern w:val="24"/>
                <w:sz w:val="14"/>
                <w:szCs w:val="16"/>
                <w:lang w:eastAsia="el-GR"/>
              </w:rPr>
              <w:t>%</w:t>
            </w:r>
          </w:p>
        </w:tc>
        <w:tc>
          <w:tcPr>
            <w:tcW w:w="475" w:type="pct"/>
            <w:tcBorders>
              <w:top w:val="nil"/>
              <w:left w:val="nil"/>
              <w:right w:val="nil"/>
            </w:tcBorders>
            <w:vAlign w:val="center"/>
          </w:tcPr>
          <w:p w:rsidR="00120A78" w:rsidRPr="00F3004F" w:rsidRDefault="00120A78" w:rsidP="00120A78">
            <w:pPr>
              <w:ind w:right="148"/>
              <w:jc w:val="right"/>
              <w:rPr>
                <w:rFonts w:ascii="Segoe UI" w:eastAsia="Times New Roman" w:hAnsi="Segoe UI" w:cs="Segoe UI"/>
                <w:bCs/>
                <w:color w:val="000000" w:themeColor="text1"/>
                <w:kern w:val="24"/>
                <w:sz w:val="14"/>
                <w:szCs w:val="16"/>
                <w:lang w:eastAsia="el-GR"/>
              </w:rPr>
            </w:pPr>
            <w:r>
              <w:rPr>
                <w:rFonts w:ascii="Segoe UI" w:eastAsia="Times New Roman" w:hAnsi="Segoe UI" w:cs="Segoe UI"/>
                <w:bCs/>
                <w:color w:val="000000" w:themeColor="text1"/>
                <w:kern w:val="24"/>
                <w:sz w:val="14"/>
                <w:szCs w:val="16"/>
                <w:lang w:eastAsia="el-GR"/>
              </w:rPr>
              <w:t>13,</w:t>
            </w:r>
            <w:r w:rsidRPr="005255A9">
              <w:rPr>
                <w:rFonts w:ascii="Segoe UI" w:eastAsia="Times New Roman" w:hAnsi="Segoe UI" w:cs="Segoe UI"/>
                <w:bCs/>
                <w:color w:val="000000" w:themeColor="text1"/>
                <w:kern w:val="24"/>
                <w:sz w:val="14"/>
                <w:szCs w:val="16"/>
                <w:lang w:eastAsia="el-GR"/>
              </w:rPr>
              <w:t>0%</w:t>
            </w:r>
            <w:r>
              <w:rPr>
                <w:rFonts w:ascii="Segoe UI" w:eastAsia="Times New Roman" w:hAnsi="Segoe UI" w:cs="Segoe UI"/>
                <w:bCs/>
                <w:color w:val="000000" w:themeColor="text1"/>
                <w:kern w:val="24"/>
                <w:sz w:val="14"/>
                <w:szCs w:val="16"/>
                <w:vertAlign w:val="superscript"/>
                <w:lang w:eastAsia="el-GR"/>
              </w:rPr>
              <w:t>4</w:t>
            </w:r>
          </w:p>
        </w:tc>
        <w:tc>
          <w:tcPr>
            <w:tcW w:w="475" w:type="pct"/>
            <w:tcBorders>
              <w:top w:val="nil"/>
              <w:left w:val="nil"/>
              <w:right w:val="nil"/>
            </w:tcBorders>
            <w:vAlign w:val="center"/>
          </w:tcPr>
          <w:p w:rsidR="00120A78" w:rsidRPr="00F3004F" w:rsidRDefault="00120A78" w:rsidP="00120A78">
            <w:pPr>
              <w:ind w:right="148"/>
              <w:jc w:val="right"/>
              <w:rPr>
                <w:rFonts w:ascii="Segoe UI" w:eastAsia="Times New Roman" w:hAnsi="Segoe UI" w:cs="Segoe UI"/>
                <w:bCs/>
                <w:color w:val="000000" w:themeColor="text1"/>
                <w:kern w:val="24"/>
                <w:sz w:val="14"/>
                <w:szCs w:val="16"/>
                <w:lang w:eastAsia="el-GR"/>
              </w:rPr>
            </w:pPr>
            <w:r>
              <w:rPr>
                <w:rFonts w:ascii="Segoe UI" w:eastAsia="Times New Roman" w:hAnsi="Segoe UI" w:cs="Segoe UI"/>
                <w:bCs/>
                <w:color w:val="000000" w:themeColor="text1"/>
                <w:kern w:val="24"/>
                <w:sz w:val="14"/>
                <w:szCs w:val="16"/>
                <w:lang w:eastAsia="el-GR"/>
              </w:rPr>
              <w:t>13,</w:t>
            </w:r>
            <w:r w:rsidRPr="005255A9">
              <w:rPr>
                <w:rFonts w:ascii="Segoe UI" w:eastAsia="Times New Roman" w:hAnsi="Segoe UI" w:cs="Segoe UI"/>
                <w:bCs/>
                <w:color w:val="000000" w:themeColor="text1"/>
                <w:kern w:val="24"/>
                <w:sz w:val="14"/>
                <w:szCs w:val="16"/>
                <w:lang w:eastAsia="el-GR"/>
              </w:rPr>
              <w:t>0%</w:t>
            </w:r>
            <w:r>
              <w:rPr>
                <w:rFonts w:ascii="Segoe UI" w:eastAsia="Times New Roman" w:hAnsi="Segoe UI" w:cs="Segoe UI"/>
                <w:bCs/>
                <w:color w:val="000000" w:themeColor="text1"/>
                <w:kern w:val="24"/>
                <w:sz w:val="14"/>
                <w:szCs w:val="16"/>
                <w:vertAlign w:val="superscript"/>
                <w:lang w:eastAsia="el-GR"/>
              </w:rPr>
              <w:t>4</w:t>
            </w:r>
          </w:p>
        </w:tc>
        <w:tc>
          <w:tcPr>
            <w:tcW w:w="473" w:type="pct"/>
            <w:tcBorders>
              <w:top w:val="nil"/>
              <w:left w:val="nil"/>
              <w:right w:val="nil"/>
            </w:tcBorders>
            <w:vAlign w:val="center"/>
          </w:tcPr>
          <w:p w:rsidR="00120A78" w:rsidRPr="00F3004F" w:rsidRDefault="00120A78" w:rsidP="00120A78">
            <w:pPr>
              <w:ind w:right="148"/>
              <w:jc w:val="right"/>
              <w:rPr>
                <w:rFonts w:ascii="Segoe UI" w:eastAsia="Times New Roman" w:hAnsi="Segoe UI" w:cs="Segoe UI"/>
                <w:bCs/>
                <w:color w:val="000000" w:themeColor="text1"/>
                <w:kern w:val="24"/>
                <w:sz w:val="14"/>
                <w:szCs w:val="16"/>
                <w:lang w:eastAsia="el-GR"/>
              </w:rPr>
            </w:pPr>
            <w:r>
              <w:rPr>
                <w:rFonts w:ascii="Segoe UI" w:eastAsia="Times New Roman" w:hAnsi="Segoe UI" w:cs="Segoe UI"/>
                <w:bCs/>
                <w:color w:val="000000" w:themeColor="text1"/>
                <w:kern w:val="24"/>
                <w:sz w:val="14"/>
                <w:szCs w:val="16"/>
                <w:lang w:eastAsia="el-GR"/>
              </w:rPr>
              <w:t>12,</w:t>
            </w:r>
            <w:r w:rsidRPr="005255A9">
              <w:rPr>
                <w:rFonts w:ascii="Segoe UI" w:eastAsia="Times New Roman" w:hAnsi="Segoe UI" w:cs="Segoe UI"/>
                <w:bCs/>
                <w:color w:val="000000" w:themeColor="text1"/>
                <w:kern w:val="24"/>
                <w:sz w:val="14"/>
                <w:szCs w:val="16"/>
                <w:lang w:eastAsia="el-GR"/>
              </w:rPr>
              <w:t>6%</w:t>
            </w:r>
            <w:r>
              <w:rPr>
                <w:rFonts w:ascii="Segoe UI" w:eastAsia="Times New Roman" w:hAnsi="Segoe UI" w:cs="Segoe UI"/>
                <w:bCs/>
                <w:color w:val="000000" w:themeColor="text1"/>
                <w:kern w:val="24"/>
                <w:sz w:val="14"/>
                <w:szCs w:val="16"/>
                <w:vertAlign w:val="superscript"/>
                <w:lang w:eastAsia="el-GR"/>
              </w:rPr>
              <w:t>4</w:t>
            </w:r>
          </w:p>
        </w:tc>
      </w:tr>
      <w:tr w:rsidR="00120A78" w:rsidRPr="006B4FB1" w:rsidTr="00120A78">
        <w:trPr>
          <w:trHeight w:val="227"/>
        </w:trPr>
        <w:tc>
          <w:tcPr>
            <w:tcW w:w="2151" w:type="pct"/>
            <w:tcBorders>
              <w:top w:val="nil"/>
              <w:left w:val="nil"/>
              <w:bottom w:val="single" w:sz="12" w:space="0" w:color="000000"/>
              <w:right w:val="nil"/>
            </w:tcBorders>
            <w:shd w:val="clear" w:color="auto" w:fill="auto"/>
            <w:tcMar>
              <w:top w:w="15" w:type="dxa"/>
              <w:left w:w="41" w:type="dxa"/>
              <w:bottom w:w="0" w:type="dxa"/>
              <w:right w:w="15" w:type="dxa"/>
            </w:tcMar>
            <w:vAlign w:val="center"/>
            <w:hideMark/>
          </w:tcPr>
          <w:p w:rsidR="00120A78" w:rsidRPr="00C62FEB" w:rsidRDefault="00120A78" w:rsidP="00120A78">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Σταθμισμένα στοιχεία ενεργητικού (€ δισ.)</w:t>
            </w:r>
          </w:p>
        </w:tc>
        <w:tc>
          <w:tcPr>
            <w:tcW w:w="475" w:type="pct"/>
            <w:tcBorders>
              <w:top w:val="nil"/>
              <w:left w:val="nil"/>
              <w:bottom w:val="single" w:sz="8" w:space="0" w:color="000000"/>
              <w:right w:val="nil"/>
            </w:tcBorders>
          </w:tcPr>
          <w:p w:rsidR="00120A78" w:rsidRPr="00120A78" w:rsidRDefault="00120A78" w:rsidP="00B41080">
            <w:pPr>
              <w:ind w:right="148"/>
              <w:jc w:val="right"/>
              <w:rPr>
                <w:rFonts w:ascii="Segoe UI" w:eastAsia="Times New Roman" w:hAnsi="Segoe UI" w:cs="Segoe UI"/>
                <w:bCs/>
                <w:color w:val="000000" w:themeColor="text1"/>
                <w:kern w:val="24"/>
                <w:sz w:val="14"/>
                <w:szCs w:val="14"/>
                <w:lang w:eastAsia="el-GR"/>
              </w:rPr>
            </w:pPr>
            <w:r w:rsidRPr="00120A78">
              <w:rPr>
                <w:rFonts w:ascii="Segoe UI" w:eastAsia="Times New Roman" w:hAnsi="Segoe UI" w:cs="Segoe UI"/>
                <w:bCs/>
                <w:color w:val="000000" w:themeColor="text1"/>
                <w:kern w:val="24"/>
                <w:sz w:val="14"/>
                <w:szCs w:val="14"/>
                <w:lang w:eastAsia="el-GR"/>
              </w:rPr>
              <w:t>36</w:t>
            </w:r>
            <w:r w:rsidR="00B41080">
              <w:rPr>
                <w:rFonts w:ascii="Segoe UI" w:eastAsia="Times New Roman" w:hAnsi="Segoe UI" w:cs="Segoe UI"/>
                <w:bCs/>
                <w:color w:val="000000" w:themeColor="text1"/>
                <w:kern w:val="24"/>
                <w:sz w:val="14"/>
                <w:szCs w:val="14"/>
                <w:lang w:eastAsia="el-GR"/>
              </w:rPr>
              <w:t>,</w:t>
            </w:r>
            <w:r w:rsidRPr="00120A78">
              <w:rPr>
                <w:rFonts w:ascii="Segoe UI" w:eastAsia="Times New Roman" w:hAnsi="Segoe UI" w:cs="Segoe UI"/>
                <w:bCs/>
                <w:color w:val="000000" w:themeColor="text1"/>
                <w:kern w:val="24"/>
                <w:sz w:val="14"/>
                <w:szCs w:val="14"/>
                <w:lang w:eastAsia="el-GR"/>
              </w:rPr>
              <w:t>7</w:t>
            </w:r>
          </w:p>
        </w:tc>
        <w:tc>
          <w:tcPr>
            <w:tcW w:w="475" w:type="pct"/>
            <w:tcBorders>
              <w:top w:val="nil"/>
              <w:left w:val="nil"/>
              <w:bottom w:val="single" w:sz="12" w:space="0" w:color="000000"/>
              <w:right w:val="nil"/>
            </w:tcBorders>
            <w:vAlign w:val="center"/>
          </w:tcPr>
          <w:p w:rsidR="00120A78" w:rsidRPr="001C2BAB" w:rsidRDefault="00120A78" w:rsidP="00120A78">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eastAsia="el-GR"/>
              </w:rPr>
              <w:t>36</w:t>
            </w:r>
            <w:r>
              <w:rPr>
                <w:rFonts w:ascii="Segoe UI" w:eastAsia="Times New Roman" w:hAnsi="Segoe UI" w:cs="Segoe UI"/>
                <w:bCs/>
                <w:color w:val="000000" w:themeColor="text1"/>
                <w:kern w:val="24"/>
                <w:sz w:val="14"/>
                <w:szCs w:val="16"/>
                <w:lang w:eastAsia="el-GR"/>
              </w:rPr>
              <w:t>,</w:t>
            </w:r>
            <w:r w:rsidRPr="001C2BAB">
              <w:rPr>
                <w:rFonts w:ascii="Segoe UI" w:eastAsia="Times New Roman" w:hAnsi="Segoe UI" w:cs="Segoe UI"/>
                <w:bCs/>
                <w:color w:val="000000" w:themeColor="text1"/>
                <w:kern w:val="24"/>
                <w:sz w:val="14"/>
                <w:szCs w:val="16"/>
                <w:lang w:eastAsia="el-GR"/>
              </w:rPr>
              <w:t>6</w:t>
            </w:r>
          </w:p>
        </w:tc>
        <w:tc>
          <w:tcPr>
            <w:tcW w:w="475" w:type="pct"/>
            <w:tcBorders>
              <w:top w:val="nil"/>
              <w:left w:val="nil"/>
              <w:bottom w:val="single" w:sz="12" w:space="0" w:color="000000"/>
              <w:right w:val="nil"/>
            </w:tcBorders>
            <w:vAlign w:val="center"/>
          </w:tcPr>
          <w:p w:rsidR="00120A78" w:rsidRPr="001C2BAB" w:rsidRDefault="00120A78" w:rsidP="00120A78">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eastAsia="el-GR"/>
              </w:rPr>
              <w:t>36</w:t>
            </w:r>
            <w:r>
              <w:rPr>
                <w:rFonts w:ascii="Segoe UI" w:eastAsia="Times New Roman" w:hAnsi="Segoe UI" w:cs="Segoe UI"/>
                <w:bCs/>
                <w:color w:val="000000" w:themeColor="text1"/>
                <w:kern w:val="24"/>
                <w:sz w:val="14"/>
                <w:szCs w:val="16"/>
                <w:lang w:eastAsia="el-GR"/>
              </w:rPr>
              <w:t>,</w:t>
            </w:r>
            <w:r w:rsidRPr="001C2BAB">
              <w:rPr>
                <w:rFonts w:ascii="Segoe UI" w:eastAsia="Times New Roman" w:hAnsi="Segoe UI" w:cs="Segoe UI"/>
                <w:bCs/>
                <w:color w:val="000000" w:themeColor="text1"/>
                <w:kern w:val="24"/>
                <w:sz w:val="14"/>
                <w:szCs w:val="16"/>
                <w:lang w:eastAsia="el-GR"/>
              </w:rPr>
              <w:t>6</w:t>
            </w:r>
          </w:p>
        </w:tc>
        <w:tc>
          <w:tcPr>
            <w:tcW w:w="475" w:type="pct"/>
            <w:tcBorders>
              <w:top w:val="nil"/>
              <w:left w:val="nil"/>
              <w:bottom w:val="single" w:sz="12" w:space="0" w:color="000000"/>
              <w:right w:val="nil"/>
            </w:tcBorders>
            <w:vAlign w:val="center"/>
          </w:tcPr>
          <w:p w:rsidR="00120A78" w:rsidRPr="005255A9" w:rsidRDefault="00120A78" w:rsidP="00120A78">
            <w:pPr>
              <w:ind w:right="148"/>
              <w:jc w:val="right"/>
              <w:rPr>
                <w:rFonts w:ascii="Segoe UI" w:eastAsia="Times New Roman" w:hAnsi="Segoe UI" w:cs="Segoe UI"/>
                <w:bCs/>
                <w:color w:val="000000" w:themeColor="text1"/>
                <w:kern w:val="24"/>
                <w:sz w:val="14"/>
                <w:szCs w:val="16"/>
                <w:lang w:eastAsia="el-GR"/>
              </w:rPr>
            </w:pPr>
            <w:r w:rsidRPr="005255A9">
              <w:rPr>
                <w:rFonts w:ascii="Segoe UI" w:eastAsia="Times New Roman" w:hAnsi="Segoe UI" w:cs="Segoe UI"/>
                <w:bCs/>
                <w:color w:val="000000" w:themeColor="text1"/>
                <w:kern w:val="24"/>
                <w:sz w:val="14"/>
                <w:szCs w:val="16"/>
                <w:lang w:eastAsia="el-GR"/>
              </w:rPr>
              <w:t>36</w:t>
            </w:r>
            <w:r>
              <w:rPr>
                <w:rFonts w:ascii="Segoe UI" w:eastAsia="Times New Roman" w:hAnsi="Segoe UI" w:cs="Segoe UI"/>
                <w:bCs/>
                <w:color w:val="000000" w:themeColor="text1"/>
                <w:kern w:val="24"/>
                <w:sz w:val="14"/>
                <w:szCs w:val="16"/>
                <w:lang w:eastAsia="el-GR"/>
              </w:rPr>
              <w:t>,</w:t>
            </w:r>
            <w:r w:rsidRPr="005255A9">
              <w:rPr>
                <w:rFonts w:ascii="Segoe UI" w:eastAsia="Times New Roman" w:hAnsi="Segoe UI" w:cs="Segoe UI"/>
                <w:bCs/>
                <w:color w:val="000000" w:themeColor="text1"/>
                <w:kern w:val="24"/>
                <w:sz w:val="14"/>
                <w:szCs w:val="16"/>
                <w:lang w:eastAsia="el-GR"/>
              </w:rPr>
              <w:t>2</w:t>
            </w:r>
          </w:p>
        </w:tc>
        <w:tc>
          <w:tcPr>
            <w:tcW w:w="475" w:type="pct"/>
            <w:tcBorders>
              <w:top w:val="nil"/>
              <w:left w:val="nil"/>
              <w:bottom w:val="single" w:sz="12" w:space="0" w:color="000000"/>
              <w:right w:val="nil"/>
            </w:tcBorders>
            <w:vAlign w:val="center"/>
          </w:tcPr>
          <w:p w:rsidR="00120A78" w:rsidRPr="005255A9" w:rsidRDefault="00120A78" w:rsidP="00120A78">
            <w:pPr>
              <w:ind w:right="148"/>
              <w:jc w:val="right"/>
              <w:rPr>
                <w:rFonts w:ascii="Segoe UI" w:eastAsia="Times New Roman" w:hAnsi="Segoe UI" w:cs="Segoe UI"/>
                <w:bCs/>
                <w:color w:val="000000" w:themeColor="text1"/>
                <w:kern w:val="24"/>
                <w:sz w:val="14"/>
                <w:szCs w:val="16"/>
                <w:highlight w:val="yellow"/>
                <w:lang w:eastAsia="el-GR"/>
              </w:rPr>
            </w:pPr>
            <w:r w:rsidRPr="005255A9">
              <w:rPr>
                <w:rFonts w:ascii="Segoe UI" w:eastAsia="Times New Roman" w:hAnsi="Segoe UI" w:cs="Segoe UI"/>
                <w:bCs/>
                <w:color w:val="000000" w:themeColor="text1"/>
                <w:kern w:val="24"/>
                <w:sz w:val="14"/>
                <w:szCs w:val="16"/>
                <w:lang w:eastAsia="el-GR"/>
              </w:rPr>
              <w:t>36</w:t>
            </w:r>
            <w:r>
              <w:rPr>
                <w:rFonts w:ascii="Segoe UI" w:eastAsia="Times New Roman" w:hAnsi="Segoe UI" w:cs="Segoe UI"/>
                <w:bCs/>
                <w:color w:val="000000" w:themeColor="text1"/>
                <w:kern w:val="24"/>
                <w:sz w:val="14"/>
                <w:szCs w:val="16"/>
                <w:lang w:eastAsia="el-GR"/>
              </w:rPr>
              <w:t>,</w:t>
            </w:r>
            <w:r w:rsidRPr="005255A9">
              <w:rPr>
                <w:rFonts w:ascii="Segoe UI" w:eastAsia="Times New Roman" w:hAnsi="Segoe UI" w:cs="Segoe UI"/>
                <w:bCs/>
                <w:color w:val="000000" w:themeColor="text1"/>
                <w:kern w:val="24"/>
                <w:sz w:val="14"/>
                <w:szCs w:val="16"/>
                <w:lang w:eastAsia="el-GR"/>
              </w:rPr>
              <w:t>1</w:t>
            </w:r>
          </w:p>
        </w:tc>
        <w:tc>
          <w:tcPr>
            <w:tcW w:w="473" w:type="pct"/>
            <w:tcBorders>
              <w:top w:val="nil"/>
              <w:left w:val="nil"/>
              <w:bottom w:val="single" w:sz="12" w:space="0" w:color="000000"/>
              <w:right w:val="nil"/>
            </w:tcBorders>
            <w:vAlign w:val="center"/>
          </w:tcPr>
          <w:p w:rsidR="00120A78" w:rsidRPr="005255A9" w:rsidRDefault="00120A78" w:rsidP="00120A78">
            <w:pPr>
              <w:ind w:right="148"/>
              <w:jc w:val="right"/>
              <w:rPr>
                <w:rFonts w:ascii="Segoe UI" w:eastAsia="Times New Roman" w:hAnsi="Segoe UI" w:cs="Segoe UI"/>
                <w:bCs/>
                <w:color w:val="000000" w:themeColor="text1"/>
                <w:kern w:val="24"/>
                <w:sz w:val="14"/>
                <w:szCs w:val="16"/>
                <w:lang w:eastAsia="el-GR"/>
              </w:rPr>
            </w:pPr>
            <w:r w:rsidRPr="005255A9">
              <w:rPr>
                <w:rFonts w:ascii="Segoe UI" w:eastAsia="Times New Roman" w:hAnsi="Segoe UI" w:cs="Segoe UI"/>
                <w:bCs/>
                <w:color w:val="000000" w:themeColor="text1"/>
                <w:kern w:val="24"/>
                <w:sz w:val="14"/>
                <w:szCs w:val="16"/>
                <w:lang w:eastAsia="el-GR"/>
              </w:rPr>
              <w:t>36</w:t>
            </w:r>
            <w:r>
              <w:rPr>
                <w:rFonts w:ascii="Segoe UI" w:eastAsia="Times New Roman" w:hAnsi="Segoe UI" w:cs="Segoe UI"/>
                <w:bCs/>
                <w:color w:val="000000" w:themeColor="text1"/>
                <w:kern w:val="24"/>
                <w:sz w:val="14"/>
                <w:szCs w:val="16"/>
                <w:lang w:eastAsia="el-GR"/>
              </w:rPr>
              <w:t>,</w:t>
            </w:r>
            <w:r w:rsidRPr="005255A9">
              <w:rPr>
                <w:rFonts w:ascii="Segoe UI" w:eastAsia="Times New Roman" w:hAnsi="Segoe UI" w:cs="Segoe UI"/>
                <w:bCs/>
                <w:color w:val="000000" w:themeColor="text1"/>
                <w:kern w:val="24"/>
                <w:sz w:val="14"/>
                <w:szCs w:val="16"/>
                <w:lang w:eastAsia="el-GR"/>
              </w:rPr>
              <w:t xml:space="preserve">9 </w:t>
            </w:r>
          </w:p>
        </w:tc>
      </w:tr>
    </w:tbl>
    <w:p w:rsidR="00E55AED" w:rsidRPr="00F73358" w:rsidRDefault="000540A1" w:rsidP="00E55AED">
      <w:pPr>
        <w:jc w:val="both"/>
        <w:textAlignment w:val="baseline"/>
        <w:rPr>
          <w:rFonts w:ascii="Segoe UI" w:hAnsi="Segoe UI" w:cs="Segoe UI"/>
          <w:b/>
          <w:sz w:val="7"/>
          <w:szCs w:val="7"/>
        </w:rPr>
      </w:pPr>
      <w:r w:rsidRPr="00F3004F">
        <w:rPr>
          <w:rFonts w:ascii="Segoe UI" w:hAnsi="Segoe UI" w:cs="Segoe UI"/>
          <w:color w:val="000000" w:themeColor="text1"/>
          <w:kern w:val="24"/>
          <w:sz w:val="9"/>
          <w:szCs w:val="7"/>
          <w:vertAlign w:val="superscript"/>
        </w:rPr>
        <w:t>1</w:t>
      </w:r>
      <w:r w:rsidRPr="00F3004F">
        <w:rPr>
          <w:rFonts w:ascii="Segoe UI" w:hAnsi="Segoe UI" w:cs="Segoe UI"/>
          <w:color w:val="000000" w:themeColor="text1"/>
          <w:kern w:val="24"/>
          <w:sz w:val="9"/>
          <w:szCs w:val="7"/>
        </w:rPr>
        <w:t xml:space="preserve"> </w:t>
      </w:r>
      <w:r w:rsidR="009436A0" w:rsidRPr="00F3004F">
        <w:rPr>
          <w:rFonts w:ascii="Segoe UI" w:hAnsi="Segoe UI" w:cs="Segoe UI"/>
          <w:color w:val="000000" w:themeColor="text1"/>
          <w:kern w:val="24"/>
          <w:sz w:val="9"/>
          <w:szCs w:val="7"/>
          <w:lang w:val="en-US"/>
        </w:rPr>
        <w:t>To</w:t>
      </w:r>
      <w:r w:rsidR="009436A0" w:rsidRPr="00F3004F">
        <w:rPr>
          <w:rFonts w:ascii="Segoe UI" w:hAnsi="Segoe UI" w:cs="Segoe UI"/>
          <w:color w:val="000000" w:themeColor="text1"/>
          <w:kern w:val="24"/>
          <w:sz w:val="9"/>
          <w:szCs w:val="7"/>
        </w:rPr>
        <w:t xml:space="preserve"> καθαρό επιτοκιακό περιθώριο υπολογίζεται επί του μηνιαίου μέσου όρου τοκοφόρων στοιχείων του Ενεργητικού / </w:t>
      </w:r>
      <w:r w:rsidR="00F3004F" w:rsidRPr="00F3004F">
        <w:rPr>
          <w:rFonts w:ascii="Segoe UI" w:hAnsi="Segoe UI" w:cs="Segoe UI"/>
          <w:color w:val="000000" w:themeColor="text1"/>
          <w:kern w:val="24"/>
          <w:sz w:val="9"/>
          <w:szCs w:val="7"/>
          <w:vertAlign w:val="superscript"/>
        </w:rPr>
        <w:t xml:space="preserve">2 </w:t>
      </w:r>
      <w:r w:rsidR="006D5764" w:rsidRPr="00F3004F">
        <w:rPr>
          <w:rFonts w:ascii="Segoe UI" w:hAnsi="Segoe UI" w:cs="Segoe UI"/>
          <w:color w:val="000000" w:themeColor="text1"/>
          <w:kern w:val="24"/>
          <w:sz w:val="9"/>
          <w:szCs w:val="7"/>
        </w:rPr>
        <w:t>Το περιθώριο</w:t>
      </w:r>
      <w:r w:rsidR="00CA2646" w:rsidRPr="00F3004F">
        <w:rPr>
          <w:rFonts w:ascii="Segoe UI" w:hAnsi="Segoe UI" w:cs="Segoe UI"/>
          <w:color w:val="000000" w:themeColor="text1"/>
          <w:kern w:val="24"/>
          <w:sz w:val="9"/>
          <w:szCs w:val="7"/>
        </w:rPr>
        <w:t xml:space="preserve"> </w:t>
      </w:r>
      <w:r w:rsidR="00D77D8A" w:rsidRPr="00F3004F">
        <w:rPr>
          <w:rFonts w:ascii="Segoe UI" w:hAnsi="Segoe UI" w:cs="Segoe UI"/>
          <w:color w:val="000000" w:themeColor="text1"/>
          <w:kern w:val="24"/>
          <w:sz w:val="9"/>
          <w:szCs w:val="7"/>
        </w:rPr>
        <w:t xml:space="preserve">οργανικού </w:t>
      </w:r>
      <w:r w:rsidR="006D5764" w:rsidRPr="00F3004F">
        <w:rPr>
          <w:rFonts w:ascii="Segoe UI" w:hAnsi="Segoe UI" w:cs="Segoe UI"/>
          <w:color w:val="000000" w:themeColor="text1"/>
          <w:kern w:val="24"/>
          <w:sz w:val="9"/>
          <w:szCs w:val="7"/>
        </w:rPr>
        <w:t xml:space="preserve">κέρδους εξαιρεί </w:t>
      </w:r>
      <w:r w:rsidR="00D77D8A" w:rsidRPr="00F3004F">
        <w:rPr>
          <w:rFonts w:ascii="Segoe UI" w:hAnsi="Segoe UI" w:cs="Segoe UI"/>
          <w:color w:val="000000" w:themeColor="text1"/>
          <w:kern w:val="24"/>
          <w:sz w:val="9"/>
          <w:szCs w:val="7"/>
        </w:rPr>
        <w:t xml:space="preserve">τα έσοδα από χρηματοοικονομικές πράξεις και λοιπά </w:t>
      </w:r>
      <w:r w:rsidR="004E521D" w:rsidRPr="00F3004F">
        <w:rPr>
          <w:rFonts w:ascii="Segoe UI" w:hAnsi="Segoe UI" w:cs="Segoe UI"/>
          <w:color w:val="000000" w:themeColor="text1"/>
          <w:kern w:val="24"/>
          <w:sz w:val="9"/>
          <w:szCs w:val="7"/>
        </w:rPr>
        <w:t>έσοδα</w:t>
      </w:r>
      <w:r w:rsidR="00F3004F">
        <w:rPr>
          <w:rFonts w:ascii="Segoe UI" w:hAnsi="Segoe UI" w:cs="Segoe UI"/>
          <w:color w:val="000000" w:themeColor="text1"/>
          <w:kern w:val="24"/>
          <w:sz w:val="9"/>
          <w:szCs w:val="7"/>
        </w:rPr>
        <w:t xml:space="preserve"> </w:t>
      </w:r>
      <w:r w:rsidR="00D77D8A" w:rsidRPr="00F3004F">
        <w:rPr>
          <w:rFonts w:ascii="Segoe UI" w:hAnsi="Segoe UI" w:cs="Segoe UI"/>
          <w:color w:val="000000" w:themeColor="text1"/>
          <w:kern w:val="24"/>
          <w:sz w:val="9"/>
          <w:szCs w:val="7"/>
        </w:rPr>
        <w:t>και τις προβλέψεις</w:t>
      </w:r>
      <w:r w:rsidR="00C03D52" w:rsidRPr="00F3004F">
        <w:rPr>
          <w:rFonts w:ascii="Segoe UI" w:hAnsi="Segoe UI" w:cs="Segoe UI"/>
          <w:color w:val="000000" w:themeColor="text1"/>
          <w:kern w:val="24"/>
          <w:sz w:val="9"/>
          <w:szCs w:val="7"/>
        </w:rPr>
        <w:t xml:space="preserve"> σχετιζόμενες </w:t>
      </w:r>
      <w:r w:rsidR="005255A9" w:rsidRPr="00F3004F">
        <w:rPr>
          <w:rFonts w:ascii="Segoe UI" w:hAnsi="Segoe UI" w:cs="Segoe UI"/>
          <w:color w:val="000000" w:themeColor="text1"/>
          <w:kern w:val="24"/>
          <w:sz w:val="9"/>
          <w:szCs w:val="7"/>
        </w:rPr>
        <w:t>με τη</w:t>
      </w:r>
      <w:r w:rsidR="004E521D" w:rsidRPr="00F3004F">
        <w:rPr>
          <w:rFonts w:ascii="Segoe UI" w:hAnsi="Segoe UI" w:cs="Segoe UI"/>
          <w:color w:val="000000" w:themeColor="text1"/>
          <w:kern w:val="24"/>
          <w:sz w:val="9"/>
          <w:szCs w:val="7"/>
        </w:rPr>
        <w:t xml:space="preserve"> συναλλαγή Frontier (€0,4 δισ.) το Δ’ τρίμηνο 2020 και την </w:t>
      </w:r>
      <w:r w:rsidR="005255A9" w:rsidRPr="00F3004F">
        <w:rPr>
          <w:rFonts w:ascii="Segoe UI" w:hAnsi="Segoe UI" w:cs="Segoe UI"/>
          <w:color w:val="000000" w:themeColor="text1"/>
          <w:kern w:val="24"/>
          <w:sz w:val="9"/>
          <w:szCs w:val="7"/>
        </w:rPr>
        <w:t>πανδημία του κορωνοϊού (€0,4 δισ.</w:t>
      </w:r>
      <w:r w:rsidR="00D34399" w:rsidRPr="00F3004F">
        <w:rPr>
          <w:rFonts w:ascii="Segoe UI" w:hAnsi="Segoe UI" w:cs="Segoe UI"/>
          <w:color w:val="000000" w:themeColor="text1"/>
          <w:kern w:val="24"/>
          <w:sz w:val="9"/>
          <w:szCs w:val="7"/>
        </w:rPr>
        <w:t xml:space="preserve">) </w:t>
      </w:r>
      <w:r w:rsidR="004E521D" w:rsidRPr="00F3004F">
        <w:rPr>
          <w:rFonts w:ascii="Segoe UI" w:hAnsi="Segoe UI" w:cs="Segoe UI"/>
          <w:color w:val="000000" w:themeColor="text1"/>
          <w:kern w:val="24"/>
          <w:sz w:val="9"/>
          <w:szCs w:val="7"/>
        </w:rPr>
        <w:t>το Α’ τρίμηνο 2020</w:t>
      </w:r>
      <w:r w:rsidR="00D34399" w:rsidRPr="00F3004F">
        <w:rPr>
          <w:rFonts w:ascii="Segoe UI" w:hAnsi="Segoe UI" w:cs="Segoe UI"/>
          <w:color w:val="000000" w:themeColor="text1"/>
          <w:kern w:val="24"/>
          <w:sz w:val="9"/>
          <w:szCs w:val="7"/>
        </w:rPr>
        <w:t xml:space="preserve"> </w:t>
      </w:r>
      <w:r w:rsidR="00622798" w:rsidRPr="00F3004F">
        <w:rPr>
          <w:rFonts w:ascii="Segoe UI" w:hAnsi="Segoe UI" w:cs="Segoe UI"/>
          <w:color w:val="000000" w:themeColor="text1"/>
          <w:kern w:val="24"/>
          <w:sz w:val="9"/>
          <w:szCs w:val="7"/>
        </w:rPr>
        <w:t xml:space="preserve">/ </w:t>
      </w:r>
      <w:r w:rsidR="00120A78">
        <w:rPr>
          <w:rFonts w:ascii="Segoe UI" w:hAnsi="Segoe UI" w:cs="Segoe UI"/>
          <w:color w:val="000000" w:themeColor="text1"/>
          <w:kern w:val="24"/>
          <w:sz w:val="9"/>
          <w:szCs w:val="7"/>
          <w:vertAlign w:val="superscript"/>
        </w:rPr>
        <w:t xml:space="preserve">3 </w:t>
      </w:r>
      <w:r w:rsidR="00D333B5" w:rsidRPr="00F3004F">
        <w:rPr>
          <w:rFonts w:ascii="Segoe UI" w:hAnsi="Segoe UI" w:cs="Segoe UI"/>
          <w:color w:val="000000" w:themeColor="text1"/>
          <w:kern w:val="24"/>
          <w:sz w:val="9"/>
          <w:szCs w:val="7"/>
        </w:rPr>
        <w:t>Περιλαμβ</w:t>
      </w:r>
      <w:r w:rsidR="00CA7818" w:rsidRPr="00F3004F">
        <w:rPr>
          <w:rFonts w:ascii="Segoe UI" w:hAnsi="Segoe UI" w:cs="Segoe UI"/>
          <w:color w:val="000000" w:themeColor="text1"/>
          <w:kern w:val="24"/>
          <w:sz w:val="9"/>
          <w:szCs w:val="7"/>
        </w:rPr>
        <w:t xml:space="preserve">άνει τα ομόλογα υψηλής διαβάθμισης </w:t>
      </w:r>
      <w:r w:rsidR="00D333B5" w:rsidRPr="00F3004F">
        <w:rPr>
          <w:rFonts w:ascii="Segoe UI" w:hAnsi="Segoe UI" w:cs="Segoe UI"/>
          <w:color w:val="000000" w:themeColor="text1"/>
          <w:kern w:val="24"/>
          <w:sz w:val="9"/>
          <w:szCs w:val="7"/>
        </w:rPr>
        <w:t>ύψους περίπου</w:t>
      </w:r>
      <w:r w:rsidR="00F3004F">
        <w:rPr>
          <w:rFonts w:ascii="Segoe UI" w:hAnsi="Segoe UI" w:cs="Segoe UI"/>
          <w:color w:val="000000" w:themeColor="text1"/>
          <w:kern w:val="24"/>
          <w:sz w:val="9"/>
          <w:szCs w:val="7"/>
        </w:rPr>
        <w:t xml:space="preserve"> </w:t>
      </w:r>
      <w:r w:rsidR="00D333B5" w:rsidRPr="00F3004F">
        <w:rPr>
          <w:rFonts w:ascii="Segoe UI" w:hAnsi="Segoe UI" w:cs="Segoe UI"/>
          <w:color w:val="000000" w:themeColor="text1"/>
          <w:kern w:val="24"/>
          <w:sz w:val="9"/>
          <w:szCs w:val="7"/>
        </w:rPr>
        <w:t>€3</w:t>
      </w:r>
      <w:r w:rsidR="004E521D" w:rsidRPr="00F3004F">
        <w:rPr>
          <w:rFonts w:ascii="Segoe UI" w:hAnsi="Segoe UI" w:cs="Segoe UI"/>
          <w:color w:val="000000" w:themeColor="text1"/>
          <w:kern w:val="24"/>
          <w:sz w:val="9"/>
          <w:szCs w:val="7"/>
        </w:rPr>
        <w:t>,</w:t>
      </w:r>
      <w:r w:rsidR="00734D71" w:rsidRPr="00F3004F">
        <w:rPr>
          <w:rFonts w:ascii="Segoe UI" w:hAnsi="Segoe UI" w:cs="Segoe UI"/>
          <w:color w:val="000000" w:themeColor="text1"/>
          <w:kern w:val="24"/>
          <w:sz w:val="9"/>
          <w:szCs w:val="7"/>
        </w:rPr>
        <w:t>0</w:t>
      </w:r>
      <w:r w:rsidR="002671C2" w:rsidRPr="00F3004F">
        <w:rPr>
          <w:rFonts w:ascii="Segoe UI" w:hAnsi="Segoe UI" w:cs="Segoe UI"/>
          <w:color w:val="000000" w:themeColor="text1"/>
          <w:kern w:val="24"/>
          <w:sz w:val="9"/>
          <w:szCs w:val="7"/>
        </w:rPr>
        <w:t xml:space="preserve"> </w:t>
      </w:r>
      <w:r w:rsidR="00D333B5" w:rsidRPr="00F3004F">
        <w:rPr>
          <w:rFonts w:ascii="Segoe UI" w:hAnsi="Segoe UI" w:cs="Segoe UI"/>
          <w:color w:val="000000" w:themeColor="text1"/>
          <w:kern w:val="24"/>
          <w:sz w:val="9"/>
          <w:szCs w:val="7"/>
        </w:rPr>
        <w:t>δισ.</w:t>
      </w:r>
      <w:r w:rsidR="000915A1" w:rsidRPr="00F3004F">
        <w:rPr>
          <w:rFonts w:ascii="Segoe UI" w:hAnsi="Segoe UI" w:cs="Segoe UI"/>
          <w:color w:val="000000" w:themeColor="text1"/>
          <w:kern w:val="24"/>
          <w:sz w:val="9"/>
          <w:szCs w:val="7"/>
        </w:rPr>
        <w:t xml:space="preserve"> </w:t>
      </w:r>
      <w:r w:rsidR="00CA7818" w:rsidRPr="00F3004F">
        <w:rPr>
          <w:rFonts w:ascii="Segoe UI" w:hAnsi="Segoe UI" w:cs="Segoe UI"/>
          <w:color w:val="000000" w:themeColor="text1"/>
          <w:kern w:val="24"/>
          <w:sz w:val="9"/>
          <w:szCs w:val="7"/>
        </w:rPr>
        <w:t xml:space="preserve">της συναλλαγής </w:t>
      </w:r>
      <w:r w:rsidR="00CA7818" w:rsidRPr="00F3004F">
        <w:rPr>
          <w:rFonts w:ascii="Segoe UI" w:hAnsi="Segoe UI" w:cs="Segoe UI"/>
          <w:color w:val="000000" w:themeColor="text1"/>
          <w:kern w:val="24"/>
          <w:sz w:val="9"/>
          <w:szCs w:val="7"/>
          <w:lang w:val="en-US"/>
        </w:rPr>
        <w:t>Frontier</w:t>
      </w:r>
      <w:r w:rsidR="00D333B5" w:rsidRPr="00F3004F">
        <w:rPr>
          <w:rFonts w:ascii="Segoe UI" w:hAnsi="Segoe UI" w:cs="Segoe UI"/>
          <w:color w:val="000000" w:themeColor="text1"/>
          <w:kern w:val="24"/>
          <w:sz w:val="9"/>
          <w:szCs w:val="7"/>
        </w:rPr>
        <w:t xml:space="preserve"> /</w:t>
      </w:r>
      <w:r w:rsidR="00E451E5" w:rsidRPr="00F3004F">
        <w:rPr>
          <w:rFonts w:ascii="Segoe UI" w:hAnsi="Segoe UI" w:cs="Segoe UI"/>
          <w:color w:val="000000" w:themeColor="text1"/>
          <w:kern w:val="24"/>
          <w:sz w:val="9"/>
          <w:szCs w:val="7"/>
        </w:rPr>
        <w:t xml:space="preserve"> </w:t>
      </w:r>
      <w:r w:rsidR="00120A78">
        <w:rPr>
          <w:rFonts w:ascii="Segoe UI" w:hAnsi="Segoe UI" w:cs="Segoe UI"/>
          <w:color w:val="000000" w:themeColor="text1"/>
          <w:kern w:val="24"/>
          <w:sz w:val="9"/>
          <w:szCs w:val="7"/>
          <w:vertAlign w:val="superscript"/>
        </w:rPr>
        <w:t xml:space="preserve">4 </w:t>
      </w:r>
      <w:r w:rsidR="0030041E" w:rsidRPr="00F3004F">
        <w:rPr>
          <w:rFonts w:ascii="Segoe UI" w:hAnsi="Segoe UI" w:cs="Segoe UI"/>
          <w:color w:val="000000" w:themeColor="text1"/>
          <w:kern w:val="24"/>
          <w:sz w:val="9"/>
          <w:szCs w:val="7"/>
        </w:rPr>
        <w:t xml:space="preserve">Περιλαμβάνονται τα κέρδη </w:t>
      </w:r>
      <w:r w:rsidR="006F363E" w:rsidRPr="00F3004F">
        <w:rPr>
          <w:rFonts w:ascii="Segoe UI" w:hAnsi="Segoe UI" w:cs="Segoe UI"/>
          <w:color w:val="000000" w:themeColor="text1"/>
          <w:kern w:val="24"/>
          <w:sz w:val="9"/>
          <w:szCs w:val="7"/>
        </w:rPr>
        <w:t>της περιόδου</w:t>
      </w:r>
      <w:r w:rsidR="006F363E" w:rsidRPr="000915A1">
        <w:rPr>
          <w:rFonts w:ascii="Segoe UI" w:hAnsi="Segoe UI" w:cs="Segoe UI"/>
          <w:color w:val="000000" w:themeColor="text1"/>
          <w:kern w:val="24"/>
          <w:sz w:val="9"/>
          <w:szCs w:val="7"/>
        </w:rPr>
        <w:t xml:space="preserve"> </w:t>
      </w:r>
      <w:r w:rsidR="00E55AED" w:rsidRPr="00F73358">
        <w:rPr>
          <w:rFonts w:ascii="Segoe UI" w:hAnsi="Segoe UI" w:cs="Segoe UI"/>
          <w:b/>
          <w:sz w:val="7"/>
          <w:szCs w:val="7"/>
        </w:rPr>
        <w:br w:type="page"/>
      </w:r>
    </w:p>
    <w:p w:rsidR="00E55AED" w:rsidRPr="0082683D" w:rsidRDefault="000F7D3C" w:rsidP="00E55AED">
      <w:pPr>
        <w:textAlignment w:val="baseline"/>
        <w:rPr>
          <w:rFonts w:ascii="Segoe UI" w:hAnsi="Segoe UI" w:cs="Segoe UI"/>
          <w:b/>
          <w:sz w:val="20"/>
          <w:szCs w:val="20"/>
        </w:rPr>
      </w:pPr>
      <w:r>
        <w:rPr>
          <w:rFonts w:ascii="Segoe UI" w:hAnsi="Segoe UI" w:cs="Segoe UI"/>
          <w:noProof/>
          <w:sz w:val="16"/>
          <w:szCs w:val="16"/>
          <w:lang w:eastAsia="el-GR"/>
        </w:rPr>
        <w:lastRenderedPageBreak/>
        <mc:AlternateContent>
          <mc:Choice Requires="wps">
            <w:drawing>
              <wp:anchor distT="0" distB="0" distL="114300" distR="114300" simplePos="0" relativeHeight="251673088" behindDoc="0" locked="0" layoutInCell="1" allowOverlap="1" wp14:anchorId="00ECECA4" wp14:editId="1C3EFD10">
                <wp:simplePos x="0" y="0"/>
                <wp:positionH relativeFrom="column">
                  <wp:posOffset>2735580</wp:posOffset>
                </wp:positionH>
                <wp:positionV relativeFrom="paragraph">
                  <wp:posOffset>165735</wp:posOffset>
                </wp:positionV>
                <wp:extent cx="611505" cy="2462530"/>
                <wp:effectExtent l="0" t="0" r="17145" b="13970"/>
                <wp:wrapNone/>
                <wp:docPr id="31"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 cy="2462530"/>
                        </a:xfrm>
                        <a:prstGeom prst="roundRect">
                          <a:avLst/>
                        </a:prstGeom>
                        <a:noFill/>
                        <a:ln w="9525" cap="flat" cmpd="sng" algn="ctr">
                          <a:solidFill>
                            <a:srgbClr val="FF7415"/>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roundrect w14:anchorId="12473AFF" id="Rounded Rectangle 18" o:spid="_x0000_s1026" style="position:absolute;margin-left:215.4pt;margin-top:13.05pt;width:48.15pt;height:193.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" filled="f" strokecolor="#ff7415">
                <v:path arrowok="t"/>
              </v:roundrect>
            </w:pict>
          </mc:Fallback>
        </mc:AlternateContent>
      </w:r>
      <w:r w:rsidR="00810B16">
        <w:rPr>
          <w:rFonts w:ascii="Segoe UI" w:hAnsi="Segoe UI" w:cs="Segoe UI"/>
          <w:noProof/>
          <w:sz w:val="28"/>
          <w:vertAlign w:val="superscript"/>
          <w:lang w:eastAsia="el-GR"/>
        </w:rPr>
        <mc:AlternateContent>
          <mc:Choice Requires="wps">
            <w:drawing>
              <wp:anchor distT="0" distB="0" distL="114300" distR="114300" simplePos="0" relativeHeight="251656704" behindDoc="0" locked="0" layoutInCell="1" allowOverlap="1" wp14:anchorId="001B6022" wp14:editId="3543B113">
                <wp:simplePos x="0" y="0"/>
                <wp:positionH relativeFrom="column">
                  <wp:posOffset>-33655</wp:posOffset>
                </wp:positionH>
                <wp:positionV relativeFrom="paragraph">
                  <wp:posOffset>-96520</wp:posOffset>
                </wp:positionV>
                <wp:extent cx="3312000" cy="313055"/>
                <wp:effectExtent l="0" t="0" r="3175" b="0"/>
                <wp:wrapNone/>
                <wp:docPr id="750847104" name="Rectangle 6"/>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3312000" cy="3130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337" w:rsidRDefault="00DA0337" w:rsidP="00E55AED">
                            <w:pPr>
                              <w:kinsoku w:val="0"/>
                              <w:overflowPunct w:val="0"/>
                              <w:spacing w:before="40"/>
                              <w:ind w:left="547" w:hanging="547"/>
                              <w:textAlignment w:val="baseline"/>
                              <w:rPr>
                                <w:rFonts w:ascii="Segoe UI" w:eastAsia="Segoe UI" w:hAnsi="Segoe UI" w:cs="Segoe UI"/>
                                <w:b/>
                                <w:color w:val="008080"/>
                                <w:kern w:val="24"/>
                                <w:sz w:val="18"/>
                                <w:lang w:val="en-US"/>
                              </w:rPr>
                            </w:pPr>
                            <w:r>
                              <w:rPr>
                                <w:rFonts w:ascii="Segoe UI" w:eastAsia="Segoe UI" w:hAnsi="Segoe UI" w:cs="Segoe UI"/>
                                <w:b/>
                                <w:color w:val="008080"/>
                                <w:kern w:val="24"/>
                                <w:sz w:val="20"/>
                                <w:szCs w:val="20"/>
                              </w:rPr>
                              <w:t>Κατάσταση</w:t>
                            </w:r>
                            <w:r w:rsidRPr="00793815">
                              <w:rPr>
                                <w:rFonts w:ascii="Segoe UI" w:eastAsia="Segoe UI" w:hAnsi="Segoe UI" w:cs="Segoe UI"/>
                                <w:b/>
                                <w:color w:val="008080"/>
                                <w:kern w:val="24"/>
                                <w:sz w:val="20"/>
                                <w:szCs w:val="20"/>
                                <w:lang w:val="en-US"/>
                              </w:rPr>
                              <w:t xml:space="preserve"> </w:t>
                            </w:r>
                            <w:r>
                              <w:rPr>
                                <w:rFonts w:ascii="Segoe UI" w:eastAsia="Segoe UI" w:hAnsi="Segoe UI" w:cs="Segoe UI"/>
                                <w:b/>
                                <w:color w:val="008080"/>
                                <w:kern w:val="24"/>
                                <w:sz w:val="20"/>
                                <w:szCs w:val="20"/>
                              </w:rPr>
                              <w:t>Αποτελεσμάτων</w:t>
                            </w:r>
                            <w:r w:rsidRPr="00793815">
                              <w:rPr>
                                <w:rFonts w:ascii="Segoe UI" w:eastAsia="Segoe UI" w:hAnsi="Segoe UI" w:cs="Segoe UI"/>
                                <w:b/>
                                <w:color w:val="008080"/>
                                <w:kern w:val="24"/>
                                <w:sz w:val="20"/>
                                <w:szCs w:val="20"/>
                                <w:lang w:val="en-US"/>
                              </w:rPr>
                              <w:t xml:space="preserve"> </w:t>
                            </w:r>
                            <w:r w:rsidRPr="0098297F">
                              <w:rPr>
                                <w:rFonts w:ascii="Segoe UI" w:eastAsia="Segoe UI" w:hAnsi="Segoe UI" w:cs="Segoe UI"/>
                                <w:b/>
                                <w:color w:val="008080"/>
                                <w:kern w:val="24"/>
                                <w:sz w:val="20"/>
                                <w:szCs w:val="20"/>
                                <w:lang w:val="en-US"/>
                              </w:rPr>
                              <w:t>| Ελλάδα</w:t>
                            </w:r>
                          </w:p>
                          <w:p w:rsidR="00DA0337" w:rsidRPr="00EB1181" w:rsidRDefault="00DA0337" w:rsidP="00E55AED">
                            <w:pPr>
                              <w:kinsoku w:val="0"/>
                              <w:overflowPunct w:val="0"/>
                              <w:spacing w:before="40"/>
                              <w:ind w:left="547" w:hanging="547"/>
                              <w:textAlignment w:val="baseline"/>
                              <w:rPr>
                                <w:rFonts w:ascii="Segoe UI" w:eastAsia="Segoe UI" w:hAnsi="Segoe UI" w:cs="Segoe UI"/>
                                <w:b/>
                                <w:color w:val="008080"/>
                                <w:kern w:val="24"/>
                                <w:sz w:val="18"/>
                                <w:lang w:val="en-US"/>
                              </w:rPr>
                            </w:pPr>
                          </w:p>
                          <w:p w:rsidR="00DA0337" w:rsidRPr="00D46FEC" w:rsidRDefault="00DA0337" w:rsidP="00E55AED">
                            <w:pPr>
                              <w:kinsoku w:val="0"/>
                              <w:overflowPunct w:val="0"/>
                              <w:spacing w:before="40"/>
                              <w:ind w:left="547" w:hanging="547"/>
                              <w:textAlignment w:val="baseline"/>
                              <w:rPr>
                                <w:rFonts w:ascii="Segoe UI" w:eastAsia="Segoe UI" w:hAnsi="Segoe UI" w:cs="Segoe UI"/>
                                <w:b/>
                                <w:color w:val="008080"/>
                                <w:kern w:val="24"/>
                                <w:sz w:val="16"/>
                              </w:rPr>
                            </w:pPr>
                          </w:p>
                          <w:p w:rsidR="00DA0337" w:rsidRPr="00D46FEC" w:rsidRDefault="00DA0337" w:rsidP="00E55AED">
                            <w:pPr>
                              <w:kinsoku w:val="0"/>
                              <w:overflowPunct w:val="0"/>
                              <w:spacing w:before="40"/>
                              <w:ind w:left="547" w:hanging="547"/>
                              <w:textAlignment w:val="baseline"/>
                              <w:rPr>
                                <w:rFonts w:ascii="Segoe UI" w:eastAsia="Segoe UI" w:hAnsi="Segoe UI" w:cs="Segoe UI"/>
                                <w:b/>
                                <w:color w:val="008080"/>
                                <w:kern w:val="24"/>
                                <w:sz w:val="16"/>
                              </w:rPr>
                            </w:pPr>
                          </w:p>
                          <w:p w:rsidR="00DA0337" w:rsidRPr="00D46FEC" w:rsidRDefault="00DA0337" w:rsidP="00E55AED">
                            <w:pPr>
                              <w:kinsoku w:val="0"/>
                              <w:overflowPunct w:val="0"/>
                              <w:spacing w:before="40"/>
                              <w:ind w:left="547" w:hanging="547"/>
                              <w:textAlignment w:val="baseline"/>
                              <w:rPr>
                                <w:rFonts w:ascii="Segoe UI" w:eastAsia="Segoe UI" w:hAnsi="Segoe UI" w:cs="Segoe UI"/>
                                <w:b/>
                                <w:color w:val="008080"/>
                                <w:kern w:val="24"/>
                                <w:sz w:val="16"/>
                              </w:rPr>
                            </w:pPr>
                          </w:p>
                          <w:p w:rsidR="00DA0337" w:rsidRPr="00FE1137" w:rsidRDefault="00DA0337" w:rsidP="00E55AED">
                            <w:pPr>
                              <w:kinsoku w:val="0"/>
                              <w:overflowPunct w:val="0"/>
                              <w:spacing w:before="40"/>
                              <w:ind w:left="547" w:hanging="547"/>
                              <w:textAlignment w:val="baseline"/>
                              <w:rPr>
                                <w:b/>
                                <w:color w:val="008080"/>
                                <w:sz w:val="16"/>
                              </w:rPr>
                            </w:pPr>
                          </w:p>
                        </w:txbxContent>
                      </wps:txbx>
                      <wps:bodyPr rot="0" vert="horz" wrap="square" lIns="45716" tIns="45716" rIns="45716" bIns="45716"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01B6022" id="Rectangle 6" o:spid="_x0000_s1034" style="position:absolute;margin-left:-2.65pt;margin-top:-7.6pt;width:260.8pt;height:2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" filled="f" stroked="f">
                <v:path arrowok="t"/>
                <o:lock v:ext="edit" grouping="t"/>
                <v:textbox inset="1.2699mm,1.2699mm,1.2699mm,1.2699mm">
                  <w:txbxContent>
                    <w:p w:rsidR="00DA0337" w:rsidRDefault="00DA0337" w:rsidP="00E55AED">
                      <w:pPr>
                        <w:kinsoku w:val="0"/>
                        <w:overflowPunct w:val="0"/>
                        <w:spacing w:before="40"/>
                        <w:ind w:left="547" w:hanging="547"/>
                        <w:textAlignment w:val="baseline"/>
                        <w:rPr>
                          <w:rFonts w:ascii="Segoe UI" w:eastAsia="Segoe UI" w:hAnsi="Segoe UI" w:cs="Segoe UI"/>
                          <w:b/>
                          <w:color w:val="008080"/>
                          <w:kern w:val="24"/>
                          <w:sz w:val="18"/>
                          <w:lang w:val="en-US"/>
                        </w:rPr>
                      </w:pPr>
                      <w:r>
                        <w:rPr>
                          <w:rFonts w:ascii="Segoe UI" w:eastAsia="Segoe UI" w:hAnsi="Segoe UI" w:cs="Segoe UI"/>
                          <w:b/>
                          <w:color w:val="008080"/>
                          <w:kern w:val="24"/>
                          <w:sz w:val="20"/>
                          <w:szCs w:val="20"/>
                        </w:rPr>
                        <w:t>Κατάσταση</w:t>
                      </w:r>
                      <w:r w:rsidRPr="00793815">
                        <w:rPr>
                          <w:rFonts w:ascii="Segoe UI" w:eastAsia="Segoe UI" w:hAnsi="Segoe UI" w:cs="Segoe UI"/>
                          <w:b/>
                          <w:color w:val="008080"/>
                          <w:kern w:val="24"/>
                          <w:sz w:val="20"/>
                          <w:szCs w:val="20"/>
                          <w:lang w:val="en-US"/>
                        </w:rPr>
                        <w:t xml:space="preserve"> </w:t>
                      </w:r>
                      <w:r>
                        <w:rPr>
                          <w:rFonts w:ascii="Segoe UI" w:eastAsia="Segoe UI" w:hAnsi="Segoe UI" w:cs="Segoe UI"/>
                          <w:b/>
                          <w:color w:val="008080"/>
                          <w:kern w:val="24"/>
                          <w:sz w:val="20"/>
                          <w:szCs w:val="20"/>
                        </w:rPr>
                        <w:t>Αποτελεσμάτων</w:t>
                      </w:r>
                      <w:r w:rsidRPr="00793815">
                        <w:rPr>
                          <w:rFonts w:ascii="Segoe UI" w:eastAsia="Segoe UI" w:hAnsi="Segoe UI" w:cs="Segoe UI"/>
                          <w:b/>
                          <w:color w:val="008080"/>
                          <w:kern w:val="24"/>
                          <w:sz w:val="20"/>
                          <w:szCs w:val="20"/>
                          <w:lang w:val="en-US"/>
                        </w:rPr>
                        <w:t xml:space="preserve"> </w:t>
                      </w:r>
                      <w:r w:rsidRPr="0098297F">
                        <w:rPr>
                          <w:rFonts w:ascii="Segoe UI" w:eastAsia="Segoe UI" w:hAnsi="Segoe UI" w:cs="Segoe UI"/>
                          <w:b/>
                          <w:color w:val="008080"/>
                          <w:kern w:val="24"/>
                          <w:sz w:val="20"/>
                          <w:szCs w:val="20"/>
                          <w:lang w:val="en-US"/>
                        </w:rPr>
                        <w:t>| Ελλάδα</w:t>
                      </w:r>
                    </w:p>
                    <w:p w:rsidR="00DA0337" w:rsidRPr="00EB1181" w:rsidRDefault="00DA0337" w:rsidP="00E55AED">
                      <w:pPr>
                        <w:kinsoku w:val="0"/>
                        <w:overflowPunct w:val="0"/>
                        <w:spacing w:before="40"/>
                        <w:ind w:left="547" w:hanging="547"/>
                        <w:textAlignment w:val="baseline"/>
                        <w:rPr>
                          <w:rFonts w:ascii="Segoe UI" w:eastAsia="Segoe UI" w:hAnsi="Segoe UI" w:cs="Segoe UI"/>
                          <w:b/>
                          <w:color w:val="008080"/>
                          <w:kern w:val="24"/>
                          <w:sz w:val="18"/>
                          <w:lang w:val="en-US"/>
                        </w:rPr>
                      </w:pPr>
                    </w:p>
                    <w:p w:rsidR="00DA0337" w:rsidRPr="00D46FEC" w:rsidRDefault="00DA0337" w:rsidP="00E55AED">
                      <w:pPr>
                        <w:kinsoku w:val="0"/>
                        <w:overflowPunct w:val="0"/>
                        <w:spacing w:before="40"/>
                        <w:ind w:left="547" w:hanging="547"/>
                        <w:textAlignment w:val="baseline"/>
                        <w:rPr>
                          <w:rFonts w:ascii="Segoe UI" w:eastAsia="Segoe UI" w:hAnsi="Segoe UI" w:cs="Segoe UI"/>
                          <w:b/>
                          <w:color w:val="008080"/>
                          <w:kern w:val="24"/>
                          <w:sz w:val="16"/>
                        </w:rPr>
                      </w:pPr>
                    </w:p>
                    <w:p w:rsidR="00DA0337" w:rsidRPr="00D46FEC" w:rsidRDefault="00DA0337" w:rsidP="00E55AED">
                      <w:pPr>
                        <w:kinsoku w:val="0"/>
                        <w:overflowPunct w:val="0"/>
                        <w:spacing w:before="40"/>
                        <w:ind w:left="547" w:hanging="547"/>
                        <w:textAlignment w:val="baseline"/>
                        <w:rPr>
                          <w:rFonts w:ascii="Segoe UI" w:eastAsia="Segoe UI" w:hAnsi="Segoe UI" w:cs="Segoe UI"/>
                          <w:b/>
                          <w:color w:val="008080"/>
                          <w:kern w:val="24"/>
                          <w:sz w:val="16"/>
                        </w:rPr>
                      </w:pPr>
                    </w:p>
                    <w:p w:rsidR="00DA0337" w:rsidRPr="00D46FEC" w:rsidRDefault="00DA0337" w:rsidP="00E55AED">
                      <w:pPr>
                        <w:kinsoku w:val="0"/>
                        <w:overflowPunct w:val="0"/>
                        <w:spacing w:before="40"/>
                        <w:ind w:left="547" w:hanging="547"/>
                        <w:textAlignment w:val="baseline"/>
                        <w:rPr>
                          <w:rFonts w:ascii="Segoe UI" w:eastAsia="Segoe UI" w:hAnsi="Segoe UI" w:cs="Segoe UI"/>
                          <w:b/>
                          <w:color w:val="008080"/>
                          <w:kern w:val="24"/>
                          <w:sz w:val="16"/>
                        </w:rPr>
                      </w:pPr>
                    </w:p>
                    <w:p w:rsidR="00DA0337" w:rsidRPr="00FE1137" w:rsidRDefault="00DA0337" w:rsidP="00E55AED">
                      <w:pPr>
                        <w:kinsoku w:val="0"/>
                        <w:overflowPunct w:val="0"/>
                        <w:spacing w:before="40"/>
                        <w:ind w:left="547" w:hanging="547"/>
                        <w:textAlignment w:val="baseline"/>
                        <w:rPr>
                          <w:b/>
                          <w:color w:val="008080"/>
                          <w:sz w:val="16"/>
                        </w:rPr>
                      </w:pPr>
                    </w:p>
                  </w:txbxContent>
                </v:textbox>
              </v:rect>
            </w:pict>
          </mc:Fallback>
        </mc:AlternateContent>
      </w:r>
    </w:p>
    <w:tbl>
      <w:tblPr>
        <w:tblW w:w="4920" w:type="pct"/>
        <w:tblCellMar>
          <w:left w:w="0" w:type="dxa"/>
          <w:right w:w="0" w:type="dxa"/>
        </w:tblCellMar>
        <w:tblLook w:val="0420" w:firstRow="1" w:lastRow="0" w:firstColumn="0" w:lastColumn="0" w:noHBand="0" w:noVBand="1"/>
      </w:tblPr>
      <w:tblGrid>
        <w:gridCol w:w="4322"/>
        <w:gridCol w:w="954"/>
        <w:gridCol w:w="953"/>
        <w:gridCol w:w="953"/>
        <w:gridCol w:w="953"/>
        <w:gridCol w:w="953"/>
        <w:gridCol w:w="947"/>
      </w:tblGrid>
      <w:tr w:rsidR="003A412B" w:rsidRPr="0098297F" w:rsidTr="00127C1A">
        <w:trPr>
          <w:trHeight w:val="289"/>
        </w:trPr>
        <w:tc>
          <w:tcPr>
            <w:tcW w:w="2153" w:type="pct"/>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3A412B" w:rsidRPr="0098297F" w:rsidRDefault="003A412B" w:rsidP="001E3079">
            <w:pPr>
              <w:spacing w:before="38"/>
              <w:textAlignment w:val="baseline"/>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 xml:space="preserve">€ </w:t>
            </w:r>
            <w:r>
              <w:rPr>
                <w:rFonts w:ascii="Segoe UI" w:eastAsia="Segoe UI" w:hAnsi="Segoe UI" w:cs="Segoe UI"/>
                <w:b/>
                <w:bCs/>
                <w:color w:val="000000"/>
                <w:kern w:val="24"/>
                <w:sz w:val="14"/>
                <w:szCs w:val="14"/>
                <w:lang w:eastAsia="el-GR"/>
              </w:rPr>
              <w:t>εκατ.</w:t>
            </w:r>
          </w:p>
        </w:tc>
        <w:tc>
          <w:tcPr>
            <w:tcW w:w="475" w:type="pct"/>
            <w:tcBorders>
              <w:top w:val="single" w:sz="8" w:space="0" w:color="000000"/>
              <w:left w:val="nil"/>
              <w:bottom w:val="single" w:sz="8" w:space="0" w:color="000000"/>
              <w:right w:val="nil"/>
            </w:tcBorders>
            <w:vAlign w:val="center"/>
          </w:tcPr>
          <w:p w:rsidR="003A412B" w:rsidRPr="00503C59" w:rsidRDefault="003A412B" w:rsidP="001E3079">
            <w:pPr>
              <w:ind w:right="114"/>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Α</w:t>
            </w:r>
            <w:r w:rsidRPr="00503C59">
              <w:rPr>
                <w:rFonts w:ascii="Segoe UI" w:eastAsia="Times New Roman" w:hAnsi="Segoe UI" w:cs="Segoe UI"/>
                <w:b/>
                <w:bCs/>
                <w:color w:val="000000" w:themeColor="text1"/>
                <w:kern w:val="24"/>
                <w:sz w:val="14"/>
                <w:szCs w:val="14"/>
                <w:lang w:eastAsia="el-GR"/>
              </w:rPr>
              <w:t>‘</w:t>
            </w:r>
            <w:r w:rsidR="00AD1513">
              <w:rPr>
                <w:rFonts w:ascii="Segoe UI" w:eastAsia="Times New Roman" w:hAnsi="Segoe UI" w:cs="Segoe UI"/>
                <w:b/>
                <w:bCs/>
                <w:color w:val="000000" w:themeColor="text1"/>
                <w:kern w:val="24"/>
                <w:sz w:val="14"/>
                <w:szCs w:val="14"/>
                <w:lang w:eastAsia="el-GR"/>
              </w:rPr>
              <w:t xml:space="preserve"> </w:t>
            </w:r>
            <w:r w:rsidRPr="003A412B">
              <w:rPr>
                <w:rFonts w:ascii="Segoe UI" w:eastAsia="Times New Roman" w:hAnsi="Segoe UI" w:cs="Segoe UI"/>
                <w:b/>
                <w:bCs/>
                <w:color w:val="000000" w:themeColor="text1"/>
                <w:kern w:val="24"/>
                <w:sz w:val="14"/>
                <w:szCs w:val="14"/>
                <w:lang w:eastAsia="el-GR"/>
              </w:rPr>
              <w:t xml:space="preserve">εξάμηνο </w:t>
            </w:r>
            <w:r w:rsidRPr="00503C59">
              <w:rPr>
                <w:rFonts w:ascii="Segoe UI" w:eastAsia="Times New Roman" w:hAnsi="Segoe UI" w:cs="Segoe UI"/>
                <w:b/>
                <w:bCs/>
                <w:color w:val="000000" w:themeColor="text1"/>
                <w:kern w:val="24"/>
                <w:sz w:val="14"/>
                <w:szCs w:val="14"/>
                <w:lang w:eastAsia="el-GR"/>
              </w:rPr>
              <w:t>202</w:t>
            </w:r>
            <w:r>
              <w:rPr>
                <w:rFonts w:ascii="Segoe UI" w:eastAsia="Times New Roman" w:hAnsi="Segoe UI" w:cs="Segoe UI"/>
                <w:b/>
                <w:bCs/>
                <w:color w:val="000000" w:themeColor="text1"/>
                <w:kern w:val="24"/>
                <w:sz w:val="14"/>
                <w:szCs w:val="14"/>
                <w:lang w:eastAsia="el-GR"/>
              </w:rPr>
              <w:t>1</w:t>
            </w:r>
          </w:p>
        </w:tc>
        <w:tc>
          <w:tcPr>
            <w:tcW w:w="475" w:type="pct"/>
            <w:tcBorders>
              <w:top w:val="single" w:sz="8" w:space="0" w:color="000000"/>
              <w:left w:val="nil"/>
              <w:bottom w:val="single" w:sz="8" w:space="0" w:color="000000"/>
              <w:right w:val="nil"/>
            </w:tcBorders>
            <w:vAlign w:val="center"/>
          </w:tcPr>
          <w:p w:rsidR="003A412B" w:rsidRPr="00503C59" w:rsidRDefault="003A412B" w:rsidP="001E3079">
            <w:pPr>
              <w:ind w:right="114"/>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Α</w:t>
            </w:r>
            <w:r w:rsidRPr="00503C59">
              <w:rPr>
                <w:rFonts w:ascii="Segoe UI" w:eastAsia="Times New Roman" w:hAnsi="Segoe UI" w:cs="Segoe UI"/>
                <w:b/>
                <w:bCs/>
                <w:color w:val="000000" w:themeColor="text1"/>
                <w:kern w:val="24"/>
                <w:sz w:val="14"/>
                <w:szCs w:val="14"/>
                <w:lang w:eastAsia="el-GR"/>
              </w:rPr>
              <w:t>‘</w:t>
            </w:r>
            <w:r w:rsidR="00AD1513">
              <w:rPr>
                <w:rFonts w:ascii="Segoe UI" w:eastAsia="Times New Roman" w:hAnsi="Segoe UI" w:cs="Segoe UI"/>
                <w:b/>
                <w:bCs/>
                <w:color w:val="000000" w:themeColor="text1"/>
                <w:kern w:val="24"/>
                <w:sz w:val="14"/>
                <w:szCs w:val="14"/>
                <w:lang w:eastAsia="el-GR"/>
              </w:rPr>
              <w:t xml:space="preserve"> </w:t>
            </w:r>
            <w:r w:rsidRPr="003A412B">
              <w:rPr>
                <w:rFonts w:ascii="Segoe UI" w:eastAsia="Times New Roman" w:hAnsi="Segoe UI" w:cs="Segoe UI"/>
                <w:b/>
                <w:bCs/>
                <w:color w:val="000000" w:themeColor="text1"/>
                <w:kern w:val="24"/>
                <w:sz w:val="14"/>
                <w:szCs w:val="14"/>
                <w:lang w:eastAsia="el-GR"/>
              </w:rPr>
              <w:t xml:space="preserve">εξάμηνο </w:t>
            </w:r>
            <w:r w:rsidRPr="00503C59">
              <w:rPr>
                <w:rFonts w:ascii="Segoe UI" w:eastAsia="Times New Roman" w:hAnsi="Segoe UI" w:cs="Segoe UI"/>
                <w:b/>
                <w:bCs/>
                <w:color w:val="000000" w:themeColor="text1"/>
                <w:kern w:val="24"/>
                <w:sz w:val="14"/>
                <w:szCs w:val="14"/>
                <w:lang w:eastAsia="el-GR"/>
              </w:rPr>
              <w:t>2020</w:t>
            </w:r>
          </w:p>
        </w:tc>
        <w:tc>
          <w:tcPr>
            <w:tcW w:w="475" w:type="pct"/>
            <w:tcBorders>
              <w:top w:val="single" w:sz="8" w:space="0" w:color="000000"/>
              <w:left w:val="nil"/>
              <w:bottom w:val="single" w:sz="8" w:space="0" w:color="000000"/>
              <w:right w:val="nil"/>
            </w:tcBorders>
            <w:vAlign w:val="center"/>
          </w:tcPr>
          <w:p w:rsidR="003A412B" w:rsidRPr="00E95FD5" w:rsidRDefault="003A412B" w:rsidP="001E3079">
            <w:pPr>
              <w:spacing w:before="38"/>
              <w:ind w:right="142"/>
              <w:jc w:val="right"/>
              <w:textAlignment w:val="baseline"/>
              <w:rPr>
                <w:rFonts w:ascii="Segoe UI" w:eastAsia="Times New Roman" w:hAnsi="Segoe UI" w:cs="Segoe UI"/>
                <w:i/>
                <w:sz w:val="14"/>
                <w:szCs w:val="14"/>
                <w:lang w:eastAsia="el-GR"/>
              </w:rPr>
            </w:pPr>
            <w:r w:rsidRPr="00E95FD5">
              <w:rPr>
                <w:rFonts w:ascii="Segoe UI" w:eastAsia="Segoe UI" w:hAnsi="Segoe UI" w:cs="Segoe UI"/>
                <w:b/>
                <w:bCs/>
                <w:i/>
                <w:color w:val="000000"/>
                <w:kern w:val="24"/>
                <w:sz w:val="14"/>
                <w:szCs w:val="14"/>
                <w:lang w:eastAsia="el-GR"/>
              </w:rPr>
              <w:t>Δ (%)</w:t>
            </w:r>
          </w:p>
        </w:tc>
        <w:tc>
          <w:tcPr>
            <w:tcW w:w="475" w:type="pct"/>
            <w:tcBorders>
              <w:top w:val="single" w:sz="8" w:space="0" w:color="000000"/>
              <w:left w:val="nil"/>
              <w:bottom w:val="single" w:sz="8" w:space="0" w:color="000000"/>
              <w:right w:val="nil"/>
            </w:tcBorders>
            <w:vAlign w:val="center"/>
          </w:tcPr>
          <w:p w:rsidR="003A412B" w:rsidRPr="00503C59" w:rsidRDefault="003A412B" w:rsidP="001E3079">
            <w:pPr>
              <w:ind w:right="114"/>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Β</w:t>
            </w:r>
            <w:r w:rsidRPr="00503C59">
              <w:rPr>
                <w:rFonts w:ascii="Segoe UI" w:eastAsia="Times New Roman" w:hAnsi="Segoe UI" w:cs="Segoe UI"/>
                <w:b/>
                <w:bCs/>
                <w:color w:val="000000" w:themeColor="text1"/>
                <w:kern w:val="24"/>
                <w:sz w:val="14"/>
                <w:szCs w:val="14"/>
                <w:lang w:eastAsia="el-GR"/>
              </w:rPr>
              <w:t>‘ τρίμηνο 202</w:t>
            </w:r>
            <w:r>
              <w:rPr>
                <w:rFonts w:ascii="Segoe UI" w:eastAsia="Times New Roman" w:hAnsi="Segoe UI" w:cs="Segoe UI"/>
                <w:b/>
                <w:bCs/>
                <w:color w:val="000000" w:themeColor="text1"/>
                <w:kern w:val="24"/>
                <w:sz w:val="14"/>
                <w:szCs w:val="14"/>
                <w:lang w:eastAsia="el-GR"/>
              </w:rPr>
              <w:t>1</w:t>
            </w:r>
          </w:p>
        </w:tc>
        <w:tc>
          <w:tcPr>
            <w:tcW w:w="475" w:type="pct"/>
            <w:tcBorders>
              <w:top w:val="single" w:sz="8" w:space="0" w:color="000000"/>
              <w:left w:val="nil"/>
              <w:bottom w:val="single" w:sz="8" w:space="0" w:color="000000"/>
              <w:right w:val="nil"/>
            </w:tcBorders>
            <w:vAlign w:val="center"/>
          </w:tcPr>
          <w:p w:rsidR="003A412B" w:rsidRPr="00503C59" w:rsidRDefault="003A412B" w:rsidP="001E3079">
            <w:pPr>
              <w:ind w:right="114"/>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Α</w:t>
            </w:r>
            <w:r w:rsidRPr="00503C59">
              <w:rPr>
                <w:rFonts w:ascii="Segoe UI" w:eastAsia="Times New Roman" w:hAnsi="Segoe UI" w:cs="Segoe UI"/>
                <w:b/>
                <w:bCs/>
                <w:color w:val="000000" w:themeColor="text1"/>
                <w:kern w:val="24"/>
                <w:sz w:val="14"/>
                <w:szCs w:val="14"/>
                <w:lang w:eastAsia="el-GR"/>
              </w:rPr>
              <w:t>‘ τρίμηνο 202</w:t>
            </w:r>
            <w:r>
              <w:rPr>
                <w:rFonts w:ascii="Segoe UI" w:eastAsia="Times New Roman" w:hAnsi="Segoe UI" w:cs="Segoe UI"/>
                <w:b/>
                <w:bCs/>
                <w:color w:val="000000" w:themeColor="text1"/>
                <w:kern w:val="24"/>
                <w:sz w:val="14"/>
                <w:szCs w:val="14"/>
                <w:lang w:eastAsia="el-GR"/>
              </w:rPr>
              <w:t>1</w:t>
            </w:r>
          </w:p>
        </w:tc>
        <w:tc>
          <w:tcPr>
            <w:tcW w:w="472" w:type="pct"/>
            <w:tcBorders>
              <w:top w:val="single" w:sz="8" w:space="0" w:color="000000"/>
              <w:left w:val="nil"/>
              <w:bottom w:val="single" w:sz="8" w:space="0" w:color="000000"/>
              <w:right w:val="nil"/>
            </w:tcBorders>
            <w:shd w:val="clear" w:color="auto" w:fill="auto"/>
            <w:tcMar>
              <w:top w:w="15" w:type="dxa"/>
              <w:left w:w="15" w:type="dxa"/>
              <w:bottom w:w="0" w:type="dxa"/>
              <w:right w:w="82" w:type="dxa"/>
            </w:tcMar>
            <w:vAlign w:val="center"/>
            <w:hideMark/>
          </w:tcPr>
          <w:p w:rsidR="003A412B" w:rsidRPr="00E95FD5" w:rsidRDefault="003A412B" w:rsidP="001E3079">
            <w:pPr>
              <w:spacing w:before="38"/>
              <w:jc w:val="right"/>
              <w:textAlignment w:val="baseline"/>
              <w:rPr>
                <w:rFonts w:ascii="Segoe UI" w:eastAsia="Times New Roman" w:hAnsi="Segoe UI" w:cs="Segoe UI"/>
                <w:i/>
                <w:sz w:val="14"/>
                <w:szCs w:val="14"/>
                <w:lang w:eastAsia="el-GR"/>
              </w:rPr>
            </w:pPr>
            <w:r w:rsidRPr="00E95FD5">
              <w:rPr>
                <w:rFonts w:ascii="Segoe UI" w:eastAsia="Segoe UI" w:hAnsi="Segoe UI" w:cs="Segoe UI"/>
                <w:b/>
                <w:bCs/>
                <w:i/>
                <w:color w:val="000000"/>
                <w:kern w:val="24"/>
                <w:sz w:val="14"/>
                <w:szCs w:val="14"/>
                <w:lang w:eastAsia="el-GR"/>
              </w:rPr>
              <w:t>Δ (%)</w:t>
            </w:r>
          </w:p>
        </w:tc>
      </w:tr>
      <w:tr w:rsidR="005F0640" w:rsidRPr="0098297F" w:rsidTr="00250B3E">
        <w:trPr>
          <w:trHeight w:val="113"/>
        </w:trPr>
        <w:tc>
          <w:tcPr>
            <w:tcW w:w="2153" w:type="pct"/>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5F0640" w:rsidRPr="0098297F" w:rsidRDefault="005F0640" w:rsidP="005F0640">
            <w:pPr>
              <w:textAlignment w:val="center"/>
              <w:rPr>
                <w:rFonts w:ascii="Segoe UI" w:eastAsia="Times New Roman" w:hAnsi="Segoe UI" w:cs="Segoe UI"/>
                <w:sz w:val="14"/>
                <w:szCs w:val="14"/>
                <w:lang w:eastAsia="el-GR"/>
              </w:rPr>
            </w:pPr>
            <w:r w:rsidRPr="0098297F">
              <w:rPr>
                <w:rFonts w:ascii="Segoe UI" w:eastAsia="Segoe UI" w:hAnsi="Segoe UI" w:cs="Segoe UI"/>
                <w:color w:val="000000"/>
                <w:kern w:val="24"/>
                <w:sz w:val="14"/>
                <w:szCs w:val="14"/>
                <w:lang w:eastAsia="el-GR"/>
              </w:rPr>
              <w:t>Καθαρά έσοδα από τόκους</w:t>
            </w:r>
          </w:p>
        </w:tc>
        <w:tc>
          <w:tcPr>
            <w:tcW w:w="475" w:type="pct"/>
            <w:tcBorders>
              <w:top w:val="nil"/>
              <w:left w:val="nil"/>
              <w:bottom w:val="nil"/>
              <w:right w:val="nil"/>
            </w:tcBorders>
            <w:shd w:val="clear" w:color="auto" w:fill="auto"/>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562 </w:t>
            </w:r>
          </w:p>
        </w:tc>
        <w:tc>
          <w:tcPr>
            <w:tcW w:w="475" w:type="pct"/>
            <w:tcBorders>
              <w:top w:val="single" w:sz="8" w:space="0" w:color="000000"/>
              <w:left w:val="nil"/>
              <w:bottom w:val="nil"/>
              <w:right w:val="nil"/>
            </w:tcBorders>
            <w:shd w:val="clear" w:color="auto" w:fill="auto"/>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521 </w:t>
            </w:r>
          </w:p>
        </w:tc>
        <w:tc>
          <w:tcPr>
            <w:tcW w:w="475" w:type="pct"/>
            <w:tcBorders>
              <w:top w:val="nil"/>
              <w:left w:val="nil"/>
              <w:bottom w:val="nil"/>
            </w:tcBorders>
            <w:shd w:val="clear" w:color="auto" w:fill="auto"/>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i/>
                <w:sz w:val="14"/>
                <w:szCs w:val="16"/>
                <w:lang w:val="en-US"/>
              </w:rPr>
            </w:pPr>
            <w:r w:rsidRPr="005F0640">
              <w:rPr>
                <w:rFonts w:ascii="Segoe UI" w:hAnsi="Segoe UI" w:cs="Segoe UI"/>
                <w:i/>
                <w:sz w:val="14"/>
                <w:szCs w:val="16"/>
                <w:lang w:val="en-US"/>
              </w:rPr>
              <w:t>8%</w:t>
            </w:r>
          </w:p>
        </w:tc>
        <w:tc>
          <w:tcPr>
            <w:tcW w:w="475" w:type="pct"/>
            <w:tcBorders>
              <w:top w:val="single" w:sz="8" w:space="0" w:color="000000"/>
              <w:bottom w:val="nil"/>
              <w:right w:val="nil"/>
            </w:tcBorders>
            <w:shd w:val="clear" w:color="auto" w:fill="auto"/>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283 </w:t>
            </w:r>
          </w:p>
        </w:tc>
        <w:tc>
          <w:tcPr>
            <w:tcW w:w="475" w:type="pct"/>
            <w:tcBorders>
              <w:top w:val="single" w:sz="8" w:space="0" w:color="000000"/>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280 </w:t>
            </w:r>
          </w:p>
        </w:tc>
        <w:tc>
          <w:tcPr>
            <w:tcW w:w="472" w:type="pct"/>
            <w:tcBorders>
              <w:top w:val="single" w:sz="4" w:space="0" w:color="auto"/>
              <w:left w:val="nil"/>
              <w:bottom w:val="nil"/>
              <w:right w:val="nil"/>
            </w:tcBorders>
            <w:shd w:val="clear" w:color="auto" w:fill="auto"/>
            <w:tcMar>
              <w:top w:w="15" w:type="dxa"/>
              <w:left w:w="15" w:type="dxa"/>
              <w:bottom w:w="0" w:type="dxa"/>
              <w:right w:w="78" w:type="dxa"/>
            </w:tcMar>
            <w:vAlign w:val="bottom"/>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i/>
                <w:sz w:val="14"/>
                <w:szCs w:val="16"/>
                <w:lang w:val="en-US"/>
              </w:rPr>
            </w:pPr>
            <w:r w:rsidRPr="005F0640">
              <w:rPr>
                <w:rFonts w:ascii="Segoe UI" w:hAnsi="Segoe UI" w:cs="Segoe UI"/>
                <w:i/>
                <w:sz w:val="14"/>
                <w:szCs w:val="16"/>
                <w:lang w:val="en-US"/>
              </w:rPr>
              <w:t>1%</w:t>
            </w:r>
          </w:p>
        </w:tc>
      </w:tr>
      <w:tr w:rsidR="005F0640" w:rsidRPr="0098297F" w:rsidTr="00250B3E">
        <w:trPr>
          <w:trHeight w:val="113"/>
        </w:trPr>
        <w:tc>
          <w:tcPr>
            <w:tcW w:w="2153" w:type="pct"/>
            <w:tcBorders>
              <w:top w:val="nil"/>
              <w:left w:val="nil"/>
              <w:bottom w:val="nil"/>
              <w:right w:val="nil"/>
            </w:tcBorders>
            <w:shd w:val="clear" w:color="auto" w:fill="auto"/>
            <w:tcMar>
              <w:top w:w="15" w:type="dxa"/>
              <w:left w:w="42" w:type="dxa"/>
              <w:bottom w:w="0" w:type="dxa"/>
              <w:right w:w="15" w:type="dxa"/>
            </w:tcMar>
            <w:vAlign w:val="center"/>
            <w:hideMark/>
          </w:tcPr>
          <w:p w:rsidR="005F0640" w:rsidRPr="0098297F" w:rsidRDefault="005F0640" w:rsidP="005F0640">
            <w:pPr>
              <w:textAlignment w:val="center"/>
              <w:rPr>
                <w:rFonts w:ascii="Segoe UI" w:eastAsia="Times New Roman" w:hAnsi="Segoe UI" w:cs="Segoe UI"/>
                <w:sz w:val="14"/>
                <w:szCs w:val="14"/>
                <w:lang w:eastAsia="el-GR"/>
              </w:rPr>
            </w:pPr>
            <w:r w:rsidRPr="0098297F">
              <w:rPr>
                <w:rFonts w:ascii="Segoe UI" w:eastAsia="Segoe UI" w:hAnsi="Segoe UI" w:cs="Segoe UI"/>
                <w:color w:val="000000" w:themeColor="text1"/>
                <w:kern w:val="24"/>
                <w:sz w:val="14"/>
                <w:szCs w:val="14"/>
                <w:lang w:eastAsia="el-GR"/>
              </w:rPr>
              <w:t>Καθαρά έσοδα από προμήθειες</w:t>
            </w:r>
          </w:p>
        </w:tc>
        <w:tc>
          <w:tcPr>
            <w:tcW w:w="475" w:type="pct"/>
            <w:tcBorders>
              <w:top w:val="nil"/>
              <w:left w:val="nil"/>
              <w:bottom w:val="nil"/>
              <w:right w:val="nil"/>
            </w:tcBorders>
            <w:shd w:val="clear" w:color="auto" w:fill="auto"/>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130 </w:t>
            </w:r>
          </w:p>
        </w:tc>
        <w:tc>
          <w:tcPr>
            <w:tcW w:w="475" w:type="pct"/>
            <w:tcBorders>
              <w:top w:val="nil"/>
              <w:left w:val="nil"/>
              <w:bottom w:val="nil"/>
              <w:right w:val="nil"/>
            </w:tcBorders>
            <w:shd w:val="clear" w:color="auto" w:fill="auto"/>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118 </w:t>
            </w:r>
          </w:p>
        </w:tc>
        <w:tc>
          <w:tcPr>
            <w:tcW w:w="475" w:type="pct"/>
            <w:tcBorders>
              <w:top w:val="nil"/>
              <w:left w:val="nil"/>
              <w:bottom w:val="nil"/>
            </w:tcBorders>
            <w:shd w:val="clear" w:color="auto" w:fill="auto"/>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i/>
                <w:sz w:val="14"/>
                <w:szCs w:val="16"/>
                <w:lang w:val="en-US"/>
              </w:rPr>
            </w:pPr>
            <w:r w:rsidRPr="005F0640">
              <w:rPr>
                <w:rFonts w:ascii="Segoe UI" w:hAnsi="Segoe UI" w:cs="Segoe UI"/>
                <w:i/>
                <w:sz w:val="14"/>
                <w:szCs w:val="16"/>
                <w:lang w:val="en-US"/>
              </w:rPr>
              <w:t>10%</w:t>
            </w:r>
          </w:p>
        </w:tc>
        <w:tc>
          <w:tcPr>
            <w:tcW w:w="475" w:type="pct"/>
            <w:tcBorders>
              <w:top w:val="nil"/>
              <w:bottom w:val="nil"/>
              <w:right w:val="nil"/>
            </w:tcBorders>
            <w:shd w:val="clear" w:color="auto" w:fill="auto"/>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66 </w:t>
            </w:r>
          </w:p>
        </w:tc>
        <w:tc>
          <w:tcPr>
            <w:tcW w:w="475" w:type="pct"/>
            <w:tcBorders>
              <w:top w:val="nil"/>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64 </w:t>
            </w:r>
          </w:p>
        </w:tc>
        <w:tc>
          <w:tcPr>
            <w:tcW w:w="472" w:type="pct"/>
            <w:tcBorders>
              <w:top w:val="nil"/>
              <w:left w:val="nil"/>
              <w:bottom w:val="nil"/>
              <w:right w:val="nil"/>
            </w:tcBorders>
            <w:shd w:val="clear" w:color="auto" w:fill="auto"/>
            <w:tcMar>
              <w:top w:w="15" w:type="dxa"/>
              <w:left w:w="15" w:type="dxa"/>
              <w:bottom w:w="0" w:type="dxa"/>
              <w:right w:w="78" w:type="dxa"/>
            </w:tcMar>
            <w:vAlign w:val="bottom"/>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i/>
                <w:sz w:val="14"/>
                <w:szCs w:val="16"/>
                <w:lang w:val="en-US"/>
              </w:rPr>
            </w:pPr>
            <w:r w:rsidRPr="005F0640">
              <w:rPr>
                <w:rFonts w:ascii="Segoe UI" w:hAnsi="Segoe UI" w:cs="Segoe UI"/>
                <w:i/>
                <w:sz w:val="14"/>
                <w:szCs w:val="16"/>
                <w:lang w:val="en-US"/>
              </w:rPr>
              <w:t>4%</w:t>
            </w:r>
          </w:p>
        </w:tc>
      </w:tr>
      <w:tr w:rsidR="005F0640" w:rsidRPr="0098297F" w:rsidTr="00250B3E">
        <w:trPr>
          <w:trHeight w:val="113"/>
        </w:trPr>
        <w:tc>
          <w:tcPr>
            <w:tcW w:w="2153" w:type="pct"/>
            <w:tcBorders>
              <w:top w:val="nil"/>
              <w:left w:val="nil"/>
              <w:bottom w:val="nil"/>
              <w:right w:val="nil"/>
            </w:tcBorders>
            <w:shd w:val="clear" w:color="auto" w:fill="F2F2F2"/>
            <w:tcMar>
              <w:top w:w="15" w:type="dxa"/>
              <w:left w:w="42" w:type="dxa"/>
              <w:bottom w:w="0" w:type="dxa"/>
              <w:right w:w="15" w:type="dxa"/>
            </w:tcMar>
            <w:vAlign w:val="center"/>
            <w:hideMark/>
          </w:tcPr>
          <w:p w:rsidR="005F0640" w:rsidRPr="0098297F" w:rsidRDefault="005F0640" w:rsidP="005F0640">
            <w:pPr>
              <w:textAlignment w:val="center"/>
              <w:rPr>
                <w:rFonts w:ascii="Segoe UI" w:eastAsia="Times New Roman" w:hAnsi="Segoe UI" w:cs="Segoe UI"/>
                <w:sz w:val="14"/>
                <w:szCs w:val="14"/>
                <w:lang w:eastAsia="el-GR"/>
              </w:rPr>
            </w:pPr>
            <w:r w:rsidRPr="0098297F">
              <w:rPr>
                <w:rFonts w:ascii="Segoe UI" w:eastAsia="Segoe UI" w:hAnsi="Segoe UI" w:cs="Segoe UI"/>
                <w:b/>
                <w:bCs/>
                <w:color w:val="000000" w:themeColor="text1"/>
                <w:kern w:val="24"/>
                <w:sz w:val="14"/>
                <w:szCs w:val="14"/>
                <w:lang w:eastAsia="el-GR"/>
              </w:rPr>
              <w:t>Οργανικά έσοδα</w:t>
            </w:r>
          </w:p>
        </w:tc>
        <w:tc>
          <w:tcPr>
            <w:tcW w:w="475" w:type="pct"/>
            <w:tcBorders>
              <w:top w:val="nil"/>
              <w:left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692 </w:t>
            </w:r>
          </w:p>
        </w:tc>
        <w:tc>
          <w:tcPr>
            <w:tcW w:w="475" w:type="pct"/>
            <w:tcBorders>
              <w:top w:val="nil"/>
              <w:left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639 </w:t>
            </w:r>
          </w:p>
        </w:tc>
        <w:tc>
          <w:tcPr>
            <w:tcW w:w="475" w:type="pct"/>
            <w:tcBorders>
              <w:top w:val="nil"/>
              <w:left w:val="nil"/>
              <w:bottom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i/>
                <w:sz w:val="14"/>
                <w:szCs w:val="16"/>
                <w:lang w:val="en-US"/>
              </w:rPr>
            </w:pPr>
            <w:r w:rsidRPr="005F0640">
              <w:rPr>
                <w:rFonts w:ascii="Segoe UI" w:hAnsi="Segoe UI" w:cs="Segoe UI"/>
                <w:b/>
                <w:i/>
                <w:sz w:val="14"/>
                <w:szCs w:val="16"/>
                <w:lang w:val="en-US"/>
              </w:rPr>
              <w:t>8%</w:t>
            </w:r>
          </w:p>
        </w:tc>
        <w:tc>
          <w:tcPr>
            <w:tcW w:w="475" w:type="pct"/>
            <w:tcBorders>
              <w:top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349 </w:t>
            </w:r>
          </w:p>
        </w:tc>
        <w:tc>
          <w:tcPr>
            <w:tcW w:w="475" w:type="pct"/>
            <w:tcBorders>
              <w:top w:val="nil"/>
              <w:left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343 </w:t>
            </w:r>
          </w:p>
        </w:tc>
        <w:tc>
          <w:tcPr>
            <w:tcW w:w="472" w:type="pct"/>
            <w:tcBorders>
              <w:top w:val="nil"/>
              <w:left w:val="nil"/>
              <w:bottom w:val="nil"/>
              <w:right w:val="nil"/>
            </w:tcBorders>
            <w:shd w:val="clear" w:color="000000" w:fill="F2F2F2"/>
            <w:tcMar>
              <w:top w:w="15" w:type="dxa"/>
              <w:left w:w="15" w:type="dxa"/>
              <w:bottom w:w="0" w:type="dxa"/>
              <w:right w:w="78" w:type="dxa"/>
            </w:tcMar>
            <w:vAlign w:val="bottom"/>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i/>
                <w:sz w:val="14"/>
                <w:szCs w:val="16"/>
                <w:lang w:val="en-US"/>
              </w:rPr>
            </w:pPr>
            <w:r w:rsidRPr="005F0640">
              <w:rPr>
                <w:rFonts w:ascii="Segoe UI" w:hAnsi="Segoe UI" w:cs="Segoe UI"/>
                <w:b/>
                <w:i/>
                <w:sz w:val="14"/>
                <w:szCs w:val="16"/>
                <w:lang w:val="en-US"/>
              </w:rPr>
              <w:t>2%</w:t>
            </w:r>
          </w:p>
        </w:tc>
      </w:tr>
      <w:tr w:rsidR="005F0640" w:rsidRPr="0098297F" w:rsidTr="00250B3E">
        <w:trPr>
          <w:trHeight w:val="113"/>
        </w:trPr>
        <w:tc>
          <w:tcPr>
            <w:tcW w:w="2153" w:type="pct"/>
            <w:tcBorders>
              <w:top w:val="nil"/>
              <w:left w:val="nil"/>
              <w:bottom w:val="nil"/>
              <w:right w:val="nil"/>
            </w:tcBorders>
            <w:shd w:val="clear" w:color="auto" w:fill="auto"/>
            <w:tcMar>
              <w:top w:w="15" w:type="dxa"/>
              <w:left w:w="42" w:type="dxa"/>
              <w:bottom w:w="0" w:type="dxa"/>
              <w:right w:w="15" w:type="dxa"/>
            </w:tcMar>
            <w:vAlign w:val="center"/>
            <w:hideMark/>
          </w:tcPr>
          <w:p w:rsidR="005F0640" w:rsidRPr="0098297F" w:rsidRDefault="005F0640" w:rsidP="005F0640">
            <w:pPr>
              <w:textAlignment w:val="center"/>
              <w:rPr>
                <w:rFonts w:ascii="Segoe UI" w:eastAsia="Times New Roman" w:hAnsi="Segoe UI" w:cs="Segoe UI"/>
                <w:sz w:val="14"/>
                <w:szCs w:val="14"/>
                <w:lang w:eastAsia="el-GR"/>
              </w:rPr>
            </w:pPr>
            <w:r w:rsidRPr="0098297F">
              <w:rPr>
                <w:rFonts w:ascii="Segoe UI" w:eastAsia="Segoe UI" w:hAnsi="Segoe UI" w:cs="Segoe UI"/>
                <w:color w:val="000000"/>
                <w:kern w:val="24"/>
                <w:sz w:val="14"/>
                <w:szCs w:val="14"/>
                <w:lang w:eastAsia="el-GR"/>
              </w:rPr>
              <w:t xml:space="preserve">Έσοδα από </w:t>
            </w:r>
            <w:r w:rsidRPr="00286F74">
              <w:rPr>
                <w:rFonts w:ascii="Segoe UI" w:eastAsia="Segoe UI" w:hAnsi="Segoe UI" w:cs="Segoe UI"/>
                <w:color w:val="000000"/>
                <w:kern w:val="24"/>
                <w:sz w:val="14"/>
                <w:szCs w:val="14"/>
                <w:lang w:eastAsia="el-GR"/>
              </w:rPr>
              <w:t xml:space="preserve">χρηματοοικονομικές </w:t>
            </w:r>
            <w:r w:rsidRPr="0098297F">
              <w:rPr>
                <w:rFonts w:ascii="Segoe UI" w:eastAsia="Segoe UI" w:hAnsi="Segoe UI" w:cs="Segoe UI"/>
                <w:color w:val="000000"/>
                <w:kern w:val="24"/>
                <w:sz w:val="14"/>
                <w:szCs w:val="14"/>
                <w:lang w:eastAsia="el-GR"/>
              </w:rPr>
              <w:t>πράξεις και λοιπά έσοδα</w:t>
            </w:r>
            <w:r w:rsidRPr="00F27E7D">
              <w:rPr>
                <w:rFonts w:ascii="Segoe UI" w:eastAsia="Segoe UI" w:hAnsi="Segoe UI" w:cs="Segoe UI"/>
                <w:color w:val="000000"/>
                <w:kern w:val="24"/>
                <w:sz w:val="14"/>
                <w:szCs w:val="14"/>
                <w:vertAlign w:val="superscript"/>
                <w:lang w:eastAsia="el-GR"/>
              </w:rPr>
              <w:t>1</w:t>
            </w:r>
          </w:p>
        </w:tc>
        <w:tc>
          <w:tcPr>
            <w:tcW w:w="475" w:type="pct"/>
            <w:tcBorders>
              <w:top w:val="nil"/>
              <w:left w:val="nil"/>
              <w:bottom w:val="nil"/>
              <w:right w:val="nil"/>
            </w:tcBorders>
            <w:shd w:val="clear" w:color="auto" w:fill="auto"/>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448 </w:t>
            </w:r>
          </w:p>
        </w:tc>
        <w:tc>
          <w:tcPr>
            <w:tcW w:w="475" w:type="pct"/>
            <w:tcBorders>
              <w:top w:val="nil"/>
              <w:left w:val="nil"/>
              <w:bottom w:val="nil"/>
              <w:right w:val="nil"/>
            </w:tcBorders>
            <w:shd w:val="clear" w:color="auto" w:fill="auto"/>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784 </w:t>
            </w:r>
          </w:p>
        </w:tc>
        <w:tc>
          <w:tcPr>
            <w:tcW w:w="475" w:type="pct"/>
            <w:tcBorders>
              <w:top w:val="nil"/>
              <w:left w:val="nil"/>
              <w:bottom w:val="nil"/>
            </w:tcBorders>
            <w:shd w:val="clear" w:color="auto" w:fill="auto"/>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i/>
                <w:sz w:val="14"/>
                <w:szCs w:val="16"/>
                <w:lang w:val="en-US"/>
              </w:rPr>
            </w:pPr>
            <w:r w:rsidRPr="005F0640">
              <w:rPr>
                <w:rFonts w:ascii="Segoe UI" w:hAnsi="Segoe UI" w:cs="Segoe UI"/>
                <w:i/>
                <w:sz w:val="14"/>
                <w:szCs w:val="16"/>
                <w:lang w:val="en-US"/>
              </w:rPr>
              <w:t>-43%</w:t>
            </w:r>
          </w:p>
        </w:tc>
        <w:tc>
          <w:tcPr>
            <w:tcW w:w="475" w:type="pct"/>
            <w:tcBorders>
              <w:top w:val="nil"/>
              <w:bottom w:val="nil"/>
              <w:right w:val="nil"/>
            </w:tcBorders>
            <w:shd w:val="clear" w:color="auto" w:fill="auto"/>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(42) </w:t>
            </w:r>
          </w:p>
        </w:tc>
        <w:tc>
          <w:tcPr>
            <w:tcW w:w="475" w:type="pct"/>
            <w:tcBorders>
              <w:top w:val="nil"/>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491 </w:t>
            </w:r>
          </w:p>
        </w:tc>
        <w:tc>
          <w:tcPr>
            <w:tcW w:w="472" w:type="pct"/>
            <w:tcBorders>
              <w:top w:val="nil"/>
              <w:left w:val="nil"/>
              <w:bottom w:val="nil"/>
              <w:right w:val="nil"/>
            </w:tcBorders>
            <w:shd w:val="clear" w:color="auto" w:fill="auto"/>
            <w:tcMar>
              <w:top w:w="15" w:type="dxa"/>
              <w:left w:w="15" w:type="dxa"/>
              <w:bottom w:w="0" w:type="dxa"/>
              <w:right w:w="78" w:type="dxa"/>
            </w:tcMar>
            <w:vAlign w:val="bottom"/>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i/>
                <w:sz w:val="14"/>
                <w:szCs w:val="16"/>
              </w:rPr>
            </w:pPr>
            <w:r>
              <w:rPr>
                <w:rFonts w:ascii="Segoe UI" w:hAnsi="Segoe UI" w:cs="Segoe UI"/>
                <w:i/>
                <w:sz w:val="14"/>
                <w:szCs w:val="16"/>
              </w:rPr>
              <w:t>--</w:t>
            </w:r>
          </w:p>
        </w:tc>
      </w:tr>
      <w:tr w:rsidR="005F0640" w:rsidRPr="0098297F" w:rsidTr="00250B3E">
        <w:trPr>
          <w:trHeight w:val="113"/>
        </w:trPr>
        <w:tc>
          <w:tcPr>
            <w:tcW w:w="2153" w:type="pct"/>
            <w:tcBorders>
              <w:top w:val="nil"/>
              <w:left w:val="nil"/>
              <w:bottom w:val="nil"/>
              <w:right w:val="nil"/>
            </w:tcBorders>
            <w:shd w:val="clear" w:color="auto" w:fill="F2F2F2"/>
            <w:tcMar>
              <w:top w:w="15" w:type="dxa"/>
              <w:left w:w="42" w:type="dxa"/>
              <w:bottom w:w="0" w:type="dxa"/>
              <w:right w:w="15" w:type="dxa"/>
            </w:tcMar>
            <w:vAlign w:val="center"/>
            <w:hideMark/>
          </w:tcPr>
          <w:p w:rsidR="005F0640" w:rsidRPr="0098297F" w:rsidRDefault="005F0640" w:rsidP="005F0640">
            <w:pPr>
              <w:textAlignment w:val="center"/>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 xml:space="preserve">Καθαρά λειτουργικά έσοδα </w:t>
            </w:r>
          </w:p>
        </w:tc>
        <w:tc>
          <w:tcPr>
            <w:tcW w:w="475" w:type="pct"/>
            <w:tcBorders>
              <w:top w:val="nil"/>
              <w:left w:val="nil"/>
              <w:bottom w:val="nil"/>
              <w:right w:val="nil"/>
            </w:tcBorders>
            <w:shd w:val="clear" w:color="000000" w:fill="F2F2F2"/>
            <w:vAlign w:val="center"/>
          </w:tcPr>
          <w:p w:rsidR="005F0640" w:rsidRPr="005F0640" w:rsidRDefault="005636C4" w:rsidP="005F0640">
            <w:pPr>
              <w:pStyle w:val="NormalWeb"/>
              <w:spacing w:before="0" w:beforeAutospacing="0" w:after="0" w:afterAutospacing="0"/>
              <w:ind w:right="148"/>
              <w:jc w:val="right"/>
              <w:textAlignment w:val="center"/>
              <w:rPr>
                <w:rFonts w:ascii="Segoe UI" w:hAnsi="Segoe UI" w:cs="Segoe UI"/>
                <w:b/>
                <w:sz w:val="14"/>
                <w:szCs w:val="16"/>
                <w:lang w:val="en-US"/>
              </w:rPr>
            </w:pPr>
            <w:r>
              <w:rPr>
                <w:rFonts w:ascii="Segoe UI" w:hAnsi="Segoe UI" w:cs="Segoe UI"/>
                <w:b/>
                <w:sz w:val="14"/>
                <w:szCs w:val="16"/>
                <w:lang w:val="en-US"/>
              </w:rPr>
              <w:t>1.</w:t>
            </w:r>
            <w:r w:rsidR="005F0640" w:rsidRPr="005F0640">
              <w:rPr>
                <w:rFonts w:ascii="Segoe UI" w:hAnsi="Segoe UI" w:cs="Segoe UI"/>
                <w:b/>
                <w:sz w:val="14"/>
                <w:szCs w:val="16"/>
                <w:lang w:val="en-US"/>
              </w:rPr>
              <w:t xml:space="preserve">140 </w:t>
            </w:r>
          </w:p>
        </w:tc>
        <w:tc>
          <w:tcPr>
            <w:tcW w:w="475" w:type="pct"/>
            <w:tcBorders>
              <w:top w:val="nil"/>
              <w:left w:val="nil"/>
              <w:bottom w:val="nil"/>
              <w:right w:val="nil"/>
            </w:tcBorders>
            <w:shd w:val="clear" w:color="000000" w:fill="F2F2F2"/>
            <w:vAlign w:val="center"/>
          </w:tcPr>
          <w:p w:rsidR="005F0640" w:rsidRPr="005F0640" w:rsidRDefault="005636C4" w:rsidP="005F0640">
            <w:pPr>
              <w:pStyle w:val="NormalWeb"/>
              <w:spacing w:before="0" w:beforeAutospacing="0" w:after="0" w:afterAutospacing="0"/>
              <w:ind w:right="148"/>
              <w:jc w:val="right"/>
              <w:textAlignment w:val="center"/>
              <w:rPr>
                <w:rFonts w:ascii="Segoe UI" w:hAnsi="Segoe UI" w:cs="Segoe UI"/>
                <w:b/>
                <w:sz w:val="14"/>
                <w:szCs w:val="16"/>
                <w:lang w:val="en-US"/>
              </w:rPr>
            </w:pPr>
            <w:r>
              <w:rPr>
                <w:rFonts w:ascii="Segoe UI" w:hAnsi="Segoe UI" w:cs="Segoe UI"/>
                <w:b/>
                <w:sz w:val="14"/>
                <w:szCs w:val="16"/>
                <w:lang w:val="en-US"/>
              </w:rPr>
              <w:t>1.</w:t>
            </w:r>
            <w:r w:rsidR="005F0640" w:rsidRPr="005F0640">
              <w:rPr>
                <w:rFonts w:ascii="Segoe UI" w:hAnsi="Segoe UI" w:cs="Segoe UI"/>
                <w:b/>
                <w:sz w:val="14"/>
                <w:szCs w:val="16"/>
                <w:lang w:val="en-US"/>
              </w:rPr>
              <w:t xml:space="preserve">423 </w:t>
            </w:r>
          </w:p>
        </w:tc>
        <w:tc>
          <w:tcPr>
            <w:tcW w:w="475" w:type="pct"/>
            <w:tcBorders>
              <w:top w:val="nil"/>
              <w:left w:val="nil"/>
              <w:bottom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i/>
                <w:sz w:val="14"/>
                <w:szCs w:val="16"/>
                <w:lang w:val="en-US"/>
              </w:rPr>
            </w:pPr>
            <w:r w:rsidRPr="005F0640">
              <w:rPr>
                <w:rFonts w:ascii="Segoe UI" w:hAnsi="Segoe UI" w:cs="Segoe UI"/>
                <w:b/>
                <w:i/>
                <w:sz w:val="14"/>
                <w:szCs w:val="16"/>
                <w:lang w:val="en-US"/>
              </w:rPr>
              <w:t>-20%</w:t>
            </w:r>
          </w:p>
        </w:tc>
        <w:tc>
          <w:tcPr>
            <w:tcW w:w="475" w:type="pct"/>
            <w:tcBorders>
              <w:top w:val="nil"/>
              <w:bottom w:val="nil"/>
              <w:right w:val="nil"/>
            </w:tcBorders>
            <w:shd w:val="clear" w:color="000000" w:fill="F2F2F2"/>
            <w:vAlign w:val="center"/>
          </w:tcPr>
          <w:p w:rsidR="005F0640" w:rsidRPr="005F0640" w:rsidRDefault="005F0640" w:rsidP="0002613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30</w:t>
            </w:r>
            <w:r w:rsidR="00026130">
              <w:rPr>
                <w:rFonts w:ascii="Segoe UI" w:hAnsi="Segoe UI" w:cs="Segoe UI"/>
                <w:b/>
                <w:sz w:val="14"/>
                <w:szCs w:val="16"/>
                <w:lang w:val="en-US"/>
              </w:rPr>
              <w:t>6</w:t>
            </w:r>
            <w:r w:rsidRPr="005F0640">
              <w:rPr>
                <w:rFonts w:ascii="Segoe UI" w:hAnsi="Segoe UI" w:cs="Segoe UI"/>
                <w:b/>
                <w:sz w:val="14"/>
                <w:szCs w:val="16"/>
                <w:lang w:val="en-US"/>
              </w:rPr>
              <w:t xml:space="preserve"> </w:t>
            </w:r>
          </w:p>
        </w:tc>
        <w:tc>
          <w:tcPr>
            <w:tcW w:w="475" w:type="pct"/>
            <w:tcBorders>
              <w:top w:val="nil"/>
              <w:left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834 </w:t>
            </w:r>
          </w:p>
        </w:tc>
        <w:tc>
          <w:tcPr>
            <w:tcW w:w="472" w:type="pct"/>
            <w:tcBorders>
              <w:top w:val="nil"/>
              <w:left w:val="nil"/>
              <w:bottom w:val="nil"/>
              <w:right w:val="nil"/>
            </w:tcBorders>
            <w:shd w:val="clear" w:color="000000" w:fill="F2F2F2"/>
            <w:tcMar>
              <w:top w:w="15" w:type="dxa"/>
              <w:left w:w="15" w:type="dxa"/>
              <w:bottom w:w="0" w:type="dxa"/>
              <w:right w:w="78" w:type="dxa"/>
            </w:tcMar>
            <w:vAlign w:val="bottom"/>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i/>
                <w:sz w:val="14"/>
                <w:szCs w:val="16"/>
                <w:lang w:val="en-US"/>
              </w:rPr>
            </w:pPr>
            <w:r w:rsidRPr="005F0640">
              <w:rPr>
                <w:rFonts w:ascii="Segoe UI" w:hAnsi="Segoe UI" w:cs="Segoe UI"/>
                <w:b/>
                <w:i/>
                <w:sz w:val="14"/>
                <w:szCs w:val="16"/>
                <w:lang w:val="en-US"/>
              </w:rPr>
              <w:t>-63%</w:t>
            </w:r>
          </w:p>
        </w:tc>
      </w:tr>
      <w:tr w:rsidR="005F0640" w:rsidRPr="0098297F" w:rsidTr="00250B3E">
        <w:trPr>
          <w:trHeight w:val="113"/>
        </w:trPr>
        <w:tc>
          <w:tcPr>
            <w:tcW w:w="2153" w:type="pct"/>
            <w:tcBorders>
              <w:top w:val="nil"/>
              <w:left w:val="nil"/>
              <w:right w:val="nil"/>
            </w:tcBorders>
            <w:shd w:val="clear" w:color="auto" w:fill="auto"/>
            <w:tcMar>
              <w:top w:w="15" w:type="dxa"/>
              <w:left w:w="42" w:type="dxa"/>
              <w:bottom w:w="0" w:type="dxa"/>
              <w:right w:w="15" w:type="dxa"/>
            </w:tcMar>
            <w:vAlign w:val="center"/>
            <w:hideMark/>
          </w:tcPr>
          <w:p w:rsidR="005F0640" w:rsidRPr="0098297F" w:rsidRDefault="005F0640" w:rsidP="005F0640">
            <w:pPr>
              <w:textAlignment w:val="center"/>
              <w:rPr>
                <w:rFonts w:ascii="Segoe UI" w:eastAsia="Times New Roman" w:hAnsi="Segoe UI" w:cs="Segoe UI"/>
                <w:sz w:val="14"/>
                <w:szCs w:val="14"/>
                <w:lang w:eastAsia="el-GR"/>
              </w:rPr>
            </w:pPr>
            <w:r w:rsidRPr="0098297F">
              <w:rPr>
                <w:rFonts w:ascii="Segoe UI" w:eastAsia="Segoe UI" w:hAnsi="Segoe UI" w:cs="Segoe UI"/>
                <w:color w:val="000000"/>
                <w:kern w:val="24"/>
                <w:sz w:val="14"/>
                <w:szCs w:val="14"/>
                <w:lang w:eastAsia="el-GR"/>
              </w:rPr>
              <w:t>Λειτουργικές δαπάνες</w:t>
            </w:r>
          </w:p>
        </w:tc>
        <w:tc>
          <w:tcPr>
            <w:tcW w:w="475" w:type="pct"/>
            <w:tcBorders>
              <w:top w:val="nil"/>
              <w:left w:val="nil"/>
              <w:bottom w:val="nil"/>
              <w:right w:val="nil"/>
            </w:tcBorders>
            <w:shd w:val="clear" w:color="auto" w:fill="auto"/>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(353) </w:t>
            </w:r>
          </w:p>
        </w:tc>
        <w:tc>
          <w:tcPr>
            <w:tcW w:w="475" w:type="pct"/>
            <w:tcBorders>
              <w:top w:val="nil"/>
              <w:left w:val="nil"/>
              <w:bottom w:val="nil"/>
              <w:right w:val="nil"/>
            </w:tcBorders>
            <w:shd w:val="clear" w:color="auto" w:fill="auto"/>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(383) </w:t>
            </w:r>
          </w:p>
        </w:tc>
        <w:tc>
          <w:tcPr>
            <w:tcW w:w="475" w:type="pct"/>
            <w:tcBorders>
              <w:top w:val="nil"/>
              <w:left w:val="nil"/>
              <w:bottom w:val="nil"/>
            </w:tcBorders>
            <w:shd w:val="clear" w:color="auto" w:fill="auto"/>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i/>
                <w:sz w:val="14"/>
                <w:szCs w:val="16"/>
                <w:lang w:val="en-US"/>
              </w:rPr>
            </w:pPr>
            <w:r w:rsidRPr="005F0640">
              <w:rPr>
                <w:rFonts w:ascii="Segoe UI" w:hAnsi="Segoe UI" w:cs="Segoe UI"/>
                <w:i/>
                <w:sz w:val="14"/>
                <w:szCs w:val="16"/>
                <w:lang w:val="en-US"/>
              </w:rPr>
              <w:t>-8%</w:t>
            </w:r>
          </w:p>
        </w:tc>
        <w:tc>
          <w:tcPr>
            <w:tcW w:w="475" w:type="pct"/>
            <w:tcBorders>
              <w:top w:val="nil"/>
              <w:bottom w:val="nil"/>
              <w:right w:val="nil"/>
            </w:tcBorders>
            <w:shd w:val="clear" w:color="auto" w:fill="auto"/>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(174) </w:t>
            </w:r>
          </w:p>
        </w:tc>
        <w:tc>
          <w:tcPr>
            <w:tcW w:w="475" w:type="pct"/>
            <w:tcBorders>
              <w:top w:val="nil"/>
              <w:left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(179) </w:t>
            </w:r>
          </w:p>
        </w:tc>
        <w:tc>
          <w:tcPr>
            <w:tcW w:w="472" w:type="pct"/>
            <w:tcBorders>
              <w:top w:val="nil"/>
              <w:left w:val="nil"/>
              <w:bottom w:val="nil"/>
              <w:right w:val="nil"/>
            </w:tcBorders>
            <w:shd w:val="clear" w:color="auto" w:fill="auto"/>
            <w:tcMar>
              <w:top w:w="15" w:type="dxa"/>
              <w:left w:w="15" w:type="dxa"/>
              <w:bottom w:w="0" w:type="dxa"/>
              <w:right w:w="78" w:type="dxa"/>
            </w:tcMar>
            <w:vAlign w:val="bottom"/>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i/>
                <w:sz w:val="14"/>
                <w:szCs w:val="16"/>
                <w:lang w:val="en-US"/>
              </w:rPr>
            </w:pPr>
            <w:r w:rsidRPr="005F0640">
              <w:rPr>
                <w:rFonts w:ascii="Segoe UI" w:hAnsi="Segoe UI" w:cs="Segoe UI"/>
                <w:i/>
                <w:sz w:val="14"/>
                <w:szCs w:val="16"/>
                <w:lang w:val="en-US"/>
              </w:rPr>
              <w:t>-3%</w:t>
            </w:r>
          </w:p>
        </w:tc>
      </w:tr>
      <w:tr w:rsidR="005F0640" w:rsidRPr="0098297F" w:rsidTr="00250B3E">
        <w:trPr>
          <w:trHeight w:val="113"/>
        </w:trPr>
        <w:tc>
          <w:tcPr>
            <w:tcW w:w="2153" w:type="pct"/>
            <w:tcBorders>
              <w:top w:val="nil"/>
              <w:left w:val="nil"/>
              <w:bottom w:val="nil"/>
              <w:right w:val="nil"/>
            </w:tcBorders>
            <w:shd w:val="clear" w:color="auto" w:fill="F2F2F2" w:themeFill="background1" w:themeFillShade="F2"/>
            <w:tcMar>
              <w:top w:w="15" w:type="dxa"/>
              <w:left w:w="42" w:type="dxa"/>
              <w:bottom w:w="0" w:type="dxa"/>
              <w:right w:w="15" w:type="dxa"/>
            </w:tcMar>
            <w:vAlign w:val="center"/>
            <w:hideMark/>
          </w:tcPr>
          <w:p w:rsidR="005F0640" w:rsidRPr="0098297F" w:rsidRDefault="005F0640" w:rsidP="005F0640">
            <w:pPr>
              <w:textAlignment w:val="center"/>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 xml:space="preserve">Οργανικά κέρδη / (ζημίες) προ προβλέψεων </w:t>
            </w:r>
          </w:p>
        </w:tc>
        <w:tc>
          <w:tcPr>
            <w:tcW w:w="475" w:type="pct"/>
            <w:tcBorders>
              <w:top w:val="nil"/>
              <w:left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339 </w:t>
            </w:r>
          </w:p>
        </w:tc>
        <w:tc>
          <w:tcPr>
            <w:tcW w:w="475" w:type="pct"/>
            <w:tcBorders>
              <w:top w:val="nil"/>
              <w:left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256 </w:t>
            </w:r>
          </w:p>
        </w:tc>
        <w:tc>
          <w:tcPr>
            <w:tcW w:w="475" w:type="pct"/>
            <w:tcBorders>
              <w:top w:val="nil"/>
              <w:left w:val="nil"/>
              <w:bottom w:val="nil"/>
            </w:tcBorders>
            <w:shd w:val="clear" w:color="000000" w:fill="F2F2F2"/>
            <w:vAlign w:val="center"/>
          </w:tcPr>
          <w:p w:rsidR="005F0640" w:rsidRPr="005F0640" w:rsidRDefault="005F0640" w:rsidP="009C340F">
            <w:pPr>
              <w:pStyle w:val="NormalWeb"/>
              <w:spacing w:before="0" w:beforeAutospacing="0" w:after="0" w:afterAutospacing="0"/>
              <w:ind w:right="148"/>
              <w:jc w:val="right"/>
              <w:textAlignment w:val="center"/>
              <w:rPr>
                <w:rFonts w:ascii="Segoe UI" w:hAnsi="Segoe UI" w:cs="Segoe UI"/>
                <w:b/>
                <w:i/>
                <w:sz w:val="14"/>
                <w:szCs w:val="16"/>
                <w:lang w:val="en-US"/>
              </w:rPr>
            </w:pPr>
            <w:r w:rsidRPr="005F0640">
              <w:rPr>
                <w:rFonts w:ascii="Segoe UI" w:hAnsi="Segoe UI" w:cs="Segoe UI"/>
                <w:b/>
                <w:i/>
                <w:sz w:val="14"/>
                <w:szCs w:val="16"/>
                <w:lang w:val="en-US"/>
              </w:rPr>
              <w:t>3</w:t>
            </w:r>
            <w:r w:rsidR="009C340F">
              <w:rPr>
                <w:rFonts w:ascii="Segoe UI" w:hAnsi="Segoe UI" w:cs="Segoe UI"/>
                <w:b/>
                <w:i/>
                <w:sz w:val="14"/>
                <w:szCs w:val="16"/>
                <w:lang w:val="en-US"/>
              </w:rPr>
              <w:t>2</w:t>
            </w:r>
            <w:r w:rsidRPr="005F0640">
              <w:rPr>
                <w:rFonts w:ascii="Segoe UI" w:hAnsi="Segoe UI" w:cs="Segoe UI"/>
                <w:b/>
                <w:i/>
                <w:sz w:val="14"/>
                <w:szCs w:val="16"/>
                <w:lang w:val="en-US"/>
              </w:rPr>
              <w:t>%</w:t>
            </w:r>
          </w:p>
        </w:tc>
        <w:tc>
          <w:tcPr>
            <w:tcW w:w="475" w:type="pct"/>
            <w:tcBorders>
              <w:top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175 </w:t>
            </w:r>
          </w:p>
        </w:tc>
        <w:tc>
          <w:tcPr>
            <w:tcW w:w="475" w:type="pct"/>
            <w:tcBorders>
              <w:top w:val="nil"/>
              <w:left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164 </w:t>
            </w:r>
          </w:p>
        </w:tc>
        <w:tc>
          <w:tcPr>
            <w:tcW w:w="472" w:type="pct"/>
            <w:tcBorders>
              <w:top w:val="nil"/>
              <w:left w:val="nil"/>
              <w:bottom w:val="nil"/>
              <w:right w:val="nil"/>
            </w:tcBorders>
            <w:shd w:val="clear" w:color="000000" w:fill="F2F2F2"/>
            <w:tcMar>
              <w:top w:w="15" w:type="dxa"/>
              <w:left w:w="15" w:type="dxa"/>
              <w:bottom w:w="0" w:type="dxa"/>
              <w:right w:w="78" w:type="dxa"/>
            </w:tcMar>
            <w:vAlign w:val="bottom"/>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i/>
                <w:sz w:val="14"/>
                <w:szCs w:val="16"/>
                <w:lang w:val="en-US"/>
              </w:rPr>
            </w:pPr>
            <w:r w:rsidRPr="005F0640">
              <w:rPr>
                <w:rFonts w:ascii="Segoe UI" w:hAnsi="Segoe UI" w:cs="Segoe UI"/>
                <w:b/>
                <w:i/>
                <w:sz w:val="14"/>
                <w:szCs w:val="16"/>
                <w:lang w:val="en-US"/>
              </w:rPr>
              <w:t>6%</w:t>
            </w:r>
          </w:p>
        </w:tc>
      </w:tr>
      <w:tr w:rsidR="005F0640" w:rsidRPr="0098297F" w:rsidTr="00250B3E">
        <w:trPr>
          <w:trHeight w:val="113"/>
        </w:trPr>
        <w:tc>
          <w:tcPr>
            <w:tcW w:w="2153" w:type="pct"/>
            <w:tcBorders>
              <w:top w:val="nil"/>
              <w:left w:val="nil"/>
              <w:bottom w:val="nil"/>
              <w:right w:val="nil"/>
            </w:tcBorders>
            <w:shd w:val="clear" w:color="auto" w:fill="F2F2F2" w:themeFill="background1" w:themeFillShade="F2"/>
            <w:tcMar>
              <w:top w:w="15" w:type="dxa"/>
              <w:left w:w="42" w:type="dxa"/>
              <w:bottom w:w="0" w:type="dxa"/>
              <w:right w:w="15" w:type="dxa"/>
            </w:tcMar>
            <w:vAlign w:val="center"/>
            <w:hideMark/>
          </w:tcPr>
          <w:p w:rsidR="005F0640" w:rsidRPr="0098297F" w:rsidRDefault="005F0640" w:rsidP="005F0640">
            <w:pPr>
              <w:textAlignment w:val="center"/>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Κέρδη / (ζημίες) προ προβλέψεων</w:t>
            </w:r>
          </w:p>
        </w:tc>
        <w:tc>
          <w:tcPr>
            <w:tcW w:w="475" w:type="pct"/>
            <w:tcBorders>
              <w:top w:val="nil"/>
              <w:left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787 </w:t>
            </w:r>
          </w:p>
        </w:tc>
        <w:tc>
          <w:tcPr>
            <w:tcW w:w="475" w:type="pct"/>
            <w:tcBorders>
              <w:top w:val="nil"/>
              <w:left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1,040 </w:t>
            </w:r>
          </w:p>
        </w:tc>
        <w:tc>
          <w:tcPr>
            <w:tcW w:w="475" w:type="pct"/>
            <w:tcBorders>
              <w:top w:val="nil"/>
              <w:left w:val="nil"/>
              <w:bottom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i/>
                <w:sz w:val="14"/>
                <w:szCs w:val="16"/>
                <w:lang w:val="en-US"/>
              </w:rPr>
            </w:pPr>
            <w:r w:rsidRPr="005F0640">
              <w:rPr>
                <w:rFonts w:ascii="Segoe UI" w:hAnsi="Segoe UI" w:cs="Segoe UI"/>
                <w:b/>
                <w:i/>
                <w:sz w:val="14"/>
                <w:szCs w:val="16"/>
                <w:lang w:val="en-US"/>
              </w:rPr>
              <w:t>-24%</w:t>
            </w:r>
          </w:p>
        </w:tc>
        <w:tc>
          <w:tcPr>
            <w:tcW w:w="475" w:type="pct"/>
            <w:tcBorders>
              <w:top w:val="nil"/>
              <w:bottom w:val="nil"/>
              <w:right w:val="nil"/>
            </w:tcBorders>
            <w:shd w:val="clear" w:color="000000" w:fill="F2F2F2"/>
            <w:vAlign w:val="center"/>
          </w:tcPr>
          <w:p w:rsidR="005F0640" w:rsidRPr="005F0640" w:rsidRDefault="005F0640" w:rsidP="001A477E">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13</w:t>
            </w:r>
            <w:r w:rsidR="001A477E">
              <w:rPr>
                <w:rFonts w:ascii="Segoe UI" w:hAnsi="Segoe UI" w:cs="Segoe UI"/>
                <w:b/>
                <w:sz w:val="14"/>
                <w:szCs w:val="16"/>
                <w:lang w:val="en-US"/>
              </w:rPr>
              <w:t>2</w:t>
            </w:r>
            <w:r w:rsidRPr="005F0640">
              <w:rPr>
                <w:rFonts w:ascii="Segoe UI" w:hAnsi="Segoe UI" w:cs="Segoe UI"/>
                <w:b/>
                <w:sz w:val="14"/>
                <w:szCs w:val="16"/>
                <w:lang w:val="en-US"/>
              </w:rPr>
              <w:t xml:space="preserve"> </w:t>
            </w:r>
          </w:p>
        </w:tc>
        <w:tc>
          <w:tcPr>
            <w:tcW w:w="475" w:type="pct"/>
            <w:tcBorders>
              <w:top w:val="nil"/>
              <w:left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655 </w:t>
            </w:r>
          </w:p>
        </w:tc>
        <w:tc>
          <w:tcPr>
            <w:tcW w:w="472" w:type="pct"/>
            <w:tcBorders>
              <w:top w:val="nil"/>
              <w:left w:val="nil"/>
              <w:bottom w:val="nil"/>
              <w:right w:val="nil"/>
            </w:tcBorders>
            <w:shd w:val="clear" w:color="000000" w:fill="F2F2F2"/>
            <w:tcMar>
              <w:top w:w="15" w:type="dxa"/>
              <w:left w:w="15" w:type="dxa"/>
              <w:bottom w:w="0" w:type="dxa"/>
              <w:right w:w="78" w:type="dxa"/>
            </w:tcMar>
            <w:vAlign w:val="bottom"/>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i/>
                <w:sz w:val="14"/>
                <w:szCs w:val="16"/>
                <w:lang w:val="en-US"/>
              </w:rPr>
            </w:pPr>
            <w:r w:rsidRPr="005F0640">
              <w:rPr>
                <w:rFonts w:ascii="Segoe UI" w:hAnsi="Segoe UI" w:cs="Segoe UI"/>
                <w:b/>
                <w:i/>
                <w:sz w:val="14"/>
                <w:szCs w:val="16"/>
                <w:lang w:val="en-US"/>
              </w:rPr>
              <w:t>-80%</w:t>
            </w:r>
          </w:p>
        </w:tc>
      </w:tr>
      <w:tr w:rsidR="005F0640" w:rsidRPr="0098297F" w:rsidTr="00250B3E">
        <w:trPr>
          <w:trHeight w:val="113"/>
        </w:trPr>
        <w:tc>
          <w:tcPr>
            <w:tcW w:w="2153" w:type="pct"/>
            <w:tcBorders>
              <w:top w:val="nil"/>
              <w:left w:val="nil"/>
              <w:right w:val="nil"/>
            </w:tcBorders>
            <w:shd w:val="clear" w:color="auto" w:fill="auto"/>
            <w:tcMar>
              <w:top w:w="15" w:type="dxa"/>
              <w:left w:w="42" w:type="dxa"/>
              <w:bottom w:w="0" w:type="dxa"/>
              <w:right w:w="15" w:type="dxa"/>
            </w:tcMar>
            <w:vAlign w:val="center"/>
            <w:hideMark/>
          </w:tcPr>
          <w:p w:rsidR="005F0640" w:rsidRPr="0098297F" w:rsidRDefault="005F0640" w:rsidP="005F0640">
            <w:pPr>
              <w:textAlignment w:val="center"/>
              <w:rPr>
                <w:rFonts w:ascii="Segoe UI" w:eastAsia="Times New Roman" w:hAnsi="Segoe UI" w:cs="Segoe UI"/>
                <w:sz w:val="14"/>
                <w:szCs w:val="14"/>
                <w:lang w:eastAsia="el-GR"/>
              </w:rPr>
            </w:pPr>
            <w:r w:rsidRPr="0098297F">
              <w:rPr>
                <w:rFonts w:ascii="Segoe UI" w:eastAsia="Segoe UI" w:hAnsi="Segoe UI" w:cs="Segoe UI"/>
                <w:color w:val="000000"/>
                <w:kern w:val="24"/>
                <w:sz w:val="14"/>
                <w:szCs w:val="14"/>
                <w:lang w:eastAsia="el-GR"/>
              </w:rPr>
              <w:t>Προβλέψεις για επισφαλή δάνεια</w:t>
            </w:r>
          </w:p>
        </w:tc>
        <w:tc>
          <w:tcPr>
            <w:tcW w:w="475" w:type="pct"/>
            <w:tcBorders>
              <w:top w:val="nil"/>
              <w:left w:val="nil"/>
              <w:bottom w:val="nil"/>
              <w:right w:val="nil"/>
            </w:tcBorders>
            <w:shd w:val="clear" w:color="auto" w:fill="auto"/>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(145) </w:t>
            </w:r>
          </w:p>
        </w:tc>
        <w:tc>
          <w:tcPr>
            <w:tcW w:w="475" w:type="pct"/>
            <w:tcBorders>
              <w:top w:val="nil"/>
              <w:left w:val="nil"/>
              <w:bottom w:val="nil"/>
              <w:right w:val="nil"/>
            </w:tcBorders>
            <w:shd w:val="clear" w:color="auto" w:fill="auto"/>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(561) </w:t>
            </w:r>
          </w:p>
        </w:tc>
        <w:tc>
          <w:tcPr>
            <w:tcW w:w="475" w:type="pct"/>
            <w:tcBorders>
              <w:top w:val="nil"/>
              <w:left w:val="nil"/>
              <w:bottom w:val="nil"/>
            </w:tcBorders>
            <w:shd w:val="clear" w:color="auto" w:fill="auto"/>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i/>
                <w:sz w:val="14"/>
                <w:szCs w:val="16"/>
                <w:lang w:val="en-US"/>
              </w:rPr>
            </w:pPr>
            <w:r w:rsidRPr="005F0640">
              <w:rPr>
                <w:rFonts w:ascii="Segoe UI" w:hAnsi="Segoe UI" w:cs="Segoe UI"/>
                <w:i/>
                <w:sz w:val="14"/>
                <w:szCs w:val="16"/>
                <w:lang w:val="en-US"/>
              </w:rPr>
              <w:t>-74%</w:t>
            </w:r>
          </w:p>
        </w:tc>
        <w:tc>
          <w:tcPr>
            <w:tcW w:w="475" w:type="pct"/>
            <w:tcBorders>
              <w:top w:val="nil"/>
              <w:bottom w:val="nil"/>
              <w:right w:val="nil"/>
            </w:tcBorders>
            <w:shd w:val="clear" w:color="auto" w:fill="auto"/>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(70) </w:t>
            </w:r>
          </w:p>
        </w:tc>
        <w:tc>
          <w:tcPr>
            <w:tcW w:w="475" w:type="pct"/>
            <w:tcBorders>
              <w:top w:val="nil"/>
              <w:left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(75) </w:t>
            </w:r>
          </w:p>
        </w:tc>
        <w:tc>
          <w:tcPr>
            <w:tcW w:w="472" w:type="pct"/>
            <w:tcBorders>
              <w:top w:val="nil"/>
              <w:left w:val="nil"/>
              <w:bottom w:val="nil"/>
              <w:right w:val="nil"/>
            </w:tcBorders>
            <w:shd w:val="clear" w:color="auto" w:fill="auto"/>
            <w:tcMar>
              <w:top w:w="15" w:type="dxa"/>
              <w:left w:w="15" w:type="dxa"/>
              <w:bottom w:w="0" w:type="dxa"/>
              <w:right w:w="78" w:type="dxa"/>
            </w:tcMar>
            <w:vAlign w:val="bottom"/>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i/>
                <w:sz w:val="14"/>
                <w:szCs w:val="16"/>
                <w:lang w:val="en-US"/>
              </w:rPr>
            </w:pPr>
            <w:r w:rsidRPr="005F0640">
              <w:rPr>
                <w:rFonts w:ascii="Segoe UI" w:hAnsi="Segoe UI" w:cs="Segoe UI"/>
                <w:i/>
                <w:sz w:val="14"/>
                <w:szCs w:val="16"/>
                <w:lang w:val="en-US"/>
              </w:rPr>
              <w:t>-7%</w:t>
            </w:r>
          </w:p>
        </w:tc>
      </w:tr>
      <w:tr w:rsidR="005F0640" w:rsidRPr="0098297F" w:rsidTr="00250B3E">
        <w:trPr>
          <w:trHeight w:val="113"/>
        </w:trPr>
        <w:tc>
          <w:tcPr>
            <w:tcW w:w="2153" w:type="pct"/>
            <w:tcBorders>
              <w:top w:val="nil"/>
              <w:left w:val="nil"/>
              <w:bottom w:val="nil"/>
              <w:right w:val="nil"/>
            </w:tcBorders>
            <w:shd w:val="clear" w:color="auto" w:fill="auto"/>
            <w:tcMar>
              <w:top w:w="15" w:type="dxa"/>
              <w:left w:w="42" w:type="dxa"/>
              <w:bottom w:w="0" w:type="dxa"/>
              <w:right w:w="15" w:type="dxa"/>
            </w:tcMar>
            <w:vAlign w:val="center"/>
            <w:hideMark/>
          </w:tcPr>
          <w:p w:rsidR="005F0640" w:rsidRPr="0098297F" w:rsidRDefault="005F0640" w:rsidP="005F0640">
            <w:pPr>
              <w:textAlignment w:val="center"/>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Λειτουργικά κέρδη / (ζημίες)</w:t>
            </w:r>
          </w:p>
        </w:tc>
        <w:tc>
          <w:tcPr>
            <w:tcW w:w="475" w:type="pct"/>
            <w:tcBorders>
              <w:top w:val="nil"/>
              <w:left w:val="nil"/>
              <w:bottom w:val="nil"/>
              <w:right w:val="nil"/>
            </w:tcBorders>
            <w:shd w:val="clear" w:color="auto" w:fill="auto"/>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643 </w:t>
            </w:r>
          </w:p>
        </w:tc>
        <w:tc>
          <w:tcPr>
            <w:tcW w:w="475" w:type="pct"/>
            <w:tcBorders>
              <w:top w:val="nil"/>
              <w:left w:val="nil"/>
              <w:bottom w:val="nil"/>
              <w:right w:val="nil"/>
            </w:tcBorders>
            <w:shd w:val="clear" w:color="auto" w:fill="auto"/>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480 </w:t>
            </w:r>
          </w:p>
        </w:tc>
        <w:tc>
          <w:tcPr>
            <w:tcW w:w="475" w:type="pct"/>
            <w:tcBorders>
              <w:top w:val="nil"/>
              <w:left w:val="nil"/>
              <w:bottom w:val="nil"/>
            </w:tcBorders>
            <w:shd w:val="clear" w:color="auto" w:fill="auto"/>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i/>
                <w:sz w:val="14"/>
                <w:szCs w:val="16"/>
                <w:lang w:val="en-US"/>
              </w:rPr>
            </w:pPr>
            <w:r w:rsidRPr="005F0640">
              <w:rPr>
                <w:rFonts w:ascii="Segoe UI" w:hAnsi="Segoe UI" w:cs="Segoe UI"/>
                <w:b/>
                <w:i/>
                <w:sz w:val="14"/>
                <w:szCs w:val="16"/>
                <w:lang w:val="en-US"/>
              </w:rPr>
              <w:t>34%</w:t>
            </w:r>
          </w:p>
        </w:tc>
        <w:tc>
          <w:tcPr>
            <w:tcW w:w="475" w:type="pct"/>
            <w:tcBorders>
              <w:top w:val="nil"/>
              <w:bottom w:val="nil"/>
              <w:right w:val="nil"/>
            </w:tcBorders>
            <w:shd w:val="clear" w:color="auto" w:fill="auto"/>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63 </w:t>
            </w:r>
          </w:p>
        </w:tc>
        <w:tc>
          <w:tcPr>
            <w:tcW w:w="475" w:type="pct"/>
            <w:tcBorders>
              <w:top w:val="nil"/>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580 </w:t>
            </w:r>
          </w:p>
        </w:tc>
        <w:tc>
          <w:tcPr>
            <w:tcW w:w="472" w:type="pct"/>
            <w:tcBorders>
              <w:top w:val="nil"/>
              <w:left w:val="nil"/>
              <w:bottom w:val="nil"/>
              <w:right w:val="nil"/>
            </w:tcBorders>
            <w:shd w:val="clear" w:color="auto" w:fill="auto"/>
            <w:tcMar>
              <w:top w:w="15" w:type="dxa"/>
              <w:left w:w="15" w:type="dxa"/>
              <w:bottom w:w="0" w:type="dxa"/>
              <w:right w:w="78" w:type="dxa"/>
            </w:tcMar>
            <w:vAlign w:val="bottom"/>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i/>
                <w:sz w:val="14"/>
                <w:szCs w:val="16"/>
                <w:lang w:val="en-US"/>
              </w:rPr>
            </w:pPr>
            <w:r w:rsidRPr="005F0640">
              <w:rPr>
                <w:rFonts w:ascii="Segoe UI" w:hAnsi="Segoe UI" w:cs="Segoe UI"/>
                <w:b/>
                <w:i/>
                <w:sz w:val="14"/>
                <w:szCs w:val="16"/>
                <w:lang w:val="en-US"/>
              </w:rPr>
              <w:t>-89%</w:t>
            </w:r>
          </w:p>
        </w:tc>
      </w:tr>
      <w:tr w:rsidR="005F0640" w:rsidRPr="0098297F" w:rsidTr="00BB0814">
        <w:trPr>
          <w:trHeight w:val="113"/>
        </w:trPr>
        <w:tc>
          <w:tcPr>
            <w:tcW w:w="2153" w:type="pct"/>
            <w:tcBorders>
              <w:top w:val="nil"/>
              <w:left w:val="nil"/>
              <w:bottom w:val="nil"/>
              <w:right w:val="nil"/>
            </w:tcBorders>
            <w:shd w:val="clear" w:color="auto" w:fill="F2F2F2" w:themeFill="background1" w:themeFillShade="F2"/>
            <w:tcMar>
              <w:top w:w="15" w:type="dxa"/>
              <w:left w:w="42" w:type="dxa"/>
              <w:bottom w:w="0" w:type="dxa"/>
              <w:right w:w="15" w:type="dxa"/>
            </w:tcMar>
            <w:vAlign w:val="center"/>
          </w:tcPr>
          <w:p w:rsidR="005F0640" w:rsidRPr="0098297F" w:rsidRDefault="005F0640" w:rsidP="005F0640">
            <w:pPr>
              <w:textAlignment w:val="center"/>
              <w:rPr>
                <w:rFonts w:ascii="Segoe UI" w:eastAsia="Segoe UI" w:hAnsi="Segoe UI" w:cs="Segoe UI"/>
                <w:b/>
                <w:bCs/>
                <w:color w:val="000000"/>
                <w:kern w:val="24"/>
                <w:sz w:val="14"/>
                <w:szCs w:val="14"/>
                <w:lang w:eastAsia="el-GR"/>
              </w:rPr>
            </w:pPr>
            <w:r w:rsidRPr="0098297F">
              <w:rPr>
                <w:rFonts w:ascii="Segoe UI" w:eastAsia="Segoe UI" w:hAnsi="Segoe UI" w:cs="Segoe UI"/>
                <w:b/>
                <w:bCs/>
                <w:color w:val="000000"/>
                <w:kern w:val="24"/>
                <w:sz w:val="14"/>
                <w:szCs w:val="14"/>
                <w:lang w:eastAsia="el-GR"/>
              </w:rPr>
              <w:t>Οργανικά κέρδη / (ζημίες)</w:t>
            </w:r>
            <w:r w:rsidRPr="003A4DE4">
              <w:rPr>
                <w:rFonts w:ascii="Segoe UI" w:eastAsia="Segoe UI" w:hAnsi="Segoe UI" w:cs="Segoe UI"/>
                <w:b/>
                <w:bCs/>
                <w:color w:val="000000"/>
                <w:kern w:val="24"/>
                <w:sz w:val="14"/>
                <w:szCs w:val="14"/>
                <w:vertAlign w:val="superscript"/>
                <w:lang w:eastAsia="el-GR"/>
              </w:rPr>
              <w:t xml:space="preserve">2 </w:t>
            </w:r>
          </w:p>
        </w:tc>
        <w:tc>
          <w:tcPr>
            <w:tcW w:w="475" w:type="pct"/>
            <w:tcBorders>
              <w:top w:val="nil"/>
              <w:left w:val="nil"/>
              <w:bottom w:val="nil"/>
              <w:right w:val="nil"/>
            </w:tcBorders>
            <w:shd w:val="clear" w:color="auto" w:fill="F2F2F2" w:themeFill="background1" w:themeFillShade="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195 </w:t>
            </w:r>
          </w:p>
        </w:tc>
        <w:tc>
          <w:tcPr>
            <w:tcW w:w="475" w:type="pct"/>
            <w:tcBorders>
              <w:top w:val="nil"/>
              <w:left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122 </w:t>
            </w:r>
          </w:p>
        </w:tc>
        <w:tc>
          <w:tcPr>
            <w:tcW w:w="475" w:type="pct"/>
            <w:tcBorders>
              <w:top w:val="nil"/>
              <w:left w:val="nil"/>
              <w:bottom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i/>
                <w:sz w:val="14"/>
                <w:szCs w:val="16"/>
                <w:lang w:val="en-US"/>
              </w:rPr>
            </w:pPr>
            <w:r w:rsidRPr="005F0640">
              <w:rPr>
                <w:rFonts w:ascii="Segoe UI" w:hAnsi="Segoe UI" w:cs="Segoe UI"/>
                <w:b/>
                <w:i/>
                <w:sz w:val="14"/>
                <w:szCs w:val="16"/>
                <w:lang w:val="en-US"/>
              </w:rPr>
              <w:t>60%</w:t>
            </w:r>
          </w:p>
        </w:tc>
        <w:tc>
          <w:tcPr>
            <w:tcW w:w="475" w:type="pct"/>
            <w:tcBorders>
              <w:top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105 </w:t>
            </w:r>
          </w:p>
        </w:tc>
        <w:tc>
          <w:tcPr>
            <w:tcW w:w="475" w:type="pct"/>
            <w:tcBorders>
              <w:top w:val="nil"/>
              <w:left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89 </w:t>
            </w:r>
          </w:p>
        </w:tc>
        <w:tc>
          <w:tcPr>
            <w:tcW w:w="472" w:type="pct"/>
            <w:tcBorders>
              <w:top w:val="nil"/>
              <w:left w:val="nil"/>
              <w:bottom w:val="nil"/>
              <w:right w:val="nil"/>
            </w:tcBorders>
            <w:shd w:val="clear" w:color="000000" w:fill="F2F2F2"/>
            <w:tcMar>
              <w:top w:w="15" w:type="dxa"/>
              <w:left w:w="15" w:type="dxa"/>
              <w:bottom w:w="0" w:type="dxa"/>
              <w:right w:w="78" w:type="dxa"/>
            </w:tcMar>
            <w:vAlign w:val="bottom"/>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i/>
                <w:sz w:val="14"/>
                <w:szCs w:val="16"/>
                <w:lang w:val="en-US"/>
              </w:rPr>
            </w:pPr>
            <w:r w:rsidRPr="005F0640">
              <w:rPr>
                <w:rFonts w:ascii="Segoe UI" w:hAnsi="Segoe UI" w:cs="Segoe UI"/>
                <w:b/>
                <w:i/>
                <w:sz w:val="14"/>
                <w:szCs w:val="16"/>
                <w:lang w:val="en-US"/>
              </w:rPr>
              <w:t>18%</w:t>
            </w:r>
          </w:p>
        </w:tc>
      </w:tr>
      <w:tr w:rsidR="005F0640" w:rsidRPr="0098297F" w:rsidTr="00250B3E">
        <w:trPr>
          <w:trHeight w:val="113"/>
        </w:trPr>
        <w:tc>
          <w:tcPr>
            <w:tcW w:w="2153" w:type="pct"/>
            <w:tcBorders>
              <w:top w:val="nil"/>
              <w:left w:val="nil"/>
              <w:bottom w:val="nil"/>
              <w:right w:val="nil"/>
            </w:tcBorders>
            <w:shd w:val="clear" w:color="auto" w:fill="auto"/>
            <w:tcMar>
              <w:top w:w="15" w:type="dxa"/>
              <w:left w:w="42" w:type="dxa"/>
              <w:bottom w:w="0" w:type="dxa"/>
              <w:right w:w="15" w:type="dxa"/>
            </w:tcMar>
            <w:vAlign w:val="center"/>
            <w:hideMark/>
          </w:tcPr>
          <w:p w:rsidR="005F0640" w:rsidRPr="0098297F" w:rsidRDefault="005F0640" w:rsidP="005F0640">
            <w:pPr>
              <w:textAlignment w:val="center"/>
              <w:rPr>
                <w:rFonts w:ascii="Segoe UI" w:eastAsia="Times New Roman" w:hAnsi="Segoe UI" w:cs="Segoe UI"/>
                <w:sz w:val="14"/>
                <w:szCs w:val="14"/>
                <w:lang w:eastAsia="el-GR"/>
              </w:rPr>
            </w:pPr>
            <w:r w:rsidRPr="008F3901">
              <w:rPr>
                <w:rFonts w:ascii="Segoe UI" w:eastAsia="Segoe UI" w:hAnsi="Segoe UI" w:cs="Segoe UI"/>
                <w:color w:val="000000"/>
                <w:kern w:val="24"/>
                <w:sz w:val="14"/>
                <w:szCs w:val="14"/>
                <w:lang w:eastAsia="el-GR"/>
              </w:rPr>
              <w:t>Λοιπές προβλέψεις / αντιλογισμός προβλέψεων</w:t>
            </w:r>
          </w:p>
        </w:tc>
        <w:tc>
          <w:tcPr>
            <w:tcW w:w="475" w:type="pct"/>
            <w:tcBorders>
              <w:top w:val="nil"/>
              <w:left w:val="nil"/>
              <w:bottom w:val="nil"/>
              <w:right w:val="nil"/>
            </w:tcBorders>
            <w:shd w:val="clear" w:color="auto" w:fill="auto"/>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(27) </w:t>
            </w:r>
          </w:p>
        </w:tc>
        <w:tc>
          <w:tcPr>
            <w:tcW w:w="475" w:type="pct"/>
            <w:tcBorders>
              <w:top w:val="nil"/>
              <w:left w:val="nil"/>
              <w:bottom w:val="nil"/>
              <w:right w:val="nil"/>
            </w:tcBorders>
            <w:shd w:val="clear" w:color="auto" w:fill="auto"/>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(20) </w:t>
            </w:r>
          </w:p>
        </w:tc>
        <w:tc>
          <w:tcPr>
            <w:tcW w:w="475" w:type="pct"/>
            <w:tcBorders>
              <w:top w:val="nil"/>
              <w:left w:val="nil"/>
              <w:bottom w:val="nil"/>
            </w:tcBorders>
            <w:shd w:val="clear" w:color="auto" w:fill="auto"/>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i/>
                <w:sz w:val="14"/>
                <w:szCs w:val="16"/>
                <w:lang w:val="en-US"/>
              </w:rPr>
            </w:pPr>
            <w:r w:rsidRPr="005F0640">
              <w:rPr>
                <w:rFonts w:ascii="Segoe UI" w:hAnsi="Segoe UI" w:cs="Segoe UI"/>
                <w:i/>
                <w:sz w:val="14"/>
                <w:szCs w:val="16"/>
                <w:lang w:val="en-US"/>
              </w:rPr>
              <w:t>34%</w:t>
            </w:r>
          </w:p>
        </w:tc>
        <w:tc>
          <w:tcPr>
            <w:tcW w:w="475" w:type="pct"/>
            <w:tcBorders>
              <w:top w:val="nil"/>
              <w:bottom w:val="nil"/>
              <w:right w:val="nil"/>
            </w:tcBorders>
            <w:shd w:val="clear" w:color="auto" w:fill="auto"/>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(21) </w:t>
            </w:r>
          </w:p>
        </w:tc>
        <w:tc>
          <w:tcPr>
            <w:tcW w:w="475" w:type="pct"/>
            <w:tcBorders>
              <w:top w:val="nil"/>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(6) </w:t>
            </w:r>
          </w:p>
        </w:tc>
        <w:tc>
          <w:tcPr>
            <w:tcW w:w="472" w:type="pct"/>
            <w:tcBorders>
              <w:top w:val="nil"/>
              <w:left w:val="nil"/>
              <w:bottom w:val="nil"/>
              <w:right w:val="nil"/>
            </w:tcBorders>
            <w:shd w:val="clear" w:color="auto" w:fill="auto"/>
            <w:tcMar>
              <w:top w:w="15" w:type="dxa"/>
              <w:left w:w="15" w:type="dxa"/>
              <w:bottom w:w="0" w:type="dxa"/>
              <w:right w:w="84" w:type="dxa"/>
            </w:tcMar>
            <w:vAlign w:val="bottom"/>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i/>
                <w:sz w:val="14"/>
                <w:szCs w:val="16"/>
                <w:lang w:val="en-US"/>
              </w:rPr>
            </w:pPr>
            <w:r w:rsidRPr="005F0640">
              <w:rPr>
                <w:rFonts w:ascii="Segoe UI" w:hAnsi="Segoe UI" w:cs="Segoe UI"/>
                <w:i/>
                <w:sz w:val="14"/>
                <w:szCs w:val="16"/>
                <w:lang w:val="en-US"/>
              </w:rPr>
              <w:t>&gt;100%</w:t>
            </w:r>
          </w:p>
        </w:tc>
      </w:tr>
      <w:tr w:rsidR="005F0640" w:rsidRPr="0098297F" w:rsidTr="00250B3E">
        <w:trPr>
          <w:trHeight w:val="113"/>
        </w:trPr>
        <w:tc>
          <w:tcPr>
            <w:tcW w:w="2153" w:type="pct"/>
            <w:tcBorders>
              <w:top w:val="nil"/>
              <w:left w:val="nil"/>
              <w:bottom w:val="nil"/>
              <w:right w:val="nil"/>
            </w:tcBorders>
            <w:shd w:val="clear" w:color="auto" w:fill="auto"/>
            <w:tcMar>
              <w:top w:w="15" w:type="dxa"/>
              <w:left w:w="42" w:type="dxa"/>
              <w:bottom w:w="0" w:type="dxa"/>
              <w:right w:w="15" w:type="dxa"/>
            </w:tcMar>
            <w:vAlign w:val="center"/>
            <w:hideMark/>
          </w:tcPr>
          <w:p w:rsidR="005F0640" w:rsidRPr="0098297F" w:rsidRDefault="005F0640" w:rsidP="005F0640">
            <w:pPr>
              <w:textAlignment w:val="center"/>
              <w:rPr>
                <w:rFonts w:ascii="Segoe UI" w:eastAsia="Times New Roman" w:hAnsi="Segoe UI" w:cs="Segoe UI"/>
                <w:b/>
                <w:sz w:val="14"/>
                <w:szCs w:val="14"/>
                <w:lang w:eastAsia="el-GR"/>
              </w:rPr>
            </w:pPr>
            <w:r w:rsidRPr="0098297F">
              <w:rPr>
                <w:rFonts w:ascii="Segoe UI" w:eastAsia="Segoe UI" w:hAnsi="Segoe UI" w:cs="Segoe UI"/>
                <w:b/>
                <w:color w:val="000000"/>
                <w:kern w:val="24"/>
                <w:sz w:val="14"/>
                <w:szCs w:val="14"/>
                <w:lang w:eastAsia="el-GR"/>
              </w:rPr>
              <w:t>Κέρδη / (ζημίες) προ φόρων</w:t>
            </w:r>
          </w:p>
        </w:tc>
        <w:tc>
          <w:tcPr>
            <w:tcW w:w="475" w:type="pct"/>
            <w:tcBorders>
              <w:top w:val="nil"/>
              <w:left w:val="nil"/>
              <w:bottom w:val="nil"/>
              <w:right w:val="nil"/>
            </w:tcBorders>
            <w:shd w:val="clear" w:color="auto" w:fill="auto"/>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616 </w:t>
            </w:r>
          </w:p>
        </w:tc>
        <w:tc>
          <w:tcPr>
            <w:tcW w:w="475" w:type="pct"/>
            <w:tcBorders>
              <w:top w:val="nil"/>
              <w:left w:val="nil"/>
              <w:bottom w:val="nil"/>
              <w:right w:val="nil"/>
            </w:tcBorders>
            <w:shd w:val="clear" w:color="auto" w:fill="auto"/>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460 </w:t>
            </w:r>
          </w:p>
        </w:tc>
        <w:tc>
          <w:tcPr>
            <w:tcW w:w="475" w:type="pct"/>
            <w:tcBorders>
              <w:top w:val="nil"/>
              <w:left w:val="nil"/>
              <w:bottom w:val="nil"/>
            </w:tcBorders>
            <w:shd w:val="clear" w:color="auto" w:fill="auto"/>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i/>
                <w:sz w:val="14"/>
                <w:szCs w:val="16"/>
                <w:lang w:val="en-US"/>
              </w:rPr>
            </w:pPr>
            <w:r w:rsidRPr="005F0640">
              <w:rPr>
                <w:rFonts w:ascii="Segoe UI" w:hAnsi="Segoe UI" w:cs="Segoe UI"/>
                <w:b/>
                <w:i/>
                <w:sz w:val="14"/>
                <w:szCs w:val="16"/>
                <w:lang w:val="en-US"/>
              </w:rPr>
              <w:t>34%</w:t>
            </w:r>
          </w:p>
        </w:tc>
        <w:tc>
          <w:tcPr>
            <w:tcW w:w="475" w:type="pct"/>
            <w:tcBorders>
              <w:top w:val="nil"/>
              <w:bottom w:val="nil"/>
              <w:right w:val="nil"/>
            </w:tcBorders>
            <w:shd w:val="clear" w:color="auto" w:fill="auto"/>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42 </w:t>
            </w:r>
          </w:p>
        </w:tc>
        <w:tc>
          <w:tcPr>
            <w:tcW w:w="475" w:type="pct"/>
            <w:tcBorders>
              <w:top w:val="nil"/>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574 </w:t>
            </w:r>
          </w:p>
        </w:tc>
        <w:tc>
          <w:tcPr>
            <w:tcW w:w="472" w:type="pct"/>
            <w:tcBorders>
              <w:top w:val="nil"/>
              <w:left w:val="nil"/>
              <w:bottom w:val="nil"/>
              <w:right w:val="nil"/>
            </w:tcBorders>
            <w:shd w:val="clear" w:color="auto" w:fill="auto"/>
            <w:tcMar>
              <w:top w:w="15" w:type="dxa"/>
              <w:left w:w="15" w:type="dxa"/>
              <w:bottom w:w="0" w:type="dxa"/>
              <w:right w:w="84" w:type="dxa"/>
            </w:tcMar>
            <w:vAlign w:val="bottom"/>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i/>
                <w:sz w:val="14"/>
                <w:szCs w:val="16"/>
                <w:lang w:val="en-US"/>
              </w:rPr>
            </w:pPr>
            <w:r w:rsidRPr="005F0640">
              <w:rPr>
                <w:rFonts w:ascii="Segoe UI" w:hAnsi="Segoe UI" w:cs="Segoe UI"/>
                <w:b/>
                <w:i/>
                <w:sz w:val="14"/>
                <w:szCs w:val="16"/>
                <w:lang w:val="en-US"/>
              </w:rPr>
              <w:t>-93%</w:t>
            </w:r>
          </w:p>
        </w:tc>
      </w:tr>
      <w:tr w:rsidR="005F0640" w:rsidRPr="0098297F" w:rsidTr="00250B3E">
        <w:trPr>
          <w:trHeight w:val="113"/>
        </w:trPr>
        <w:tc>
          <w:tcPr>
            <w:tcW w:w="2153" w:type="pct"/>
            <w:tcBorders>
              <w:top w:val="nil"/>
              <w:left w:val="nil"/>
              <w:bottom w:val="nil"/>
              <w:right w:val="nil"/>
            </w:tcBorders>
            <w:shd w:val="clear" w:color="auto" w:fill="auto"/>
            <w:tcMar>
              <w:top w:w="15" w:type="dxa"/>
              <w:left w:w="42" w:type="dxa"/>
              <w:bottom w:w="0" w:type="dxa"/>
              <w:right w:w="15" w:type="dxa"/>
            </w:tcMar>
            <w:vAlign w:val="center"/>
            <w:hideMark/>
          </w:tcPr>
          <w:p w:rsidR="005F0640" w:rsidRPr="0098297F" w:rsidRDefault="005F0640" w:rsidP="005F0640">
            <w:pPr>
              <w:textAlignment w:val="center"/>
              <w:rPr>
                <w:rFonts w:ascii="Segoe UI" w:eastAsia="Times New Roman" w:hAnsi="Segoe UI" w:cs="Segoe UI"/>
                <w:sz w:val="14"/>
                <w:szCs w:val="14"/>
                <w:lang w:eastAsia="el-GR"/>
              </w:rPr>
            </w:pPr>
            <w:r w:rsidRPr="0098297F">
              <w:rPr>
                <w:rFonts w:ascii="Segoe UI" w:eastAsia="Segoe UI" w:hAnsi="Segoe UI" w:cs="Segoe UI"/>
                <w:color w:val="000000"/>
                <w:kern w:val="24"/>
                <w:sz w:val="14"/>
                <w:szCs w:val="14"/>
                <w:lang w:eastAsia="el-GR"/>
              </w:rPr>
              <w:t xml:space="preserve">Φόροι </w:t>
            </w:r>
          </w:p>
        </w:tc>
        <w:tc>
          <w:tcPr>
            <w:tcW w:w="475" w:type="pct"/>
            <w:tcBorders>
              <w:top w:val="nil"/>
              <w:left w:val="nil"/>
              <w:bottom w:val="nil"/>
              <w:right w:val="nil"/>
            </w:tcBorders>
            <w:shd w:val="clear" w:color="auto" w:fill="auto"/>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(2) </w:t>
            </w:r>
          </w:p>
        </w:tc>
        <w:tc>
          <w:tcPr>
            <w:tcW w:w="475" w:type="pct"/>
            <w:tcBorders>
              <w:top w:val="nil"/>
              <w:left w:val="nil"/>
              <w:bottom w:val="nil"/>
              <w:right w:val="nil"/>
            </w:tcBorders>
            <w:shd w:val="clear" w:color="auto" w:fill="auto"/>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(3) </w:t>
            </w:r>
          </w:p>
        </w:tc>
        <w:tc>
          <w:tcPr>
            <w:tcW w:w="475" w:type="pct"/>
            <w:tcBorders>
              <w:top w:val="nil"/>
              <w:left w:val="nil"/>
              <w:bottom w:val="nil"/>
            </w:tcBorders>
            <w:shd w:val="clear" w:color="auto" w:fill="auto"/>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i/>
                <w:sz w:val="14"/>
                <w:szCs w:val="16"/>
                <w:lang w:val="en-US"/>
              </w:rPr>
            </w:pPr>
            <w:r w:rsidRPr="005F0640">
              <w:rPr>
                <w:rFonts w:ascii="Segoe UI" w:hAnsi="Segoe UI" w:cs="Segoe UI"/>
                <w:i/>
                <w:sz w:val="14"/>
                <w:szCs w:val="16"/>
                <w:lang w:val="en-US"/>
              </w:rPr>
              <w:t>-29%</w:t>
            </w:r>
          </w:p>
        </w:tc>
        <w:tc>
          <w:tcPr>
            <w:tcW w:w="475" w:type="pct"/>
            <w:tcBorders>
              <w:top w:val="nil"/>
              <w:bottom w:val="nil"/>
              <w:right w:val="nil"/>
            </w:tcBorders>
            <w:shd w:val="clear" w:color="auto" w:fill="auto"/>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(0) </w:t>
            </w:r>
          </w:p>
        </w:tc>
        <w:tc>
          <w:tcPr>
            <w:tcW w:w="475" w:type="pct"/>
            <w:tcBorders>
              <w:top w:val="nil"/>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(2) </w:t>
            </w:r>
          </w:p>
        </w:tc>
        <w:tc>
          <w:tcPr>
            <w:tcW w:w="472" w:type="pct"/>
            <w:tcBorders>
              <w:top w:val="nil"/>
              <w:left w:val="nil"/>
              <w:bottom w:val="nil"/>
              <w:right w:val="nil"/>
            </w:tcBorders>
            <w:shd w:val="clear" w:color="auto" w:fill="auto"/>
            <w:tcMar>
              <w:top w:w="15" w:type="dxa"/>
              <w:left w:w="15" w:type="dxa"/>
              <w:bottom w:w="0" w:type="dxa"/>
              <w:right w:w="84" w:type="dxa"/>
            </w:tcMar>
            <w:vAlign w:val="bottom"/>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i/>
                <w:sz w:val="14"/>
                <w:szCs w:val="16"/>
                <w:lang w:val="en-US"/>
              </w:rPr>
            </w:pPr>
            <w:r w:rsidRPr="005F0640">
              <w:rPr>
                <w:rFonts w:ascii="Segoe UI" w:hAnsi="Segoe UI" w:cs="Segoe UI"/>
                <w:i/>
                <w:sz w:val="14"/>
                <w:szCs w:val="16"/>
                <w:lang w:val="en-US"/>
              </w:rPr>
              <w:t>-82%</w:t>
            </w:r>
          </w:p>
        </w:tc>
      </w:tr>
      <w:tr w:rsidR="005F0640" w:rsidRPr="0098297F" w:rsidTr="00250B3E">
        <w:trPr>
          <w:trHeight w:val="113"/>
        </w:trPr>
        <w:tc>
          <w:tcPr>
            <w:tcW w:w="2153" w:type="pct"/>
            <w:tcBorders>
              <w:top w:val="nil"/>
              <w:left w:val="nil"/>
              <w:bottom w:val="nil"/>
              <w:right w:val="nil"/>
            </w:tcBorders>
            <w:shd w:val="clear" w:color="auto" w:fill="F2F2F2"/>
            <w:tcMar>
              <w:top w:w="15" w:type="dxa"/>
              <w:left w:w="42" w:type="dxa"/>
              <w:bottom w:w="0" w:type="dxa"/>
              <w:right w:w="15" w:type="dxa"/>
            </w:tcMar>
            <w:vAlign w:val="center"/>
            <w:hideMark/>
          </w:tcPr>
          <w:p w:rsidR="005F0640" w:rsidRPr="0098297F" w:rsidRDefault="005F0640" w:rsidP="005F0640">
            <w:pPr>
              <w:textAlignment w:val="center"/>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 xml:space="preserve">Κέρδη / (ζημίες) </w:t>
            </w:r>
            <w:r w:rsidRPr="00B4445A">
              <w:rPr>
                <w:rFonts w:ascii="Segoe UI" w:eastAsia="Segoe UI" w:hAnsi="Segoe UI" w:cs="Segoe UI"/>
                <w:b/>
                <w:bCs/>
                <w:color w:val="000000"/>
                <w:kern w:val="24"/>
                <w:sz w:val="14"/>
                <w:szCs w:val="14"/>
                <w:lang w:eastAsia="el-GR"/>
              </w:rPr>
              <w:t xml:space="preserve">μετά από φόρους </w:t>
            </w:r>
            <w:r w:rsidRPr="0098297F">
              <w:rPr>
                <w:rFonts w:ascii="Segoe UI" w:eastAsia="Segoe UI" w:hAnsi="Segoe UI" w:cs="Segoe UI"/>
                <w:b/>
                <w:bCs/>
                <w:color w:val="000000"/>
                <w:kern w:val="24"/>
                <w:sz w:val="14"/>
                <w:szCs w:val="14"/>
                <w:lang w:eastAsia="el-GR"/>
              </w:rPr>
              <w:t>(συνεχ</w:t>
            </w:r>
            <w:r>
              <w:rPr>
                <w:rFonts w:ascii="Segoe UI" w:eastAsia="Segoe UI" w:hAnsi="Segoe UI" w:cs="Segoe UI"/>
                <w:b/>
                <w:bCs/>
                <w:color w:val="000000"/>
                <w:kern w:val="24"/>
                <w:sz w:val="14"/>
                <w:szCs w:val="14"/>
                <w:lang w:eastAsia="el-GR"/>
              </w:rPr>
              <w:t>/μ</w:t>
            </w:r>
            <w:r w:rsidRPr="0098297F">
              <w:rPr>
                <w:rFonts w:ascii="Segoe UI" w:eastAsia="Segoe UI" w:hAnsi="Segoe UI" w:cs="Segoe UI"/>
                <w:b/>
                <w:bCs/>
                <w:color w:val="000000"/>
                <w:kern w:val="24"/>
                <w:sz w:val="14"/>
                <w:szCs w:val="14"/>
                <w:lang w:eastAsia="el-GR"/>
              </w:rPr>
              <w:t>ενες δραστ</w:t>
            </w:r>
            <w:r w:rsidRPr="00B473E6">
              <w:rPr>
                <w:rFonts w:ascii="Segoe UI" w:eastAsia="Segoe UI" w:hAnsi="Segoe UI" w:cs="Segoe UI"/>
                <w:b/>
                <w:bCs/>
                <w:color w:val="000000"/>
                <w:kern w:val="24"/>
                <w:sz w:val="14"/>
                <w:szCs w:val="14"/>
                <w:lang w:eastAsia="el-GR"/>
              </w:rPr>
              <w:t>/</w:t>
            </w:r>
            <w:r w:rsidRPr="0098297F">
              <w:rPr>
                <w:rFonts w:ascii="Segoe UI" w:eastAsia="Segoe UI" w:hAnsi="Segoe UI" w:cs="Segoe UI"/>
                <w:b/>
                <w:bCs/>
                <w:color w:val="000000"/>
                <w:kern w:val="24"/>
                <w:sz w:val="14"/>
                <w:szCs w:val="14"/>
                <w:lang w:eastAsia="el-GR"/>
              </w:rPr>
              <w:t>τητες)</w:t>
            </w:r>
          </w:p>
        </w:tc>
        <w:tc>
          <w:tcPr>
            <w:tcW w:w="475" w:type="pct"/>
            <w:tcBorders>
              <w:top w:val="nil"/>
              <w:left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614 </w:t>
            </w:r>
          </w:p>
        </w:tc>
        <w:tc>
          <w:tcPr>
            <w:tcW w:w="475" w:type="pct"/>
            <w:tcBorders>
              <w:top w:val="nil"/>
              <w:left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457 </w:t>
            </w:r>
          </w:p>
        </w:tc>
        <w:tc>
          <w:tcPr>
            <w:tcW w:w="475" w:type="pct"/>
            <w:tcBorders>
              <w:top w:val="nil"/>
              <w:left w:val="nil"/>
              <w:bottom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i/>
                <w:sz w:val="14"/>
                <w:szCs w:val="16"/>
                <w:lang w:val="en-US"/>
              </w:rPr>
            </w:pPr>
            <w:r w:rsidRPr="005F0640">
              <w:rPr>
                <w:rFonts w:ascii="Segoe UI" w:hAnsi="Segoe UI" w:cs="Segoe UI"/>
                <w:b/>
                <w:i/>
                <w:sz w:val="14"/>
                <w:szCs w:val="16"/>
                <w:lang w:val="en-US"/>
              </w:rPr>
              <w:t>34%</w:t>
            </w:r>
          </w:p>
        </w:tc>
        <w:tc>
          <w:tcPr>
            <w:tcW w:w="475" w:type="pct"/>
            <w:tcBorders>
              <w:top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42 </w:t>
            </w:r>
          </w:p>
        </w:tc>
        <w:tc>
          <w:tcPr>
            <w:tcW w:w="475" w:type="pct"/>
            <w:tcBorders>
              <w:top w:val="nil"/>
              <w:left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572 </w:t>
            </w:r>
          </w:p>
        </w:tc>
        <w:tc>
          <w:tcPr>
            <w:tcW w:w="472" w:type="pct"/>
            <w:tcBorders>
              <w:top w:val="nil"/>
              <w:left w:val="nil"/>
              <w:bottom w:val="nil"/>
              <w:right w:val="nil"/>
            </w:tcBorders>
            <w:shd w:val="clear" w:color="000000" w:fill="F2F2F2"/>
            <w:tcMar>
              <w:top w:w="15" w:type="dxa"/>
              <w:left w:w="15" w:type="dxa"/>
              <w:bottom w:w="0" w:type="dxa"/>
              <w:right w:w="84" w:type="dxa"/>
            </w:tcMar>
            <w:vAlign w:val="bottom"/>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i/>
                <w:sz w:val="14"/>
                <w:szCs w:val="16"/>
                <w:lang w:val="en-US"/>
              </w:rPr>
            </w:pPr>
            <w:r w:rsidRPr="005F0640">
              <w:rPr>
                <w:rFonts w:ascii="Segoe UI" w:hAnsi="Segoe UI" w:cs="Segoe UI"/>
                <w:b/>
                <w:i/>
                <w:sz w:val="14"/>
                <w:szCs w:val="16"/>
                <w:lang w:val="en-US"/>
              </w:rPr>
              <w:t>-93%</w:t>
            </w:r>
          </w:p>
        </w:tc>
      </w:tr>
      <w:tr w:rsidR="005F0640" w:rsidRPr="0098297F" w:rsidTr="00250B3E">
        <w:trPr>
          <w:trHeight w:val="113"/>
        </w:trPr>
        <w:tc>
          <w:tcPr>
            <w:tcW w:w="2153" w:type="pct"/>
            <w:tcBorders>
              <w:top w:val="nil"/>
              <w:left w:val="nil"/>
              <w:bottom w:val="nil"/>
              <w:right w:val="nil"/>
            </w:tcBorders>
            <w:shd w:val="clear" w:color="auto" w:fill="auto"/>
            <w:tcMar>
              <w:top w:w="15" w:type="dxa"/>
              <w:left w:w="42" w:type="dxa"/>
              <w:bottom w:w="0" w:type="dxa"/>
              <w:right w:w="15" w:type="dxa"/>
            </w:tcMar>
            <w:vAlign w:val="center"/>
            <w:hideMark/>
          </w:tcPr>
          <w:p w:rsidR="005F0640" w:rsidRPr="0098297F" w:rsidRDefault="005F0640" w:rsidP="005F0640">
            <w:pPr>
              <w:textAlignment w:val="center"/>
              <w:rPr>
                <w:rFonts w:ascii="Segoe UI" w:eastAsia="Times New Roman" w:hAnsi="Segoe UI" w:cs="Segoe UI"/>
                <w:sz w:val="14"/>
                <w:szCs w:val="14"/>
                <w:lang w:eastAsia="el-GR"/>
              </w:rPr>
            </w:pPr>
            <w:r w:rsidRPr="000F7D3C">
              <w:rPr>
                <w:rFonts w:ascii="Segoe UI" w:eastAsia="Segoe UI" w:hAnsi="Segoe UI" w:cs="Segoe UI"/>
                <w:bCs/>
                <w:color w:val="000000"/>
                <w:kern w:val="24"/>
                <w:sz w:val="14"/>
                <w:szCs w:val="14"/>
                <w:lang w:eastAsia="el-GR"/>
              </w:rPr>
              <w:t>Διακοπείσες δραστηριότητες, δικαιώματα μειοψηφίας και λοιπά</w:t>
            </w:r>
          </w:p>
        </w:tc>
        <w:tc>
          <w:tcPr>
            <w:tcW w:w="475" w:type="pct"/>
            <w:tcBorders>
              <w:top w:val="nil"/>
              <w:left w:val="nil"/>
              <w:bottom w:val="nil"/>
              <w:right w:val="nil"/>
            </w:tcBorders>
            <w:shd w:val="clear" w:color="auto" w:fill="auto"/>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(47) </w:t>
            </w:r>
          </w:p>
        </w:tc>
        <w:tc>
          <w:tcPr>
            <w:tcW w:w="475" w:type="pct"/>
            <w:tcBorders>
              <w:top w:val="nil"/>
              <w:left w:val="nil"/>
              <w:bottom w:val="nil"/>
              <w:right w:val="nil"/>
            </w:tcBorders>
            <w:shd w:val="clear" w:color="auto" w:fill="auto"/>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(99) </w:t>
            </w:r>
          </w:p>
        </w:tc>
        <w:tc>
          <w:tcPr>
            <w:tcW w:w="475" w:type="pct"/>
            <w:tcBorders>
              <w:top w:val="nil"/>
              <w:left w:val="nil"/>
              <w:bottom w:val="nil"/>
            </w:tcBorders>
            <w:shd w:val="clear" w:color="auto" w:fill="auto"/>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i/>
                <w:sz w:val="14"/>
                <w:szCs w:val="16"/>
                <w:lang w:val="en-US"/>
              </w:rPr>
            </w:pPr>
            <w:r w:rsidRPr="005F0640">
              <w:rPr>
                <w:rFonts w:ascii="Segoe UI" w:hAnsi="Segoe UI" w:cs="Segoe UI"/>
                <w:i/>
                <w:sz w:val="14"/>
                <w:szCs w:val="16"/>
                <w:lang w:val="en-US"/>
              </w:rPr>
              <w:t>-53%</w:t>
            </w:r>
          </w:p>
        </w:tc>
        <w:tc>
          <w:tcPr>
            <w:tcW w:w="475" w:type="pct"/>
            <w:tcBorders>
              <w:top w:val="nil"/>
              <w:bottom w:val="nil"/>
              <w:right w:val="nil"/>
            </w:tcBorders>
            <w:shd w:val="clear" w:color="auto" w:fill="auto"/>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(28) </w:t>
            </w:r>
          </w:p>
        </w:tc>
        <w:tc>
          <w:tcPr>
            <w:tcW w:w="475" w:type="pct"/>
            <w:tcBorders>
              <w:top w:val="nil"/>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(19) </w:t>
            </w:r>
          </w:p>
        </w:tc>
        <w:tc>
          <w:tcPr>
            <w:tcW w:w="472" w:type="pct"/>
            <w:tcBorders>
              <w:top w:val="nil"/>
              <w:left w:val="nil"/>
              <w:bottom w:val="nil"/>
              <w:right w:val="nil"/>
            </w:tcBorders>
            <w:shd w:val="clear" w:color="auto" w:fill="auto"/>
            <w:tcMar>
              <w:top w:w="15" w:type="dxa"/>
              <w:left w:w="15" w:type="dxa"/>
              <w:bottom w:w="0" w:type="dxa"/>
              <w:right w:w="84" w:type="dxa"/>
            </w:tcMar>
            <w:vAlign w:val="bottom"/>
          </w:tcPr>
          <w:p w:rsidR="005F0640" w:rsidRPr="005F0640" w:rsidRDefault="005F0640" w:rsidP="00C61EF5">
            <w:pPr>
              <w:pStyle w:val="NormalWeb"/>
              <w:spacing w:before="0" w:beforeAutospacing="0" w:after="0" w:afterAutospacing="0"/>
              <w:ind w:right="148"/>
              <w:jc w:val="right"/>
              <w:textAlignment w:val="center"/>
              <w:rPr>
                <w:rFonts w:ascii="Segoe UI" w:hAnsi="Segoe UI" w:cs="Segoe UI"/>
                <w:i/>
                <w:sz w:val="14"/>
                <w:szCs w:val="16"/>
                <w:lang w:val="en-US"/>
              </w:rPr>
            </w:pPr>
            <w:r w:rsidRPr="005F0640">
              <w:rPr>
                <w:rFonts w:ascii="Segoe UI" w:hAnsi="Segoe UI" w:cs="Segoe UI"/>
                <w:i/>
                <w:sz w:val="14"/>
                <w:szCs w:val="16"/>
                <w:lang w:val="en-US"/>
              </w:rPr>
              <w:t>4</w:t>
            </w:r>
            <w:r w:rsidR="00C61EF5">
              <w:rPr>
                <w:rFonts w:ascii="Segoe UI" w:hAnsi="Segoe UI" w:cs="Segoe UI"/>
                <w:i/>
                <w:sz w:val="14"/>
                <w:szCs w:val="16"/>
                <w:lang w:val="en-US"/>
              </w:rPr>
              <w:t>4</w:t>
            </w:r>
            <w:r w:rsidRPr="005F0640">
              <w:rPr>
                <w:rFonts w:ascii="Segoe UI" w:hAnsi="Segoe UI" w:cs="Segoe UI"/>
                <w:i/>
                <w:sz w:val="14"/>
                <w:szCs w:val="16"/>
                <w:lang w:val="en-US"/>
              </w:rPr>
              <w:t>%</w:t>
            </w:r>
          </w:p>
        </w:tc>
      </w:tr>
      <w:tr w:rsidR="005F0640" w:rsidRPr="0098297F" w:rsidTr="00250B3E">
        <w:trPr>
          <w:trHeight w:val="113"/>
        </w:trPr>
        <w:tc>
          <w:tcPr>
            <w:tcW w:w="2153" w:type="pct"/>
            <w:tcBorders>
              <w:top w:val="nil"/>
              <w:left w:val="nil"/>
              <w:bottom w:val="single" w:sz="12" w:space="0" w:color="000000"/>
              <w:right w:val="nil"/>
            </w:tcBorders>
            <w:shd w:val="clear" w:color="auto" w:fill="F2F2F2" w:themeFill="background1" w:themeFillShade="F2"/>
            <w:tcMar>
              <w:top w:w="15" w:type="dxa"/>
              <w:left w:w="42" w:type="dxa"/>
              <w:bottom w:w="0" w:type="dxa"/>
              <w:right w:w="15" w:type="dxa"/>
            </w:tcMar>
            <w:vAlign w:val="center"/>
          </w:tcPr>
          <w:p w:rsidR="005F0640" w:rsidRPr="0098297F" w:rsidRDefault="005F0640" w:rsidP="005F0640">
            <w:pPr>
              <w:textAlignment w:val="center"/>
              <w:rPr>
                <w:rFonts w:ascii="Segoe UI" w:eastAsia="Segoe UI" w:hAnsi="Segoe UI" w:cs="Segoe UI"/>
                <w:color w:val="000000"/>
                <w:kern w:val="24"/>
                <w:sz w:val="14"/>
                <w:szCs w:val="14"/>
                <w:lang w:eastAsia="el-GR"/>
              </w:rPr>
            </w:pPr>
            <w:r w:rsidRPr="0098297F">
              <w:rPr>
                <w:rFonts w:ascii="Segoe UI" w:eastAsia="Segoe UI" w:hAnsi="Segoe UI" w:cs="Segoe UI"/>
                <w:b/>
                <w:color w:val="000000"/>
                <w:kern w:val="24"/>
                <w:sz w:val="14"/>
                <w:szCs w:val="14"/>
                <w:lang w:eastAsia="el-GR"/>
              </w:rPr>
              <w:t xml:space="preserve">Κέρδη / (ζημίες) μετά </w:t>
            </w:r>
            <w:r w:rsidRPr="00976026">
              <w:rPr>
                <w:rFonts w:ascii="Segoe UI" w:eastAsia="Segoe UI" w:hAnsi="Segoe UI" w:cs="Segoe UI"/>
                <w:b/>
                <w:color w:val="000000"/>
                <w:kern w:val="24"/>
                <w:sz w:val="14"/>
                <w:szCs w:val="14"/>
                <w:lang w:eastAsia="el-GR"/>
              </w:rPr>
              <w:t xml:space="preserve">από φόρους </w:t>
            </w:r>
            <w:r w:rsidRPr="0098297F">
              <w:rPr>
                <w:rFonts w:ascii="Segoe UI" w:eastAsia="Segoe UI" w:hAnsi="Segoe UI" w:cs="Segoe UI"/>
                <w:b/>
                <w:color w:val="000000"/>
                <w:kern w:val="24"/>
                <w:sz w:val="14"/>
                <w:szCs w:val="14"/>
                <w:lang w:eastAsia="el-GR"/>
              </w:rPr>
              <w:t>περιόδου</w:t>
            </w:r>
          </w:p>
        </w:tc>
        <w:tc>
          <w:tcPr>
            <w:tcW w:w="475" w:type="pct"/>
            <w:tcBorders>
              <w:top w:val="nil"/>
              <w:left w:val="nil"/>
              <w:bottom w:val="single" w:sz="8" w:space="0" w:color="auto"/>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rPr>
            </w:pPr>
            <w:r w:rsidRPr="005F0640">
              <w:rPr>
                <w:rFonts w:ascii="Segoe UI" w:hAnsi="Segoe UI" w:cs="Segoe UI"/>
                <w:b/>
                <w:sz w:val="14"/>
                <w:szCs w:val="16"/>
                <w:lang w:val="en-US"/>
              </w:rPr>
              <w:t xml:space="preserve">568 </w:t>
            </w:r>
          </w:p>
        </w:tc>
        <w:tc>
          <w:tcPr>
            <w:tcW w:w="475" w:type="pct"/>
            <w:tcBorders>
              <w:top w:val="nil"/>
              <w:left w:val="nil"/>
              <w:bottom w:val="single" w:sz="8" w:space="0" w:color="000000"/>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359 </w:t>
            </w:r>
          </w:p>
        </w:tc>
        <w:tc>
          <w:tcPr>
            <w:tcW w:w="475" w:type="pct"/>
            <w:tcBorders>
              <w:top w:val="nil"/>
              <w:left w:val="nil"/>
              <w:bottom w:val="single" w:sz="8" w:space="0" w:color="auto"/>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i/>
                <w:sz w:val="14"/>
                <w:szCs w:val="16"/>
                <w:lang w:val="en-US"/>
              </w:rPr>
            </w:pPr>
            <w:r w:rsidRPr="005F0640">
              <w:rPr>
                <w:rFonts w:ascii="Segoe UI" w:hAnsi="Segoe UI" w:cs="Segoe UI"/>
                <w:b/>
                <w:i/>
                <w:sz w:val="14"/>
                <w:szCs w:val="16"/>
                <w:lang w:val="en-US"/>
              </w:rPr>
              <w:t>58%</w:t>
            </w:r>
          </w:p>
        </w:tc>
        <w:tc>
          <w:tcPr>
            <w:tcW w:w="475" w:type="pct"/>
            <w:tcBorders>
              <w:top w:val="nil"/>
              <w:bottom w:val="single" w:sz="8" w:space="0" w:color="auto"/>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14 </w:t>
            </w:r>
          </w:p>
        </w:tc>
        <w:tc>
          <w:tcPr>
            <w:tcW w:w="475" w:type="pct"/>
            <w:tcBorders>
              <w:top w:val="nil"/>
              <w:left w:val="nil"/>
              <w:bottom w:val="single" w:sz="8" w:space="0" w:color="000000"/>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553 </w:t>
            </w:r>
          </w:p>
        </w:tc>
        <w:tc>
          <w:tcPr>
            <w:tcW w:w="472" w:type="pct"/>
            <w:tcBorders>
              <w:top w:val="nil"/>
              <w:left w:val="nil"/>
              <w:bottom w:val="single" w:sz="8" w:space="0" w:color="auto"/>
              <w:right w:val="nil"/>
            </w:tcBorders>
            <w:shd w:val="clear" w:color="000000" w:fill="F2F2F2"/>
            <w:tcMar>
              <w:top w:w="15" w:type="dxa"/>
              <w:left w:w="15" w:type="dxa"/>
              <w:bottom w:w="0" w:type="dxa"/>
              <w:right w:w="84" w:type="dxa"/>
            </w:tcMar>
            <w:vAlign w:val="bottom"/>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i/>
                <w:sz w:val="14"/>
                <w:szCs w:val="16"/>
                <w:lang w:val="en-US"/>
              </w:rPr>
            </w:pPr>
            <w:r w:rsidRPr="005F0640">
              <w:rPr>
                <w:rFonts w:ascii="Segoe UI" w:hAnsi="Segoe UI" w:cs="Segoe UI"/>
                <w:b/>
                <w:i/>
                <w:sz w:val="14"/>
                <w:szCs w:val="16"/>
                <w:lang w:val="en-US"/>
              </w:rPr>
              <w:t>-97%</w:t>
            </w:r>
          </w:p>
        </w:tc>
      </w:tr>
    </w:tbl>
    <w:p w:rsidR="00127C1A" w:rsidRPr="00B315DE" w:rsidRDefault="00127C1A" w:rsidP="00127C1A">
      <w:pPr>
        <w:jc w:val="both"/>
        <w:textAlignment w:val="baseline"/>
        <w:rPr>
          <w:rFonts w:ascii="Segoe UI" w:hAnsi="Segoe UI" w:cs="Segoe UI"/>
          <w:b/>
          <w:sz w:val="9"/>
          <w:szCs w:val="7"/>
        </w:rPr>
      </w:pPr>
      <w:r w:rsidRPr="00E457EB">
        <w:rPr>
          <w:rFonts w:ascii="Segoe UI" w:hAnsi="Segoe UI" w:cs="Segoe UI"/>
          <w:color w:val="000000" w:themeColor="text1"/>
          <w:kern w:val="24"/>
          <w:sz w:val="9"/>
          <w:szCs w:val="7"/>
          <w:vertAlign w:val="superscript"/>
        </w:rPr>
        <w:t xml:space="preserve">1 </w:t>
      </w:r>
      <w:r w:rsidRPr="00E457EB">
        <w:rPr>
          <w:rFonts w:ascii="Segoe UI" w:hAnsi="Segoe UI" w:cs="Segoe UI"/>
          <w:color w:val="000000" w:themeColor="text1"/>
          <w:kern w:val="24"/>
          <w:sz w:val="9"/>
          <w:szCs w:val="7"/>
        </w:rPr>
        <w:t>Περιλαμβάνουν μη επαναλαμβανόμενα κέρδη σχετιζόμενα με συναλλαγές χρεογράφων (κυρίως ΟΕΔ) συνολικού ύψους €0.3 δισ.</w:t>
      </w:r>
      <w:r w:rsidR="00B14E2C">
        <w:rPr>
          <w:rFonts w:ascii="Segoe UI" w:hAnsi="Segoe UI" w:cs="Segoe UI"/>
          <w:color w:val="000000" w:themeColor="text1"/>
          <w:kern w:val="24"/>
          <w:sz w:val="9"/>
          <w:szCs w:val="7"/>
        </w:rPr>
        <w:t xml:space="preserve"> περίπου</w:t>
      </w:r>
      <w:r w:rsidRPr="00E457EB">
        <w:rPr>
          <w:rFonts w:ascii="Segoe UI" w:hAnsi="Segoe UI" w:cs="Segoe UI"/>
          <w:color w:val="000000" w:themeColor="text1"/>
          <w:kern w:val="24"/>
          <w:sz w:val="9"/>
          <w:szCs w:val="7"/>
        </w:rPr>
        <w:t xml:space="preserve"> το </w:t>
      </w:r>
      <w:r w:rsidRPr="00E457EB">
        <w:rPr>
          <w:rFonts w:ascii="Segoe UI" w:hAnsi="Segoe UI" w:cs="Segoe UI"/>
          <w:color w:val="000000" w:themeColor="text1"/>
          <w:kern w:val="24"/>
          <w:sz w:val="9"/>
          <w:szCs w:val="7"/>
          <w:lang w:val="en-US"/>
        </w:rPr>
        <w:t>A</w:t>
      </w:r>
      <w:r w:rsidRPr="00E457EB">
        <w:rPr>
          <w:rFonts w:ascii="Segoe UI" w:hAnsi="Segoe UI" w:cs="Segoe UI"/>
          <w:color w:val="000000" w:themeColor="text1"/>
          <w:kern w:val="24"/>
          <w:sz w:val="9"/>
          <w:szCs w:val="7"/>
        </w:rPr>
        <w:t>’ εξάμηνο 2021 και €0.8 δισ.</w:t>
      </w:r>
      <w:r w:rsidR="00B14E2C">
        <w:rPr>
          <w:rFonts w:ascii="Segoe UI" w:hAnsi="Segoe UI" w:cs="Segoe UI"/>
          <w:color w:val="000000" w:themeColor="text1"/>
          <w:kern w:val="24"/>
          <w:sz w:val="9"/>
          <w:szCs w:val="7"/>
        </w:rPr>
        <w:t xml:space="preserve"> περίπου</w:t>
      </w:r>
      <w:r w:rsidRPr="00E457EB">
        <w:rPr>
          <w:rFonts w:ascii="Segoe UI" w:hAnsi="Segoe UI" w:cs="Segoe UI"/>
          <w:color w:val="000000" w:themeColor="text1"/>
          <w:kern w:val="24"/>
          <w:sz w:val="9"/>
          <w:szCs w:val="7"/>
        </w:rPr>
        <w:t xml:space="preserve"> το </w:t>
      </w:r>
      <w:r w:rsidRPr="00E457EB">
        <w:rPr>
          <w:rFonts w:ascii="Segoe UI" w:hAnsi="Segoe UI" w:cs="Segoe UI"/>
          <w:color w:val="000000" w:themeColor="text1"/>
          <w:kern w:val="24"/>
          <w:sz w:val="9"/>
          <w:szCs w:val="7"/>
          <w:lang w:val="en-US"/>
        </w:rPr>
        <w:t>A</w:t>
      </w:r>
      <w:r w:rsidRPr="00E457EB">
        <w:rPr>
          <w:rFonts w:ascii="Segoe UI" w:hAnsi="Segoe UI" w:cs="Segoe UI"/>
          <w:color w:val="000000" w:themeColor="text1"/>
          <w:kern w:val="24"/>
          <w:sz w:val="9"/>
          <w:szCs w:val="7"/>
        </w:rPr>
        <w:t xml:space="preserve">’ εξάμηνο 2020 / </w:t>
      </w:r>
      <w:r w:rsidRPr="00E457EB">
        <w:rPr>
          <w:rFonts w:ascii="Segoe UI" w:hAnsi="Segoe UI" w:cs="Segoe UI"/>
          <w:color w:val="000000" w:themeColor="text1"/>
          <w:kern w:val="24"/>
          <w:sz w:val="9"/>
          <w:szCs w:val="7"/>
          <w:vertAlign w:val="superscript"/>
        </w:rPr>
        <w:t xml:space="preserve">2 </w:t>
      </w:r>
      <w:r w:rsidRPr="00E457EB">
        <w:rPr>
          <w:rFonts w:ascii="Segoe UI" w:hAnsi="Segoe UI" w:cs="Segoe UI"/>
          <w:color w:val="000000" w:themeColor="text1"/>
          <w:kern w:val="24"/>
          <w:sz w:val="9"/>
          <w:szCs w:val="7"/>
        </w:rPr>
        <w:t>Εξαιρούν τα έσοδα από χρηματοοικονομικές πράξεις και λοιπά έσοδα, καθώς και τις προβλέψεις σχετιζόμενες με την πανδημία του κορωνοϊού (€0,4 δισ.</w:t>
      </w:r>
      <w:r w:rsidR="00B14E2C">
        <w:rPr>
          <w:rFonts w:ascii="Segoe UI" w:hAnsi="Segoe UI" w:cs="Segoe UI"/>
          <w:color w:val="000000" w:themeColor="text1"/>
          <w:kern w:val="24"/>
          <w:sz w:val="9"/>
          <w:szCs w:val="7"/>
        </w:rPr>
        <w:t xml:space="preserve"> περίπου</w:t>
      </w:r>
      <w:r w:rsidRPr="00E457EB">
        <w:rPr>
          <w:rFonts w:ascii="Segoe UI" w:hAnsi="Segoe UI" w:cs="Segoe UI"/>
          <w:color w:val="000000" w:themeColor="text1"/>
          <w:kern w:val="24"/>
          <w:sz w:val="9"/>
          <w:szCs w:val="7"/>
        </w:rPr>
        <w:t>) το Α’ εξάμηνο 2020</w:t>
      </w:r>
    </w:p>
    <w:p w:rsidR="00E55AED" w:rsidRPr="001B37BC" w:rsidRDefault="00810B16" w:rsidP="00E55AED">
      <w:pPr>
        <w:textAlignment w:val="baseline"/>
        <w:rPr>
          <w:rFonts w:ascii="Segoe UI" w:eastAsia="Times New Roman" w:hAnsi="Segoe UI" w:cs="Segoe UI"/>
          <w:color w:val="000000" w:themeColor="text1"/>
          <w:kern w:val="24"/>
          <w:sz w:val="28"/>
          <w:szCs w:val="10"/>
          <w:lang w:eastAsia="el-GR"/>
        </w:rPr>
      </w:pPr>
      <w:r>
        <w:rPr>
          <w:rFonts w:ascii="Segoe UI" w:hAnsi="Segoe UI" w:cs="Segoe UI"/>
          <w:noProof/>
          <w:sz w:val="28"/>
          <w:vertAlign w:val="superscript"/>
          <w:lang w:eastAsia="el-GR"/>
        </w:rPr>
        <mc:AlternateContent>
          <mc:Choice Requires="wps">
            <w:drawing>
              <wp:anchor distT="0" distB="0" distL="114300" distR="114300" simplePos="0" relativeHeight="251657728" behindDoc="0" locked="0" layoutInCell="1" allowOverlap="1" wp14:anchorId="4529919F" wp14:editId="66C46563">
                <wp:simplePos x="0" y="0"/>
                <wp:positionH relativeFrom="column">
                  <wp:posOffset>-45085</wp:posOffset>
                </wp:positionH>
                <wp:positionV relativeFrom="paragraph">
                  <wp:posOffset>77552</wp:posOffset>
                </wp:positionV>
                <wp:extent cx="4274185" cy="329565"/>
                <wp:effectExtent l="0" t="0" r="0" b="0"/>
                <wp:wrapNone/>
                <wp:docPr id="750847106" name="Rectangle 7"/>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274185" cy="3295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337" w:rsidRPr="00705BB6" w:rsidRDefault="00DA0337" w:rsidP="00E55AED">
                            <w:pPr>
                              <w:kinsoku w:val="0"/>
                              <w:overflowPunct w:val="0"/>
                              <w:spacing w:before="40"/>
                              <w:ind w:left="547" w:hanging="547"/>
                              <w:textAlignment w:val="baseline"/>
                              <w:rPr>
                                <w:rFonts w:ascii="Segoe UI" w:eastAsia="Segoe UI" w:hAnsi="Segoe UI" w:cs="Segoe UI"/>
                                <w:b/>
                                <w:color w:val="008080"/>
                                <w:kern w:val="24"/>
                                <w:sz w:val="20"/>
                                <w:u w:val="single"/>
                                <w:lang w:val="en-US"/>
                              </w:rPr>
                            </w:pPr>
                            <w:r w:rsidRPr="00793815">
                              <w:rPr>
                                <w:rFonts w:ascii="Segoe UI" w:eastAsia="Segoe UI" w:hAnsi="Segoe UI" w:cs="Segoe UI"/>
                                <w:b/>
                                <w:color w:val="008080"/>
                                <w:kern w:val="24"/>
                                <w:sz w:val="20"/>
                              </w:rPr>
                              <w:t xml:space="preserve">Κατάσταση Αποτελεσμάτων </w:t>
                            </w:r>
                            <w:r w:rsidRPr="00DE335A">
                              <w:rPr>
                                <w:rFonts w:ascii="Segoe UI" w:eastAsia="Segoe UI" w:hAnsi="Segoe UI" w:cs="Segoe UI"/>
                                <w:b/>
                                <w:color w:val="008080"/>
                                <w:kern w:val="24"/>
                                <w:sz w:val="20"/>
                              </w:rPr>
                              <w:t xml:space="preserve">| </w:t>
                            </w:r>
                            <w:r>
                              <w:rPr>
                                <w:rFonts w:ascii="Segoe UI" w:eastAsia="Segoe UI" w:hAnsi="Segoe UI" w:cs="Segoe UI"/>
                                <w:b/>
                                <w:color w:val="008080"/>
                                <w:kern w:val="24"/>
                                <w:sz w:val="20"/>
                              </w:rPr>
                              <w:t>Δ</w:t>
                            </w:r>
                            <w:r w:rsidRPr="00DE335A">
                              <w:rPr>
                                <w:rFonts w:ascii="Segoe UI" w:eastAsia="Segoe UI" w:hAnsi="Segoe UI" w:cs="Segoe UI"/>
                                <w:b/>
                                <w:color w:val="008080"/>
                                <w:kern w:val="24"/>
                                <w:sz w:val="20"/>
                              </w:rPr>
                              <w:t>ιεθνείς δραστηριότητες</w:t>
                            </w:r>
                            <w:r w:rsidRPr="00705BB6">
                              <w:rPr>
                                <w:rFonts w:ascii="Segoe UI" w:eastAsia="Segoe UI" w:hAnsi="Segoe UI" w:cs="Segoe UI"/>
                                <w:b/>
                                <w:color w:val="008080"/>
                                <w:kern w:val="24"/>
                                <w:sz w:val="20"/>
                                <w:vertAlign w:val="superscript"/>
                                <w:lang w:val="en-US"/>
                              </w:rPr>
                              <w:t>1</w:t>
                            </w:r>
                          </w:p>
                          <w:p w:rsidR="00DA0337" w:rsidRPr="00DE335A" w:rsidRDefault="00DA0337" w:rsidP="00E55AED">
                            <w:pPr>
                              <w:kinsoku w:val="0"/>
                              <w:overflowPunct w:val="0"/>
                              <w:spacing w:before="40"/>
                              <w:ind w:left="547" w:hanging="547"/>
                              <w:textAlignment w:val="baseline"/>
                              <w:rPr>
                                <w:rFonts w:ascii="Segoe UI" w:eastAsia="Segoe UI" w:hAnsi="Segoe UI" w:cs="Segoe UI"/>
                                <w:b/>
                                <w:color w:val="008080"/>
                                <w:kern w:val="24"/>
                                <w:sz w:val="18"/>
                              </w:rPr>
                            </w:pPr>
                          </w:p>
                          <w:p w:rsidR="00DA0337" w:rsidRPr="00DE335A" w:rsidRDefault="00DA0337" w:rsidP="00E55AED">
                            <w:pPr>
                              <w:kinsoku w:val="0"/>
                              <w:overflowPunct w:val="0"/>
                              <w:spacing w:before="40"/>
                              <w:ind w:left="547" w:hanging="547"/>
                              <w:textAlignment w:val="baseline"/>
                              <w:rPr>
                                <w:rFonts w:ascii="Segoe UI" w:eastAsia="Segoe UI" w:hAnsi="Segoe UI" w:cs="Segoe UI"/>
                                <w:b/>
                                <w:color w:val="008080"/>
                                <w:kern w:val="24"/>
                                <w:sz w:val="18"/>
                              </w:rPr>
                            </w:pPr>
                          </w:p>
                          <w:p w:rsidR="00DA0337" w:rsidRPr="00DE335A" w:rsidRDefault="00DA0337" w:rsidP="00E55AED">
                            <w:pPr>
                              <w:kinsoku w:val="0"/>
                              <w:overflowPunct w:val="0"/>
                              <w:spacing w:before="40"/>
                              <w:ind w:left="547" w:hanging="547"/>
                              <w:textAlignment w:val="baseline"/>
                              <w:rPr>
                                <w:rFonts w:ascii="Segoe UI" w:eastAsia="Segoe UI" w:hAnsi="Segoe UI" w:cs="Segoe UI"/>
                                <w:b/>
                                <w:color w:val="008080"/>
                                <w:kern w:val="24"/>
                                <w:sz w:val="18"/>
                              </w:rPr>
                            </w:pPr>
                          </w:p>
                          <w:p w:rsidR="00DA0337" w:rsidRPr="00D46FEC" w:rsidRDefault="00DA0337" w:rsidP="00E55AED">
                            <w:pPr>
                              <w:kinsoku w:val="0"/>
                              <w:overflowPunct w:val="0"/>
                              <w:spacing w:before="40"/>
                              <w:ind w:left="547" w:hanging="547"/>
                              <w:textAlignment w:val="baseline"/>
                              <w:rPr>
                                <w:rFonts w:ascii="Segoe UI" w:eastAsia="Segoe UI" w:hAnsi="Segoe UI" w:cs="Segoe UI"/>
                                <w:b/>
                                <w:color w:val="008080"/>
                                <w:kern w:val="24"/>
                                <w:sz w:val="16"/>
                              </w:rPr>
                            </w:pPr>
                          </w:p>
                          <w:p w:rsidR="00DA0337" w:rsidRPr="00D46FEC" w:rsidRDefault="00DA0337" w:rsidP="00E55AED">
                            <w:pPr>
                              <w:kinsoku w:val="0"/>
                              <w:overflowPunct w:val="0"/>
                              <w:spacing w:before="40"/>
                              <w:ind w:left="547" w:hanging="547"/>
                              <w:textAlignment w:val="baseline"/>
                              <w:rPr>
                                <w:rFonts w:ascii="Segoe UI" w:eastAsia="Segoe UI" w:hAnsi="Segoe UI" w:cs="Segoe UI"/>
                                <w:b/>
                                <w:color w:val="008080"/>
                                <w:kern w:val="24"/>
                                <w:sz w:val="16"/>
                              </w:rPr>
                            </w:pPr>
                          </w:p>
                          <w:p w:rsidR="00DA0337" w:rsidRPr="00D46FEC" w:rsidRDefault="00DA0337" w:rsidP="00E55AED">
                            <w:pPr>
                              <w:kinsoku w:val="0"/>
                              <w:overflowPunct w:val="0"/>
                              <w:spacing w:before="40"/>
                              <w:ind w:left="547" w:hanging="547"/>
                              <w:textAlignment w:val="baseline"/>
                              <w:rPr>
                                <w:rFonts w:ascii="Segoe UI" w:eastAsia="Segoe UI" w:hAnsi="Segoe UI" w:cs="Segoe UI"/>
                                <w:b/>
                                <w:color w:val="008080"/>
                                <w:kern w:val="24"/>
                                <w:sz w:val="16"/>
                              </w:rPr>
                            </w:pPr>
                          </w:p>
                          <w:p w:rsidR="00DA0337" w:rsidRPr="00FE1137" w:rsidRDefault="00DA0337" w:rsidP="00E55AED">
                            <w:pPr>
                              <w:kinsoku w:val="0"/>
                              <w:overflowPunct w:val="0"/>
                              <w:spacing w:before="40"/>
                              <w:ind w:left="547" w:hanging="547"/>
                              <w:textAlignment w:val="baseline"/>
                              <w:rPr>
                                <w:b/>
                                <w:color w:val="008080"/>
                                <w:sz w:val="16"/>
                              </w:rPr>
                            </w:pPr>
                          </w:p>
                        </w:txbxContent>
                      </wps:txbx>
                      <wps:bodyPr rot="0" vert="horz" wrap="square" lIns="45716" tIns="45716" rIns="45716" bIns="45716"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529919F" id="Rectangle 7" o:spid="_x0000_s1035" style="position:absolute;margin-left:-3.55pt;margin-top:6.1pt;width:336.55pt;height:2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" filled="f" stroked="f">
                <v:path arrowok="t"/>
                <o:lock v:ext="edit" grouping="t"/>
                <v:textbox inset="1.2699mm,1.2699mm,1.2699mm,1.2699mm">
                  <w:txbxContent>
                    <w:p w:rsidR="00DA0337" w:rsidRPr="00705BB6" w:rsidRDefault="00DA0337" w:rsidP="00E55AED">
                      <w:pPr>
                        <w:kinsoku w:val="0"/>
                        <w:overflowPunct w:val="0"/>
                        <w:spacing w:before="40"/>
                        <w:ind w:left="547" w:hanging="547"/>
                        <w:textAlignment w:val="baseline"/>
                        <w:rPr>
                          <w:rFonts w:ascii="Segoe UI" w:eastAsia="Segoe UI" w:hAnsi="Segoe UI" w:cs="Segoe UI"/>
                          <w:b/>
                          <w:color w:val="008080"/>
                          <w:kern w:val="24"/>
                          <w:sz w:val="20"/>
                          <w:u w:val="single"/>
                          <w:lang w:val="en-US"/>
                        </w:rPr>
                      </w:pPr>
                      <w:r w:rsidRPr="00793815">
                        <w:rPr>
                          <w:rFonts w:ascii="Segoe UI" w:eastAsia="Segoe UI" w:hAnsi="Segoe UI" w:cs="Segoe UI"/>
                          <w:b/>
                          <w:color w:val="008080"/>
                          <w:kern w:val="24"/>
                          <w:sz w:val="20"/>
                        </w:rPr>
                        <w:t xml:space="preserve">Κατάσταση Αποτελεσμάτων </w:t>
                      </w:r>
                      <w:r w:rsidRPr="00DE335A">
                        <w:rPr>
                          <w:rFonts w:ascii="Segoe UI" w:eastAsia="Segoe UI" w:hAnsi="Segoe UI" w:cs="Segoe UI"/>
                          <w:b/>
                          <w:color w:val="008080"/>
                          <w:kern w:val="24"/>
                          <w:sz w:val="20"/>
                        </w:rPr>
                        <w:t xml:space="preserve">| </w:t>
                      </w:r>
                      <w:r>
                        <w:rPr>
                          <w:rFonts w:ascii="Segoe UI" w:eastAsia="Segoe UI" w:hAnsi="Segoe UI" w:cs="Segoe UI"/>
                          <w:b/>
                          <w:color w:val="008080"/>
                          <w:kern w:val="24"/>
                          <w:sz w:val="20"/>
                        </w:rPr>
                        <w:t>Δ</w:t>
                      </w:r>
                      <w:r w:rsidRPr="00DE335A">
                        <w:rPr>
                          <w:rFonts w:ascii="Segoe UI" w:eastAsia="Segoe UI" w:hAnsi="Segoe UI" w:cs="Segoe UI"/>
                          <w:b/>
                          <w:color w:val="008080"/>
                          <w:kern w:val="24"/>
                          <w:sz w:val="20"/>
                        </w:rPr>
                        <w:t>ιεθνείς δραστηριότητες</w:t>
                      </w:r>
                      <w:r w:rsidRPr="00705BB6">
                        <w:rPr>
                          <w:rFonts w:ascii="Segoe UI" w:eastAsia="Segoe UI" w:hAnsi="Segoe UI" w:cs="Segoe UI"/>
                          <w:b/>
                          <w:color w:val="008080"/>
                          <w:kern w:val="24"/>
                          <w:sz w:val="20"/>
                          <w:vertAlign w:val="superscript"/>
                          <w:lang w:val="en-US"/>
                        </w:rPr>
                        <w:t>1</w:t>
                      </w:r>
                    </w:p>
                    <w:p w:rsidR="00DA0337" w:rsidRPr="00DE335A" w:rsidRDefault="00DA0337" w:rsidP="00E55AED">
                      <w:pPr>
                        <w:kinsoku w:val="0"/>
                        <w:overflowPunct w:val="0"/>
                        <w:spacing w:before="40"/>
                        <w:ind w:left="547" w:hanging="547"/>
                        <w:textAlignment w:val="baseline"/>
                        <w:rPr>
                          <w:rFonts w:ascii="Segoe UI" w:eastAsia="Segoe UI" w:hAnsi="Segoe UI" w:cs="Segoe UI"/>
                          <w:b/>
                          <w:color w:val="008080"/>
                          <w:kern w:val="24"/>
                          <w:sz w:val="18"/>
                        </w:rPr>
                      </w:pPr>
                    </w:p>
                    <w:p w:rsidR="00DA0337" w:rsidRPr="00DE335A" w:rsidRDefault="00DA0337" w:rsidP="00E55AED">
                      <w:pPr>
                        <w:kinsoku w:val="0"/>
                        <w:overflowPunct w:val="0"/>
                        <w:spacing w:before="40"/>
                        <w:ind w:left="547" w:hanging="547"/>
                        <w:textAlignment w:val="baseline"/>
                        <w:rPr>
                          <w:rFonts w:ascii="Segoe UI" w:eastAsia="Segoe UI" w:hAnsi="Segoe UI" w:cs="Segoe UI"/>
                          <w:b/>
                          <w:color w:val="008080"/>
                          <w:kern w:val="24"/>
                          <w:sz w:val="18"/>
                        </w:rPr>
                      </w:pPr>
                    </w:p>
                    <w:p w:rsidR="00DA0337" w:rsidRPr="00DE335A" w:rsidRDefault="00DA0337" w:rsidP="00E55AED">
                      <w:pPr>
                        <w:kinsoku w:val="0"/>
                        <w:overflowPunct w:val="0"/>
                        <w:spacing w:before="40"/>
                        <w:ind w:left="547" w:hanging="547"/>
                        <w:textAlignment w:val="baseline"/>
                        <w:rPr>
                          <w:rFonts w:ascii="Segoe UI" w:eastAsia="Segoe UI" w:hAnsi="Segoe UI" w:cs="Segoe UI"/>
                          <w:b/>
                          <w:color w:val="008080"/>
                          <w:kern w:val="24"/>
                          <w:sz w:val="18"/>
                        </w:rPr>
                      </w:pPr>
                    </w:p>
                    <w:p w:rsidR="00DA0337" w:rsidRPr="00D46FEC" w:rsidRDefault="00DA0337" w:rsidP="00E55AED">
                      <w:pPr>
                        <w:kinsoku w:val="0"/>
                        <w:overflowPunct w:val="0"/>
                        <w:spacing w:before="40"/>
                        <w:ind w:left="547" w:hanging="547"/>
                        <w:textAlignment w:val="baseline"/>
                        <w:rPr>
                          <w:rFonts w:ascii="Segoe UI" w:eastAsia="Segoe UI" w:hAnsi="Segoe UI" w:cs="Segoe UI"/>
                          <w:b/>
                          <w:color w:val="008080"/>
                          <w:kern w:val="24"/>
                          <w:sz w:val="16"/>
                        </w:rPr>
                      </w:pPr>
                    </w:p>
                    <w:p w:rsidR="00DA0337" w:rsidRPr="00D46FEC" w:rsidRDefault="00DA0337" w:rsidP="00E55AED">
                      <w:pPr>
                        <w:kinsoku w:val="0"/>
                        <w:overflowPunct w:val="0"/>
                        <w:spacing w:before="40"/>
                        <w:ind w:left="547" w:hanging="547"/>
                        <w:textAlignment w:val="baseline"/>
                        <w:rPr>
                          <w:rFonts w:ascii="Segoe UI" w:eastAsia="Segoe UI" w:hAnsi="Segoe UI" w:cs="Segoe UI"/>
                          <w:b/>
                          <w:color w:val="008080"/>
                          <w:kern w:val="24"/>
                          <w:sz w:val="16"/>
                        </w:rPr>
                      </w:pPr>
                    </w:p>
                    <w:p w:rsidR="00DA0337" w:rsidRPr="00D46FEC" w:rsidRDefault="00DA0337" w:rsidP="00E55AED">
                      <w:pPr>
                        <w:kinsoku w:val="0"/>
                        <w:overflowPunct w:val="0"/>
                        <w:spacing w:before="40"/>
                        <w:ind w:left="547" w:hanging="547"/>
                        <w:textAlignment w:val="baseline"/>
                        <w:rPr>
                          <w:rFonts w:ascii="Segoe UI" w:eastAsia="Segoe UI" w:hAnsi="Segoe UI" w:cs="Segoe UI"/>
                          <w:b/>
                          <w:color w:val="008080"/>
                          <w:kern w:val="24"/>
                          <w:sz w:val="16"/>
                        </w:rPr>
                      </w:pPr>
                    </w:p>
                    <w:p w:rsidR="00DA0337" w:rsidRPr="00FE1137" w:rsidRDefault="00DA0337" w:rsidP="00E55AED">
                      <w:pPr>
                        <w:kinsoku w:val="0"/>
                        <w:overflowPunct w:val="0"/>
                        <w:spacing w:before="40"/>
                        <w:ind w:left="547" w:hanging="547"/>
                        <w:textAlignment w:val="baseline"/>
                        <w:rPr>
                          <w:b/>
                          <w:color w:val="008080"/>
                          <w:sz w:val="16"/>
                        </w:rPr>
                      </w:pPr>
                    </w:p>
                  </w:txbxContent>
                </v:textbox>
              </v:rect>
            </w:pict>
          </mc:Fallback>
        </mc:AlternateContent>
      </w:r>
    </w:p>
    <w:p w:rsidR="00E55AED" w:rsidRPr="0098297F" w:rsidRDefault="00346A53" w:rsidP="00E55AED">
      <w:pPr>
        <w:textAlignment w:val="baseline"/>
        <w:rPr>
          <w:rFonts w:ascii="Segoe UI" w:eastAsia="Times New Roman" w:hAnsi="Segoe UI" w:cs="Segoe UI"/>
          <w:color w:val="000000" w:themeColor="text1"/>
          <w:kern w:val="24"/>
          <w:sz w:val="12"/>
          <w:szCs w:val="10"/>
          <w:lang w:eastAsia="el-GR"/>
        </w:rPr>
      </w:pPr>
      <w:r>
        <w:rPr>
          <w:rFonts w:ascii="Segoe UI" w:hAnsi="Segoe UI" w:cs="Segoe UI"/>
          <w:noProof/>
          <w:lang w:eastAsia="el-GR"/>
        </w:rPr>
        <mc:AlternateContent>
          <mc:Choice Requires="wps">
            <w:drawing>
              <wp:anchor distT="0" distB="0" distL="114300" distR="114300" simplePos="0" relativeHeight="251658752" behindDoc="0" locked="0" layoutInCell="1" allowOverlap="1" wp14:anchorId="7BCFF7FD" wp14:editId="7469ABA1">
                <wp:simplePos x="0" y="0"/>
                <wp:positionH relativeFrom="column">
                  <wp:posOffset>2735748</wp:posOffset>
                </wp:positionH>
                <wp:positionV relativeFrom="paragraph">
                  <wp:posOffset>96742</wp:posOffset>
                </wp:positionV>
                <wp:extent cx="612000" cy="2457099"/>
                <wp:effectExtent l="0" t="0" r="17145" b="19685"/>
                <wp:wrapNone/>
                <wp:docPr id="49"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00" cy="2457099"/>
                        </a:xfrm>
                        <a:prstGeom prst="roundRect">
                          <a:avLst/>
                        </a:prstGeom>
                        <a:noFill/>
                        <a:ln w="9525" cap="flat" cmpd="sng" algn="ctr">
                          <a:solidFill>
                            <a:srgbClr val="FF7415"/>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roundrect w14:anchorId="108D967D" id="Rounded Rectangle 18" o:spid="_x0000_s1026" style="position:absolute;margin-left:215.4pt;margin-top:7.6pt;width:48.2pt;height:19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" filled="f" strokecolor="#ff7415">
                <v:path arrowok="t"/>
              </v:roundrect>
            </w:pict>
          </mc:Fallback>
        </mc:AlternateContent>
      </w:r>
    </w:p>
    <w:tbl>
      <w:tblPr>
        <w:tblW w:w="4920" w:type="pct"/>
        <w:tblCellMar>
          <w:left w:w="0" w:type="dxa"/>
          <w:right w:w="0" w:type="dxa"/>
        </w:tblCellMar>
        <w:tblLook w:val="0420" w:firstRow="1" w:lastRow="0" w:firstColumn="0" w:lastColumn="0" w:noHBand="0" w:noVBand="1"/>
      </w:tblPr>
      <w:tblGrid>
        <w:gridCol w:w="4324"/>
        <w:gridCol w:w="954"/>
        <w:gridCol w:w="953"/>
        <w:gridCol w:w="951"/>
        <w:gridCol w:w="951"/>
        <w:gridCol w:w="951"/>
        <w:gridCol w:w="951"/>
      </w:tblGrid>
      <w:tr w:rsidR="00185D42" w:rsidRPr="0098297F" w:rsidTr="00F43F44">
        <w:trPr>
          <w:trHeight w:val="289"/>
        </w:trPr>
        <w:tc>
          <w:tcPr>
            <w:tcW w:w="2154" w:type="pct"/>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185D42" w:rsidRPr="0098297F" w:rsidRDefault="00185D42" w:rsidP="001E3079">
            <w:pPr>
              <w:spacing w:before="38"/>
              <w:textAlignment w:val="baseline"/>
              <w:rPr>
                <w:rFonts w:ascii="Segoe UI" w:eastAsia="Times New Roman" w:hAnsi="Segoe UI" w:cs="Segoe UI"/>
                <w:sz w:val="14"/>
                <w:szCs w:val="16"/>
                <w:lang w:eastAsia="el-GR"/>
              </w:rPr>
            </w:pPr>
            <w:r w:rsidRPr="0098297F">
              <w:rPr>
                <w:rFonts w:ascii="Segoe UI" w:eastAsia="Segoe UI" w:hAnsi="Segoe UI" w:cs="Segoe UI"/>
                <w:b/>
                <w:bCs/>
                <w:color w:val="000000"/>
                <w:kern w:val="24"/>
                <w:sz w:val="14"/>
                <w:szCs w:val="16"/>
                <w:lang w:eastAsia="el-GR"/>
              </w:rPr>
              <w:t xml:space="preserve">€ </w:t>
            </w:r>
            <w:r>
              <w:rPr>
                <w:rFonts w:ascii="Segoe UI" w:eastAsia="Segoe UI" w:hAnsi="Segoe UI" w:cs="Segoe UI"/>
                <w:b/>
                <w:bCs/>
                <w:color w:val="000000"/>
                <w:kern w:val="24"/>
                <w:sz w:val="14"/>
                <w:szCs w:val="16"/>
                <w:lang w:eastAsia="el-GR"/>
              </w:rPr>
              <w:t>εκατ.</w:t>
            </w:r>
          </w:p>
        </w:tc>
        <w:tc>
          <w:tcPr>
            <w:tcW w:w="475" w:type="pct"/>
            <w:tcBorders>
              <w:top w:val="single" w:sz="8" w:space="0" w:color="000000"/>
              <w:left w:val="nil"/>
              <w:bottom w:val="single" w:sz="8" w:space="0" w:color="000000"/>
              <w:right w:val="nil"/>
            </w:tcBorders>
            <w:vAlign w:val="center"/>
          </w:tcPr>
          <w:p w:rsidR="00185D42" w:rsidRPr="00503C59" w:rsidRDefault="00185D42" w:rsidP="001E3079">
            <w:pPr>
              <w:ind w:right="114"/>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Α</w:t>
            </w:r>
            <w:r w:rsidRPr="00503C59">
              <w:rPr>
                <w:rFonts w:ascii="Segoe UI" w:eastAsia="Times New Roman" w:hAnsi="Segoe UI" w:cs="Segoe UI"/>
                <w:b/>
                <w:bCs/>
                <w:color w:val="000000" w:themeColor="text1"/>
                <w:kern w:val="24"/>
                <w:sz w:val="14"/>
                <w:szCs w:val="14"/>
                <w:lang w:eastAsia="el-GR"/>
              </w:rPr>
              <w:t>‘</w:t>
            </w:r>
            <w:r w:rsidR="005F0640">
              <w:rPr>
                <w:rFonts w:ascii="Segoe UI" w:eastAsia="Times New Roman" w:hAnsi="Segoe UI" w:cs="Segoe UI"/>
                <w:b/>
                <w:bCs/>
                <w:color w:val="000000" w:themeColor="text1"/>
                <w:kern w:val="24"/>
                <w:sz w:val="14"/>
                <w:szCs w:val="14"/>
                <w:lang w:eastAsia="el-GR"/>
              </w:rPr>
              <w:t xml:space="preserve"> </w:t>
            </w:r>
            <w:r w:rsidR="001E3079" w:rsidRPr="001E3079">
              <w:rPr>
                <w:rFonts w:ascii="Segoe UI" w:eastAsia="Times New Roman" w:hAnsi="Segoe UI" w:cs="Segoe UI"/>
                <w:b/>
                <w:bCs/>
                <w:color w:val="000000" w:themeColor="text1"/>
                <w:kern w:val="24"/>
                <w:sz w:val="14"/>
                <w:szCs w:val="14"/>
                <w:lang w:eastAsia="el-GR"/>
              </w:rPr>
              <w:t xml:space="preserve">εξάμηνο </w:t>
            </w:r>
            <w:r w:rsidRPr="00503C59">
              <w:rPr>
                <w:rFonts w:ascii="Segoe UI" w:eastAsia="Times New Roman" w:hAnsi="Segoe UI" w:cs="Segoe UI"/>
                <w:b/>
                <w:bCs/>
                <w:color w:val="000000" w:themeColor="text1"/>
                <w:kern w:val="24"/>
                <w:sz w:val="14"/>
                <w:szCs w:val="14"/>
                <w:lang w:eastAsia="el-GR"/>
              </w:rPr>
              <w:t>202</w:t>
            </w:r>
            <w:r>
              <w:rPr>
                <w:rFonts w:ascii="Segoe UI" w:eastAsia="Times New Roman" w:hAnsi="Segoe UI" w:cs="Segoe UI"/>
                <w:b/>
                <w:bCs/>
                <w:color w:val="000000" w:themeColor="text1"/>
                <w:kern w:val="24"/>
                <w:sz w:val="14"/>
                <w:szCs w:val="14"/>
                <w:lang w:eastAsia="el-GR"/>
              </w:rPr>
              <w:t>1</w:t>
            </w:r>
          </w:p>
        </w:tc>
        <w:tc>
          <w:tcPr>
            <w:tcW w:w="475" w:type="pct"/>
            <w:tcBorders>
              <w:top w:val="single" w:sz="8" w:space="0" w:color="000000"/>
              <w:left w:val="nil"/>
              <w:bottom w:val="single" w:sz="8" w:space="0" w:color="000000"/>
              <w:right w:val="nil"/>
            </w:tcBorders>
            <w:vAlign w:val="center"/>
          </w:tcPr>
          <w:p w:rsidR="00185D42" w:rsidRPr="00503C59" w:rsidRDefault="00185D42" w:rsidP="001E3079">
            <w:pPr>
              <w:ind w:right="114"/>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Α</w:t>
            </w:r>
            <w:r w:rsidRPr="00503C59">
              <w:rPr>
                <w:rFonts w:ascii="Segoe UI" w:eastAsia="Times New Roman" w:hAnsi="Segoe UI" w:cs="Segoe UI"/>
                <w:b/>
                <w:bCs/>
                <w:color w:val="000000" w:themeColor="text1"/>
                <w:kern w:val="24"/>
                <w:sz w:val="14"/>
                <w:szCs w:val="14"/>
                <w:lang w:eastAsia="el-GR"/>
              </w:rPr>
              <w:t>‘</w:t>
            </w:r>
            <w:r w:rsidR="005F0640">
              <w:rPr>
                <w:rFonts w:ascii="Segoe UI" w:eastAsia="Times New Roman" w:hAnsi="Segoe UI" w:cs="Segoe UI"/>
                <w:b/>
                <w:bCs/>
                <w:color w:val="000000" w:themeColor="text1"/>
                <w:kern w:val="24"/>
                <w:sz w:val="14"/>
                <w:szCs w:val="14"/>
                <w:lang w:eastAsia="el-GR"/>
              </w:rPr>
              <w:t xml:space="preserve"> </w:t>
            </w:r>
            <w:r w:rsidR="001E3079" w:rsidRPr="001E3079">
              <w:rPr>
                <w:rFonts w:ascii="Segoe UI" w:eastAsia="Times New Roman" w:hAnsi="Segoe UI" w:cs="Segoe UI"/>
                <w:b/>
                <w:bCs/>
                <w:color w:val="000000" w:themeColor="text1"/>
                <w:kern w:val="24"/>
                <w:sz w:val="14"/>
                <w:szCs w:val="14"/>
                <w:lang w:eastAsia="el-GR"/>
              </w:rPr>
              <w:t xml:space="preserve">εξάμηνο </w:t>
            </w:r>
            <w:r w:rsidRPr="00503C59">
              <w:rPr>
                <w:rFonts w:ascii="Segoe UI" w:eastAsia="Times New Roman" w:hAnsi="Segoe UI" w:cs="Segoe UI"/>
                <w:b/>
                <w:bCs/>
                <w:color w:val="000000" w:themeColor="text1"/>
                <w:kern w:val="24"/>
                <w:sz w:val="14"/>
                <w:szCs w:val="14"/>
                <w:lang w:eastAsia="el-GR"/>
              </w:rPr>
              <w:t>2020</w:t>
            </w:r>
          </w:p>
        </w:tc>
        <w:tc>
          <w:tcPr>
            <w:tcW w:w="474" w:type="pct"/>
            <w:tcBorders>
              <w:top w:val="single" w:sz="8" w:space="0" w:color="000000"/>
              <w:left w:val="nil"/>
              <w:bottom w:val="single" w:sz="8" w:space="0" w:color="000000"/>
              <w:right w:val="nil"/>
            </w:tcBorders>
            <w:vAlign w:val="center"/>
          </w:tcPr>
          <w:p w:rsidR="00185D42" w:rsidRPr="00E95FD5" w:rsidRDefault="00185D42" w:rsidP="001E3079">
            <w:pPr>
              <w:spacing w:before="38"/>
              <w:ind w:right="142"/>
              <w:jc w:val="right"/>
              <w:textAlignment w:val="baseline"/>
              <w:rPr>
                <w:rFonts w:ascii="Segoe UI" w:eastAsia="Times New Roman" w:hAnsi="Segoe UI" w:cs="Segoe UI"/>
                <w:i/>
                <w:sz w:val="14"/>
                <w:szCs w:val="14"/>
                <w:lang w:eastAsia="el-GR"/>
              </w:rPr>
            </w:pPr>
            <w:r w:rsidRPr="00E95FD5">
              <w:rPr>
                <w:rFonts w:ascii="Segoe UI" w:eastAsia="Segoe UI" w:hAnsi="Segoe UI" w:cs="Segoe UI"/>
                <w:b/>
                <w:bCs/>
                <w:i/>
                <w:color w:val="000000"/>
                <w:kern w:val="24"/>
                <w:sz w:val="14"/>
                <w:szCs w:val="14"/>
                <w:lang w:eastAsia="el-GR"/>
              </w:rPr>
              <w:t>Δ (%)</w:t>
            </w:r>
          </w:p>
        </w:tc>
        <w:tc>
          <w:tcPr>
            <w:tcW w:w="474" w:type="pct"/>
            <w:tcBorders>
              <w:top w:val="single" w:sz="8" w:space="0" w:color="000000"/>
              <w:left w:val="nil"/>
              <w:bottom w:val="single" w:sz="8" w:space="0" w:color="000000"/>
              <w:right w:val="nil"/>
            </w:tcBorders>
            <w:vAlign w:val="center"/>
          </w:tcPr>
          <w:p w:rsidR="00185D42" w:rsidRPr="00503C59" w:rsidRDefault="00185D42" w:rsidP="001E3079">
            <w:pPr>
              <w:ind w:right="114"/>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Β</w:t>
            </w:r>
            <w:r w:rsidRPr="00503C59">
              <w:rPr>
                <w:rFonts w:ascii="Segoe UI" w:eastAsia="Times New Roman" w:hAnsi="Segoe UI" w:cs="Segoe UI"/>
                <w:b/>
                <w:bCs/>
                <w:color w:val="000000" w:themeColor="text1"/>
                <w:kern w:val="24"/>
                <w:sz w:val="14"/>
                <w:szCs w:val="14"/>
                <w:lang w:eastAsia="el-GR"/>
              </w:rPr>
              <w:t>‘ τρίμηνο 202</w:t>
            </w:r>
            <w:r>
              <w:rPr>
                <w:rFonts w:ascii="Segoe UI" w:eastAsia="Times New Roman" w:hAnsi="Segoe UI" w:cs="Segoe UI"/>
                <w:b/>
                <w:bCs/>
                <w:color w:val="000000" w:themeColor="text1"/>
                <w:kern w:val="24"/>
                <w:sz w:val="14"/>
                <w:szCs w:val="14"/>
                <w:lang w:eastAsia="el-GR"/>
              </w:rPr>
              <w:t>1</w:t>
            </w:r>
          </w:p>
        </w:tc>
        <w:tc>
          <w:tcPr>
            <w:tcW w:w="474" w:type="pct"/>
            <w:tcBorders>
              <w:top w:val="single" w:sz="8" w:space="0" w:color="000000"/>
              <w:left w:val="nil"/>
              <w:bottom w:val="single" w:sz="8" w:space="0" w:color="000000"/>
              <w:right w:val="nil"/>
            </w:tcBorders>
            <w:vAlign w:val="center"/>
          </w:tcPr>
          <w:p w:rsidR="00185D42" w:rsidRPr="00503C59" w:rsidRDefault="00185D42" w:rsidP="001E3079">
            <w:pPr>
              <w:ind w:right="114"/>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Α</w:t>
            </w:r>
            <w:r w:rsidRPr="00503C59">
              <w:rPr>
                <w:rFonts w:ascii="Segoe UI" w:eastAsia="Times New Roman" w:hAnsi="Segoe UI" w:cs="Segoe UI"/>
                <w:b/>
                <w:bCs/>
                <w:color w:val="000000" w:themeColor="text1"/>
                <w:kern w:val="24"/>
                <w:sz w:val="14"/>
                <w:szCs w:val="14"/>
                <w:lang w:eastAsia="el-GR"/>
              </w:rPr>
              <w:t>‘ τρίμηνο 202</w:t>
            </w:r>
            <w:r>
              <w:rPr>
                <w:rFonts w:ascii="Segoe UI" w:eastAsia="Times New Roman" w:hAnsi="Segoe UI" w:cs="Segoe UI"/>
                <w:b/>
                <w:bCs/>
                <w:color w:val="000000" w:themeColor="text1"/>
                <w:kern w:val="24"/>
                <w:sz w:val="14"/>
                <w:szCs w:val="14"/>
                <w:lang w:eastAsia="el-GR"/>
              </w:rPr>
              <w:t>1</w:t>
            </w:r>
          </w:p>
        </w:tc>
        <w:tc>
          <w:tcPr>
            <w:tcW w:w="474" w:type="pct"/>
            <w:tcBorders>
              <w:top w:val="single" w:sz="8" w:space="0" w:color="000000"/>
              <w:left w:val="nil"/>
              <w:bottom w:val="single" w:sz="8" w:space="0" w:color="000000"/>
              <w:right w:val="nil"/>
            </w:tcBorders>
            <w:shd w:val="clear" w:color="auto" w:fill="auto"/>
            <w:tcMar>
              <w:top w:w="15" w:type="dxa"/>
              <w:left w:w="15" w:type="dxa"/>
              <w:bottom w:w="0" w:type="dxa"/>
              <w:right w:w="82" w:type="dxa"/>
            </w:tcMar>
            <w:vAlign w:val="center"/>
            <w:hideMark/>
          </w:tcPr>
          <w:p w:rsidR="00185D42" w:rsidRPr="00E95FD5" w:rsidRDefault="00185D42" w:rsidP="001E3079">
            <w:pPr>
              <w:spacing w:before="38"/>
              <w:jc w:val="right"/>
              <w:textAlignment w:val="baseline"/>
              <w:rPr>
                <w:rFonts w:ascii="Segoe UI" w:eastAsia="Times New Roman" w:hAnsi="Segoe UI" w:cs="Segoe UI"/>
                <w:i/>
                <w:sz w:val="14"/>
                <w:szCs w:val="14"/>
                <w:lang w:eastAsia="el-GR"/>
              </w:rPr>
            </w:pPr>
            <w:r w:rsidRPr="00E95FD5">
              <w:rPr>
                <w:rFonts w:ascii="Segoe UI" w:eastAsia="Segoe UI" w:hAnsi="Segoe UI" w:cs="Segoe UI"/>
                <w:b/>
                <w:bCs/>
                <w:i/>
                <w:color w:val="000000"/>
                <w:kern w:val="24"/>
                <w:sz w:val="14"/>
                <w:szCs w:val="14"/>
                <w:lang w:eastAsia="el-GR"/>
              </w:rPr>
              <w:t>Δ (%)</w:t>
            </w:r>
          </w:p>
        </w:tc>
      </w:tr>
      <w:tr w:rsidR="005F0640" w:rsidRPr="0098297F" w:rsidTr="00F43F44">
        <w:trPr>
          <w:trHeight w:val="113"/>
        </w:trPr>
        <w:tc>
          <w:tcPr>
            <w:tcW w:w="2154" w:type="pct"/>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5F0640" w:rsidRPr="00C62FEB" w:rsidRDefault="005F0640" w:rsidP="005F0640">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Καθαρά έσοδα από τόκους</w:t>
            </w:r>
          </w:p>
        </w:tc>
        <w:tc>
          <w:tcPr>
            <w:tcW w:w="475" w:type="pct"/>
            <w:tcBorders>
              <w:top w:val="single" w:sz="8" w:space="0" w:color="000000"/>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29 </w:t>
            </w:r>
          </w:p>
        </w:tc>
        <w:tc>
          <w:tcPr>
            <w:tcW w:w="475" w:type="pct"/>
            <w:tcBorders>
              <w:top w:val="single" w:sz="8" w:space="0" w:color="000000"/>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29 </w:t>
            </w:r>
          </w:p>
        </w:tc>
        <w:tc>
          <w:tcPr>
            <w:tcW w:w="474" w:type="pct"/>
            <w:tcBorders>
              <w:top w:val="single" w:sz="8" w:space="0" w:color="000000"/>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i/>
                <w:sz w:val="14"/>
                <w:szCs w:val="16"/>
                <w:lang w:val="en-US"/>
              </w:rPr>
            </w:pPr>
            <w:r w:rsidRPr="005F0640">
              <w:rPr>
                <w:rFonts w:ascii="Segoe UI" w:hAnsi="Segoe UI" w:cs="Segoe UI"/>
                <w:i/>
                <w:sz w:val="14"/>
                <w:szCs w:val="16"/>
                <w:lang w:val="en-US"/>
              </w:rPr>
              <w:t>-2%</w:t>
            </w:r>
          </w:p>
        </w:tc>
        <w:tc>
          <w:tcPr>
            <w:tcW w:w="474" w:type="pct"/>
            <w:tcBorders>
              <w:top w:val="single" w:sz="8" w:space="0" w:color="000000"/>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15 </w:t>
            </w:r>
          </w:p>
        </w:tc>
        <w:tc>
          <w:tcPr>
            <w:tcW w:w="474" w:type="pct"/>
            <w:tcBorders>
              <w:top w:val="single" w:sz="8" w:space="0" w:color="000000"/>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14 </w:t>
            </w:r>
          </w:p>
        </w:tc>
        <w:tc>
          <w:tcPr>
            <w:tcW w:w="474" w:type="pct"/>
            <w:tcBorders>
              <w:top w:val="single" w:sz="8" w:space="0" w:color="000000"/>
              <w:left w:val="nil"/>
              <w:bottom w:val="nil"/>
            </w:tcBorders>
            <w:tcMar>
              <w:top w:w="15" w:type="dxa"/>
              <w:left w:w="15" w:type="dxa"/>
              <w:bottom w:w="0" w:type="dxa"/>
              <w:right w:w="78" w:type="dxa"/>
            </w:tcMar>
            <w:vAlign w:val="center"/>
            <w:hideMark/>
          </w:tcPr>
          <w:p w:rsidR="005F0640" w:rsidRPr="005F0640" w:rsidRDefault="00A6383F" w:rsidP="005F0640">
            <w:pPr>
              <w:pStyle w:val="NormalWeb"/>
              <w:spacing w:before="0" w:beforeAutospacing="0" w:after="0" w:afterAutospacing="0"/>
              <w:ind w:right="148"/>
              <w:jc w:val="right"/>
              <w:textAlignment w:val="center"/>
              <w:rPr>
                <w:rFonts w:ascii="Segoe UI" w:hAnsi="Segoe UI" w:cs="Segoe UI"/>
                <w:i/>
                <w:sz w:val="14"/>
                <w:szCs w:val="16"/>
                <w:lang w:val="en-US"/>
              </w:rPr>
            </w:pPr>
            <w:r>
              <w:rPr>
                <w:rFonts w:ascii="Segoe UI" w:hAnsi="Segoe UI" w:cs="Segoe UI"/>
                <w:i/>
                <w:sz w:val="14"/>
                <w:szCs w:val="16"/>
                <w:lang w:val="en-US"/>
              </w:rPr>
              <w:t>6</w:t>
            </w:r>
            <w:r w:rsidR="005F0640" w:rsidRPr="005F0640">
              <w:rPr>
                <w:rFonts w:ascii="Segoe UI" w:hAnsi="Segoe UI" w:cs="Segoe UI"/>
                <w:i/>
                <w:sz w:val="14"/>
                <w:szCs w:val="16"/>
                <w:lang w:val="en-US"/>
              </w:rPr>
              <w:t>%</w:t>
            </w:r>
          </w:p>
        </w:tc>
      </w:tr>
      <w:tr w:rsidR="005F0640" w:rsidRPr="0098297F" w:rsidTr="00F43F44">
        <w:trPr>
          <w:trHeight w:val="113"/>
        </w:trPr>
        <w:tc>
          <w:tcPr>
            <w:tcW w:w="2154" w:type="pct"/>
            <w:tcBorders>
              <w:top w:val="nil"/>
              <w:left w:val="nil"/>
              <w:bottom w:val="nil"/>
              <w:right w:val="nil"/>
            </w:tcBorders>
            <w:shd w:val="clear" w:color="auto" w:fill="auto"/>
            <w:tcMar>
              <w:top w:w="15" w:type="dxa"/>
              <w:left w:w="42" w:type="dxa"/>
              <w:bottom w:w="0" w:type="dxa"/>
              <w:right w:w="15" w:type="dxa"/>
            </w:tcMar>
            <w:vAlign w:val="center"/>
            <w:hideMark/>
          </w:tcPr>
          <w:p w:rsidR="005F0640" w:rsidRPr="00C62FEB" w:rsidRDefault="005F0640" w:rsidP="005F0640">
            <w:pPr>
              <w:textAlignment w:val="center"/>
              <w:rPr>
                <w:rFonts w:ascii="Segoe UI" w:eastAsia="Times New Roman" w:hAnsi="Segoe UI" w:cs="Segoe UI"/>
                <w:sz w:val="14"/>
                <w:szCs w:val="14"/>
                <w:lang w:eastAsia="el-GR"/>
              </w:rPr>
            </w:pPr>
            <w:r w:rsidRPr="00C62FEB">
              <w:rPr>
                <w:rFonts w:ascii="Segoe UI" w:eastAsia="Segoe UI" w:hAnsi="Segoe UI" w:cs="Segoe UI"/>
                <w:color w:val="000000" w:themeColor="text1"/>
                <w:kern w:val="24"/>
                <w:sz w:val="14"/>
                <w:szCs w:val="14"/>
                <w:lang w:eastAsia="el-GR"/>
              </w:rPr>
              <w:t>Καθαρά έσοδα από προμήθειες</w:t>
            </w:r>
          </w:p>
        </w:tc>
        <w:tc>
          <w:tcPr>
            <w:tcW w:w="475" w:type="pct"/>
            <w:tcBorders>
              <w:top w:val="nil"/>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6 </w:t>
            </w:r>
          </w:p>
        </w:tc>
        <w:tc>
          <w:tcPr>
            <w:tcW w:w="475" w:type="pct"/>
            <w:tcBorders>
              <w:top w:val="nil"/>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6 </w:t>
            </w:r>
          </w:p>
        </w:tc>
        <w:tc>
          <w:tcPr>
            <w:tcW w:w="474" w:type="pct"/>
            <w:tcBorders>
              <w:top w:val="nil"/>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i/>
                <w:sz w:val="14"/>
                <w:szCs w:val="16"/>
                <w:lang w:val="en-US"/>
              </w:rPr>
            </w:pPr>
            <w:r w:rsidRPr="005F0640">
              <w:rPr>
                <w:rFonts w:ascii="Segoe UI" w:hAnsi="Segoe UI" w:cs="Segoe UI"/>
                <w:i/>
                <w:sz w:val="14"/>
                <w:szCs w:val="16"/>
                <w:lang w:val="en-US"/>
              </w:rPr>
              <w:t>10%</w:t>
            </w:r>
          </w:p>
        </w:tc>
        <w:tc>
          <w:tcPr>
            <w:tcW w:w="474" w:type="pct"/>
            <w:tcBorders>
              <w:top w:val="nil"/>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3 </w:t>
            </w:r>
          </w:p>
        </w:tc>
        <w:tc>
          <w:tcPr>
            <w:tcW w:w="474" w:type="pct"/>
            <w:tcBorders>
              <w:top w:val="nil"/>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3 </w:t>
            </w:r>
          </w:p>
        </w:tc>
        <w:tc>
          <w:tcPr>
            <w:tcW w:w="474" w:type="pct"/>
            <w:tcBorders>
              <w:top w:val="nil"/>
              <w:left w:val="nil"/>
              <w:bottom w:val="nil"/>
            </w:tcBorders>
            <w:tcMar>
              <w:top w:w="15" w:type="dxa"/>
              <w:left w:w="15" w:type="dxa"/>
              <w:bottom w:w="0" w:type="dxa"/>
              <w:right w:w="78" w:type="dxa"/>
            </w:tcMar>
            <w:vAlign w:val="center"/>
            <w:hideMark/>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i/>
                <w:sz w:val="14"/>
                <w:szCs w:val="16"/>
                <w:lang w:val="en-US"/>
              </w:rPr>
            </w:pPr>
            <w:r w:rsidRPr="005F0640">
              <w:rPr>
                <w:rFonts w:ascii="Segoe UI" w:hAnsi="Segoe UI" w:cs="Segoe UI"/>
                <w:i/>
                <w:sz w:val="14"/>
                <w:szCs w:val="16"/>
                <w:lang w:val="en-US"/>
              </w:rPr>
              <w:t>-6%</w:t>
            </w:r>
          </w:p>
        </w:tc>
      </w:tr>
      <w:tr w:rsidR="005F0640" w:rsidRPr="0098297F" w:rsidTr="00F43F44">
        <w:trPr>
          <w:trHeight w:val="113"/>
        </w:trPr>
        <w:tc>
          <w:tcPr>
            <w:tcW w:w="2154" w:type="pct"/>
            <w:tcBorders>
              <w:top w:val="nil"/>
              <w:left w:val="nil"/>
              <w:bottom w:val="nil"/>
              <w:right w:val="nil"/>
            </w:tcBorders>
            <w:shd w:val="clear" w:color="auto" w:fill="F2F2F2"/>
            <w:tcMar>
              <w:top w:w="15" w:type="dxa"/>
              <w:left w:w="42" w:type="dxa"/>
              <w:bottom w:w="0" w:type="dxa"/>
              <w:right w:w="15" w:type="dxa"/>
            </w:tcMar>
            <w:vAlign w:val="center"/>
            <w:hideMark/>
          </w:tcPr>
          <w:p w:rsidR="005F0640" w:rsidRPr="00C62FEB" w:rsidRDefault="005F0640" w:rsidP="005F0640">
            <w:pPr>
              <w:textAlignment w:val="center"/>
              <w:rPr>
                <w:rFonts w:ascii="Segoe UI" w:eastAsia="Times New Roman" w:hAnsi="Segoe UI" w:cs="Segoe UI"/>
                <w:sz w:val="14"/>
                <w:szCs w:val="14"/>
                <w:lang w:eastAsia="el-GR"/>
              </w:rPr>
            </w:pPr>
            <w:r w:rsidRPr="00C62FEB">
              <w:rPr>
                <w:rFonts w:ascii="Segoe UI" w:eastAsia="Segoe UI" w:hAnsi="Segoe UI" w:cs="Segoe UI"/>
                <w:b/>
                <w:bCs/>
                <w:color w:val="000000" w:themeColor="text1"/>
                <w:kern w:val="24"/>
                <w:sz w:val="14"/>
                <w:szCs w:val="14"/>
                <w:lang w:eastAsia="el-GR"/>
              </w:rPr>
              <w:t>Οργανικά έσοδα</w:t>
            </w:r>
          </w:p>
        </w:tc>
        <w:tc>
          <w:tcPr>
            <w:tcW w:w="475" w:type="pct"/>
            <w:tcBorders>
              <w:top w:val="nil"/>
              <w:left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35 </w:t>
            </w:r>
          </w:p>
        </w:tc>
        <w:tc>
          <w:tcPr>
            <w:tcW w:w="475" w:type="pct"/>
            <w:tcBorders>
              <w:top w:val="nil"/>
              <w:left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35 </w:t>
            </w:r>
          </w:p>
        </w:tc>
        <w:tc>
          <w:tcPr>
            <w:tcW w:w="474" w:type="pct"/>
            <w:tcBorders>
              <w:top w:val="nil"/>
              <w:left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i/>
                <w:sz w:val="14"/>
                <w:szCs w:val="16"/>
                <w:lang w:val="en-US"/>
              </w:rPr>
            </w:pPr>
            <w:r w:rsidRPr="005F0640">
              <w:rPr>
                <w:rFonts w:ascii="Segoe UI" w:hAnsi="Segoe UI" w:cs="Segoe UI"/>
                <w:b/>
                <w:i/>
                <w:sz w:val="14"/>
                <w:szCs w:val="16"/>
                <w:lang w:val="en-US"/>
              </w:rPr>
              <w:t>0%</w:t>
            </w:r>
          </w:p>
        </w:tc>
        <w:tc>
          <w:tcPr>
            <w:tcW w:w="474" w:type="pct"/>
            <w:tcBorders>
              <w:top w:val="nil"/>
              <w:left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18 </w:t>
            </w:r>
          </w:p>
        </w:tc>
        <w:tc>
          <w:tcPr>
            <w:tcW w:w="474" w:type="pct"/>
            <w:tcBorders>
              <w:top w:val="nil"/>
              <w:left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17 </w:t>
            </w:r>
          </w:p>
        </w:tc>
        <w:tc>
          <w:tcPr>
            <w:tcW w:w="474" w:type="pct"/>
            <w:tcBorders>
              <w:top w:val="nil"/>
              <w:left w:val="nil"/>
              <w:bottom w:val="nil"/>
            </w:tcBorders>
            <w:shd w:val="clear" w:color="000000" w:fill="F2F2F2"/>
            <w:tcMar>
              <w:top w:w="15" w:type="dxa"/>
              <w:left w:w="15" w:type="dxa"/>
              <w:bottom w:w="0" w:type="dxa"/>
              <w:right w:w="78" w:type="dxa"/>
            </w:tcMar>
            <w:vAlign w:val="center"/>
            <w:hideMark/>
          </w:tcPr>
          <w:p w:rsidR="005F0640" w:rsidRPr="005F0640" w:rsidRDefault="00A6383F" w:rsidP="005F0640">
            <w:pPr>
              <w:pStyle w:val="NormalWeb"/>
              <w:spacing w:before="0" w:beforeAutospacing="0" w:after="0" w:afterAutospacing="0"/>
              <w:ind w:right="148"/>
              <w:jc w:val="right"/>
              <w:textAlignment w:val="center"/>
              <w:rPr>
                <w:rFonts w:ascii="Segoe UI" w:hAnsi="Segoe UI" w:cs="Segoe UI"/>
                <w:b/>
                <w:i/>
                <w:sz w:val="14"/>
                <w:szCs w:val="16"/>
                <w:lang w:val="en-US"/>
              </w:rPr>
            </w:pPr>
            <w:r>
              <w:rPr>
                <w:rFonts w:ascii="Segoe UI" w:hAnsi="Segoe UI" w:cs="Segoe UI"/>
                <w:b/>
                <w:i/>
                <w:sz w:val="14"/>
                <w:szCs w:val="16"/>
                <w:lang w:val="en-US"/>
              </w:rPr>
              <w:t>4</w:t>
            </w:r>
            <w:r w:rsidR="005F0640" w:rsidRPr="005F0640">
              <w:rPr>
                <w:rFonts w:ascii="Segoe UI" w:hAnsi="Segoe UI" w:cs="Segoe UI"/>
                <w:b/>
                <w:i/>
                <w:sz w:val="14"/>
                <w:szCs w:val="16"/>
                <w:lang w:val="en-US"/>
              </w:rPr>
              <w:t>%</w:t>
            </w:r>
          </w:p>
        </w:tc>
      </w:tr>
      <w:tr w:rsidR="005F0640" w:rsidRPr="0098297F" w:rsidTr="00F43F44">
        <w:trPr>
          <w:trHeight w:val="113"/>
        </w:trPr>
        <w:tc>
          <w:tcPr>
            <w:tcW w:w="2154" w:type="pct"/>
            <w:tcBorders>
              <w:top w:val="nil"/>
              <w:left w:val="nil"/>
              <w:bottom w:val="nil"/>
              <w:right w:val="nil"/>
            </w:tcBorders>
            <w:shd w:val="clear" w:color="auto" w:fill="auto"/>
            <w:tcMar>
              <w:top w:w="15" w:type="dxa"/>
              <w:left w:w="42" w:type="dxa"/>
              <w:bottom w:w="0" w:type="dxa"/>
              <w:right w:w="15" w:type="dxa"/>
            </w:tcMar>
            <w:vAlign w:val="center"/>
            <w:hideMark/>
          </w:tcPr>
          <w:p w:rsidR="005F0640" w:rsidRPr="00C62FEB" w:rsidRDefault="005F0640" w:rsidP="005F0640">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 xml:space="preserve">Έσοδα από </w:t>
            </w:r>
            <w:r w:rsidRPr="00286F74">
              <w:rPr>
                <w:rFonts w:ascii="Segoe UI" w:eastAsia="Segoe UI" w:hAnsi="Segoe UI" w:cs="Segoe UI"/>
                <w:color w:val="000000"/>
                <w:kern w:val="24"/>
                <w:sz w:val="14"/>
                <w:szCs w:val="14"/>
                <w:lang w:eastAsia="el-GR"/>
              </w:rPr>
              <w:t xml:space="preserve">χρηματοοικονομικές </w:t>
            </w:r>
            <w:r w:rsidRPr="00C62FEB">
              <w:rPr>
                <w:rFonts w:ascii="Segoe UI" w:eastAsia="Segoe UI" w:hAnsi="Segoe UI" w:cs="Segoe UI"/>
                <w:color w:val="000000"/>
                <w:kern w:val="24"/>
                <w:sz w:val="14"/>
                <w:szCs w:val="14"/>
                <w:lang w:eastAsia="el-GR"/>
              </w:rPr>
              <w:t>πράξεις και λοιπά έσοδα</w:t>
            </w:r>
          </w:p>
        </w:tc>
        <w:tc>
          <w:tcPr>
            <w:tcW w:w="475" w:type="pct"/>
            <w:tcBorders>
              <w:top w:val="nil"/>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1 </w:t>
            </w:r>
          </w:p>
        </w:tc>
        <w:tc>
          <w:tcPr>
            <w:tcW w:w="475" w:type="pct"/>
            <w:tcBorders>
              <w:top w:val="nil"/>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2 </w:t>
            </w:r>
          </w:p>
        </w:tc>
        <w:tc>
          <w:tcPr>
            <w:tcW w:w="474" w:type="pct"/>
            <w:tcBorders>
              <w:top w:val="nil"/>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i/>
                <w:sz w:val="14"/>
                <w:szCs w:val="16"/>
                <w:lang w:val="en-US"/>
              </w:rPr>
            </w:pPr>
            <w:r w:rsidRPr="005F0640">
              <w:rPr>
                <w:rFonts w:ascii="Segoe UI" w:hAnsi="Segoe UI" w:cs="Segoe UI"/>
                <w:i/>
                <w:sz w:val="14"/>
                <w:szCs w:val="16"/>
                <w:lang w:val="en-US"/>
              </w:rPr>
              <w:t>-59%</w:t>
            </w:r>
          </w:p>
        </w:tc>
        <w:tc>
          <w:tcPr>
            <w:tcW w:w="474" w:type="pct"/>
            <w:tcBorders>
              <w:top w:val="nil"/>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0 </w:t>
            </w:r>
          </w:p>
        </w:tc>
        <w:tc>
          <w:tcPr>
            <w:tcW w:w="474" w:type="pct"/>
            <w:tcBorders>
              <w:top w:val="nil"/>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1 </w:t>
            </w:r>
          </w:p>
        </w:tc>
        <w:tc>
          <w:tcPr>
            <w:tcW w:w="474" w:type="pct"/>
            <w:tcBorders>
              <w:top w:val="nil"/>
              <w:left w:val="nil"/>
              <w:bottom w:val="nil"/>
            </w:tcBorders>
            <w:tcMar>
              <w:top w:w="15" w:type="dxa"/>
              <w:left w:w="15" w:type="dxa"/>
              <w:bottom w:w="0" w:type="dxa"/>
              <w:right w:w="78" w:type="dxa"/>
            </w:tcMar>
            <w:vAlign w:val="center"/>
            <w:hideMark/>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i/>
                <w:sz w:val="14"/>
                <w:szCs w:val="16"/>
                <w:lang w:val="en-US"/>
              </w:rPr>
            </w:pPr>
            <w:r w:rsidRPr="005F0640">
              <w:rPr>
                <w:rFonts w:ascii="Segoe UI" w:hAnsi="Segoe UI" w:cs="Segoe UI"/>
                <w:i/>
                <w:sz w:val="14"/>
                <w:szCs w:val="16"/>
                <w:lang w:val="en-US"/>
              </w:rPr>
              <w:t>-60%</w:t>
            </w:r>
          </w:p>
        </w:tc>
      </w:tr>
      <w:tr w:rsidR="005F0640" w:rsidRPr="0098297F" w:rsidTr="00F43F44">
        <w:trPr>
          <w:trHeight w:val="113"/>
        </w:trPr>
        <w:tc>
          <w:tcPr>
            <w:tcW w:w="2154" w:type="pct"/>
            <w:tcBorders>
              <w:top w:val="nil"/>
              <w:left w:val="nil"/>
              <w:bottom w:val="nil"/>
              <w:right w:val="nil"/>
            </w:tcBorders>
            <w:shd w:val="clear" w:color="auto" w:fill="F2F2F2"/>
            <w:tcMar>
              <w:top w:w="15" w:type="dxa"/>
              <w:left w:w="42" w:type="dxa"/>
              <w:bottom w:w="0" w:type="dxa"/>
              <w:right w:w="15" w:type="dxa"/>
            </w:tcMar>
            <w:vAlign w:val="center"/>
            <w:hideMark/>
          </w:tcPr>
          <w:p w:rsidR="005F0640" w:rsidRPr="00C62FEB" w:rsidRDefault="005F0640" w:rsidP="005F0640">
            <w:pPr>
              <w:textAlignment w:val="center"/>
              <w:rPr>
                <w:rFonts w:ascii="Segoe UI" w:eastAsia="Times New Roman" w:hAnsi="Segoe UI" w:cs="Segoe UI"/>
                <w:sz w:val="14"/>
                <w:szCs w:val="14"/>
                <w:lang w:eastAsia="el-GR"/>
              </w:rPr>
            </w:pPr>
            <w:r w:rsidRPr="00C62FEB">
              <w:rPr>
                <w:rFonts w:ascii="Segoe UI" w:eastAsia="Segoe UI" w:hAnsi="Segoe UI" w:cs="Segoe UI"/>
                <w:b/>
                <w:bCs/>
                <w:color w:val="000000"/>
                <w:kern w:val="24"/>
                <w:sz w:val="14"/>
                <w:szCs w:val="14"/>
                <w:lang w:eastAsia="el-GR"/>
              </w:rPr>
              <w:t xml:space="preserve">Καθαρά λειτουργικά έσοδα </w:t>
            </w:r>
          </w:p>
        </w:tc>
        <w:tc>
          <w:tcPr>
            <w:tcW w:w="475" w:type="pct"/>
            <w:tcBorders>
              <w:top w:val="nil"/>
              <w:left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36 </w:t>
            </w:r>
          </w:p>
        </w:tc>
        <w:tc>
          <w:tcPr>
            <w:tcW w:w="475" w:type="pct"/>
            <w:tcBorders>
              <w:top w:val="nil"/>
              <w:left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37 </w:t>
            </w:r>
          </w:p>
        </w:tc>
        <w:tc>
          <w:tcPr>
            <w:tcW w:w="474" w:type="pct"/>
            <w:tcBorders>
              <w:top w:val="nil"/>
              <w:left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i/>
                <w:sz w:val="14"/>
                <w:szCs w:val="16"/>
                <w:lang w:val="en-US"/>
              </w:rPr>
            </w:pPr>
            <w:r w:rsidRPr="005F0640">
              <w:rPr>
                <w:rFonts w:ascii="Segoe UI" w:hAnsi="Segoe UI" w:cs="Segoe UI"/>
                <w:b/>
                <w:i/>
                <w:sz w:val="14"/>
                <w:szCs w:val="16"/>
                <w:lang w:val="en-US"/>
              </w:rPr>
              <w:t>-2%</w:t>
            </w:r>
          </w:p>
        </w:tc>
        <w:tc>
          <w:tcPr>
            <w:tcW w:w="474" w:type="pct"/>
            <w:tcBorders>
              <w:top w:val="nil"/>
              <w:left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18 </w:t>
            </w:r>
          </w:p>
        </w:tc>
        <w:tc>
          <w:tcPr>
            <w:tcW w:w="474" w:type="pct"/>
            <w:tcBorders>
              <w:top w:val="nil"/>
              <w:left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18 </w:t>
            </w:r>
          </w:p>
        </w:tc>
        <w:tc>
          <w:tcPr>
            <w:tcW w:w="474" w:type="pct"/>
            <w:tcBorders>
              <w:top w:val="nil"/>
              <w:left w:val="nil"/>
              <w:bottom w:val="nil"/>
            </w:tcBorders>
            <w:shd w:val="clear" w:color="000000" w:fill="F2F2F2"/>
            <w:tcMar>
              <w:top w:w="15" w:type="dxa"/>
              <w:left w:w="15" w:type="dxa"/>
              <w:bottom w:w="0" w:type="dxa"/>
              <w:right w:w="78" w:type="dxa"/>
            </w:tcMar>
            <w:vAlign w:val="center"/>
            <w:hideMark/>
          </w:tcPr>
          <w:p w:rsidR="005F0640" w:rsidRPr="005F0640" w:rsidRDefault="00F96E34" w:rsidP="005F0640">
            <w:pPr>
              <w:pStyle w:val="NormalWeb"/>
              <w:spacing w:before="0" w:beforeAutospacing="0" w:after="0" w:afterAutospacing="0"/>
              <w:ind w:right="148"/>
              <w:jc w:val="right"/>
              <w:textAlignment w:val="center"/>
              <w:rPr>
                <w:rFonts w:ascii="Segoe UI" w:hAnsi="Segoe UI" w:cs="Segoe UI"/>
                <w:b/>
                <w:i/>
                <w:sz w:val="14"/>
                <w:szCs w:val="16"/>
                <w:lang w:val="en-US"/>
              </w:rPr>
            </w:pPr>
            <w:r>
              <w:rPr>
                <w:rFonts w:ascii="Segoe UI" w:hAnsi="Segoe UI" w:cs="Segoe UI"/>
                <w:b/>
                <w:i/>
                <w:sz w:val="14"/>
                <w:szCs w:val="16"/>
                <w:lang w:val="en-US"/>
              </w:rPr>
              <w:t>2</w:t>
            </w:r>
            <w:r w:rsidR="005F0640" w:rsidRPr="005F0640">
              <w:rPr>
                <w:rFonts w:ascii="Segoe UI" w:hAnsi="Segoe UI" w:cs="Segoe UI"/>
                <w:b/>
                <w:i/>
                <w:sz w:val="14"/>
                <w:szCs w:val="16"/>
                <w:lang w:val="en-US"/>
              </w:rPr>
              <w:t>%</w:t>
            </w:r>
          </w:p>
        </w:tc>
      </w:tr>
      <w:tr w:rsidR="005F0640" w:rsidRPr="0098297F" w:rsidTr="00F43F44">
        <w:trPr>
          <w:trHeight w:val="113"/>
        </w:trPr>
        <w:tc>
          <w:tcPr>
            <w:tcW w:w="2154" w:type="pct"/>
            <w:tcBorders>
              <w:top w:val="nil"/>
              <w:left w:val="nil"/>
              <w:right w:val="nil"/>
            </w:tcBorders>
            <w:shd w:val="clear" w:color="auto" w:fill="auto"/>
            <w:tcMar>
              <w:top w:w="15" w:type="dxa"/>
              <w:left w:w="42" w:type="dxa"/>
              <w:bottom w:w="0" w:type="dxa"/>
              <w:right w:w="15" w:type="dxa"/>
            </w:tcMar>
            <w:vAlign w:val="center"/>
            <w:hideMark/>
          </w:tcPr>
          <w:p w:rsidR="005F0640" w:rsidRPr="00C62FEB" w:rsidRDefault="005F0640" w:rsidP="005F0640">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Λειτουργικές δαπάνες</w:t>
            </w:r>
          </w:p>
        </w:tc>
        <w:tc>
          <w:tcPr>
            <w:tcW w:w="475" w:type="pct"/>
            <w:tcBorders>
              <w:top w:val="nil"/>
              <w:left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(20) </w:t>
            </w:r>
          </w:p>
        </w:tc>
        <w:tc>
          <w:tcPr>
            <w:tcW w:w="475" w:type="pct"/>
            <w:tcBorders>
              <w:top w:val="nil"/>
              <w:left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(24) </w:t>
            </w:r>
          </w:p>
        </w:tc>
        <w:tc>
          <w:tcPr>
            <w:tcW w:w="474" w:type="pct"/>
            <w:tcBorders>
              <w:top w:val="nil"/>
              <w:left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i/>
                <w:sz w:val="14"/>
                <w:szCs w:val="16"/>
                <w:lang w:val="en-US"/>
              </w:rPr>
            </w:pPr>
            <w:r w:rsidRPr="005F0640">
              <w:rPr>
                <w:rFonts w:ascii="Segoe UI" w:hAnsi="Segoe UI" w:cs="Segoe UI"/>
                <w:i/>
                <w:sz w:val="14"/>
                <w:szCs w:val="16"/>
                <w:lang w:val="en-US"/>
              </w:rPr>
              <w:t>-14%</w:t>
            </w:r>
          </w:p>
        </w:tc>
        <w:tc>
          <w:tcPr>
            <w:tcW w:w="474" w:type="pct"/>
            <w:tcBorders>
              <w:top w:val="nil"/>
              <w:left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(11) </w:t>
            </w:r>
          </w:p>
        </w:tc>
        <w:tc>
          <w:tcPr>
            <w:tcW w:w="474" w:type="pct"/>
            <w:tcBorders>
              <w:top w:val="nil"/>
              <w:left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(10) </w:t>
            </w:r>
          </w:p>
        </w:tc>
        <w:tc>
          <w:tcPr>
            <w:tcW w:w="474" w:type="pct"/>
            <w:tcBorders>
              <w:top w:val="nil"/>
              <w:left w:val="nil"/>
            </w:tcBorders>
            <w:tcMar>
              <w:top w:w="15" w:type="dxa"/>
              <w:left w:w="15" w:type="dxa"/>
              <w:bottom w:w="0" w:type="dxa"/>
              <w:right w:w="78" w:type="dxa"/>
            </w:tcMar>
            <w:vAlign w:val="center"/>
            <w:hideMark/>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i/>
                <w:sz w:val="14"/>
                <w:szCs w:val="16"/>
                <w:lang w:val="en-US"/>
              </w:rPr>
            </w:pPr>
            <w:r w:rsidRPr="005F0640">
              <w:rPr>
                <w:rFonts w:ascii="Segoe UI" w:hAnsi="Segoe UI" w:cs="Segoe UI"/>
                <w:i/>
                <w:sz w:val="14"/>
                <w:szCs w:val="16"/>
                <w:lang w:val="en-US"/>
              </w:rPr>
              <w:t>8%</w:t>
            </w:r>
          </w:p>
        </w:tc>
      </w:tr>
      <w:tr w:rsidR="005F0640" w:rsidRPr="0098297F" w:rsidTr="00F43F44">
        <w:trPr>
          <w:trHeight w:val="113"/>
        </w:trPr>
        <w:tc>
          <w:tcPr>
            <w:tcW w:w="2154" w:type="pct"/>
            <w:tcBorders>
              <w:top w:val="nil"/>
              <w:left w:val="nil"/>
              <w:bottom w:val="nil"/>
              <w:right w:val="nil"/>
            </w:tcBorders>
            <w:shd w:val="clear" w:color="auto" w:fill="F2F2F2" w:themeFill="background1" w:themeFillShade="F2"/>
            <w:tcMar>
              <w:top w:w="15" w:type="dxa"/>
              <w:left w:w="42" w:type="dxa"/>
              <w:bottom w:w="0" w:type="dxa"/>
              <w:right w:w="15" w:type="dxa"/>
            </w:tcMar>
            <w:vAlign w:val="center"/>
            <w:hideMark/>
          </w:tcPr>
          <w:p w:rsidR="005F0640" w:rsidRPr="00C62FEB" w:rsidRDefault="005F0640" w:rsidP="005F0640">
            <w:pPr>
              <w:textAlignment w:val="center"/>
              <w:rPr>
                <w:rFonts w:ascii="Segoe UI" w:eastAsia="Times New Roman" w:hAnsi="Segoe UI" w:cs="Segoe UI"/>
                <w:sz w:val="14"/>
                <w:szCs w:val="14"/>
                <w:lang w:eastAsia="el-GR"/>
              </w:rPr>
            </w:pPr>
            <w:r w:rsidRPr="00C62FEB">
              <w:rPr>
                <w:rFonts w:ascii="Segoe UI" w:eastAsia="Segoe UI" w:hAnsi="Segoe UI" w:cs="Segoe UI"/>
                <w:b/>
                <w:bCs/>
                <w:color w:val="000000"/>
                <w:kern w:val="24"/>
                <w:sz w:val="14"/>
                <w:szCs w:val="14"/>
                <w:lang w:eastAsia="el-GR"/>
              </w:rPr>
              <w:t xml:space="preserve">Οργανικά κέρδη / (ζημίες) προ προβλέψεων </w:t>
            </w:r>
          </w:p>
        </w:tc>
        <w:tc>
          <w:tcPr>
            <w:tcW w:w="475" w:type="pct"/>
            <w:tcBorders>
              <w:top w:val="nil"/>
              <w:left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15 </w:t>
            </w:r>
          </w:p>
        </w:tc>
        <w:tc>
          <w:tcPr>
            <w:tcW w:w="475" w:type="pct"/>
            <w:tcBorders>
              <w:top w:val="nil"/>
              <w:left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12 </w:t>
            </w:r>
          </w:p>
        </w:tc>
        <w:tc>
          <w:tcPr>
            <w:tcW w:w="474" w:type="pct"/>
            <w:tcBorders>
              <w:top w:val="nil"/>
              <w:left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i/>
                <w:sz w:val="14"/>
                <w:szCs w:val="16"/>
                <w:lang w:val="en-US"/>
              </w:rPr>
            </w:pPr>
            <w:r w:rsidRPr="005F0640">
              <w:rPr>
                <w:rFonts w:ascii="Segoe UI" w:hAnsi="Segoe UI" w:cs="Segoe UI"/>
                <w:b/>
                <w:i/>
                <w:sz w:val="14"/>
                <w:szCs w:val="16"/>
                <w:lang w:val="en-US"/>
              </w:rPr>
              <w:t>30%</w:t>
            </w:r>
          </w:p>
        </w:tc>
        <w:tc>
          <w:tcPr>
            <w:tcW w:w="474" w:type="pct"/>
            <w:tcBorders>
              <w:top w:val="nil"/>
              <w:left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8 </w:t>
            </w:r>
          </w:p>
        </w:tc>
        <w:tc>
          <w:tcPr>
            <w:tcW w:w="474" w:type="pct"/>
            <w:tcBorders>
              <w:top w:val="nil"/>
              <w:left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8 </w:t>
            </w:r>
          </w:p>
        </w:tc>
        <w:tc>
          <w:tcPr>
            <w:tcW w:w="474" w:type="pct"/>
            <w:tcBorders>
              <w:top w:val="nil"/>
              <w:left w:val="nil"/>
              <w:bottom w:val="nil"/>
            </w:tcBorders>
            <w:shd w:val="clear" w:color="000000" w:fill="F2F2F2"/>
            <w:tcMar>
              <w:top w:w="15" w:type="dxa"/>
              <w:left w:w="15" w:type="dxa"/>
              <w:bottom w:w="0" w:type="dxa"/>
              <w:right w:w="78" w:type="dxa"/>
            </w:tcMar>
            <w:vAlign w:val="center"/>
            <w:hideMark/>
          </w:tcPr>
          <w:p w:rsidR="005F0640" w:rsidRPr="005F0640" w:rsidRDefault="004F6CF6" w:rsidP="004F6CF6">
            <w:pPr>
              <w:pStyle w:val="NormalWeb"/>
              <w:spacing w:before="0" w:beforeAutospacing="0" w:after="0" w:afterAutospacing="0"/>
              <w:ind w:right="148"/>
              <w:jc w:val="right"/>
              <w:textAlignment w:val="center"/>
              <w:rPr>
                <w:rFonts w:ascii="Segoe UI" w:hAnsi="Segoe UI" w:cs="Segoe UI"/>
                <w:b/>
                <w:i/>
                <w:sz w:val="14"/>
                <w:szCs w:val="16"/>
                <w:lang w:val="en-US"/>
              </w:rPr>
            </w:pPr>
            <w:r>
              <w:rPr>
                <w:rFonts w:ascii="Segoe UI" w:hAnsi="Segoe UI" w:cs="Segoe UI"/>
                <w:b/>
                <w:i/>
                <w:sz w:val="14"/>
                <w:szCs w:val="16"/>
                <w:lang w:val="en-US"/>
              </w:rPr>
              <w:t>-1</w:t>
            </w:r>
            <w:r w:rsidR="005F0640" w:rsidRPr="005F0640">
              <w:rPr>
                <w:rFonts w:ascii="Segoe UI" w:hAnsi="Segoe UI" w:cs="Segoe UI"/>
                <w:b/>
                <w:i/>
                <w:sz w:val="14"/>
                <w:szCs w:val="16"/>
                <w:lang w:val="en-US"/>
              </w:rPr>
              <w:t>%</w:t>
            </w:r>
          </w:p>
        </w:tc>
      </w:tr>
      <w:tr w:rsidR="005F0640" w:rsidRPr="0098297F" w:rsidTr="00F43F44">
        <w:trPr>
          <w:trHeight w:val="113"/>
        </w:trPr>
        <w:tc>
          <w:tcPr>
            <w:tcW w:w="2154" w:type="pct"/>
            <w:tcBorders>
              <w:top w:val="nil"/>
              <w:left w:val="nil"/>
              <w:bottom w:val="nil"/>
              <w:right w:val="nil"/>
            </w:tcBorders>
            <w:shd w:val="clear" w:color="auto" w:fill="F2F2F2" w:themeFill="background1" w:themeFillShade="F2"/>
            <w:tcMar>
              <w:top w:w="15" w:type="dxa"/>
              <w:left w:w="42" w:type="dxa"/>
              <w:bottom w:w="0" w:type="dxa"/>
              <w:right w:w="15" w:type="dxa"/>
            </w:tcMar>
            <w:vAlign w:val="center"/>
            <w:hideMark/>
          </w:tcPr>
          <w:p w:rsidR="005F0640" w:rsidRPr="00C62FEB" w:rsidRDefault="005F0640" w:rsidP="005F0640">
            <w:pPr>
              <w:textAlignment w:val="center"/>
              <w:rPr>
                <w:rFonts w:ascii="Segoe UI" w:eastAsia="Times New Roman" w:hAnsi="Segoe UI" w:cs="Segoe UI"/>
                <w:sz w:val="14"/>
                <w:szCs w:val="14"/>
                <w:lang w:eastAsia="el-GR"/>
              </w:rPr>
            </w:pPr>
            <w:r w:rsidRPr="00C62FEB">
              <w:rPr>
                <w:rFonts w:ascii="Segoe UI" w:eastAsia="Segoe UI" w:hAnsi="Segoe UI" w:cs="Segoe UI"/>
                <w:b/>
                <w:bCs/>
                <w:color w:val="000000"/>
                <w:kern w:val="24"/>
                <w:sz w:val="14"/>
                <w:szCs w:val="14"/>
                <w:lang w:eastAsia="el-GR"/>
              </w:rPr>
              <w:t>Κέρδη / (ζημίες) προ προβλέψεων</w:t>
            </w:r>
          </w:p>
        </w:tc>
        <w:tc>
          <w:tcPr>
            <w:tcW w:w="475" w:type="pct"/>
            <w:tcBorders>
              <w:top w:val="nil"/>
              <w:left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16 </w:t>
            </w:r>
          </w:p>
        </w:tc>
        <w:tc>
          <w:tcPr>
            <w:tcW w:w="475" w:type="pct"/>
            <w:tcBorders>
              <w:top w:val="nil"/>
              <w:left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13 </w:t>
            </w:r>
          </w:p>
        </w:tc>
        <w:tc>
          <w:tcPr>
            <w:tcW w:w="474" w:type="pct"/>
            <w:tcBorders>
              <w:top w:val="nil"/>
              <w:left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i/>
                <w:sz w:val="14"/>
                <w:szCs w:val="16"/>
                <w:lang w:val="en-US"/>
              </w:rPr>
            </w:pPr>
            <w:r w:rsidRPr="005F0640">
              <w:rPr>
                <w:rFonts w:ascii="Segoe UI" w:hAnsi="Segoe UI" w:cs="Segoe UI"/>
                <w:b/>
                <w:i/>
                <w:sz w:val="14"/>
                <w:szCs w:val="16"/>
                <w:lang w:val="en-US"/>
              </w:rPr>
              <w:t>19%</w:t>
            </w:r>
          </w:p>
        </w:tc>
        <w:tc>
          <w:tcPr>
            <w:tcW w:w="474" w:type="pct"/>
            <w:tcBorders>
              <w:top w:val="nil"/>
              <w:left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8 </w:t>
            </w:r>
          </w:p>
        </w:tc>
        <w:tc>
          <w:tcPr>
            <w:tcW w:w="474" w:type="pct"/>
            <w:tcBorders>
              <w:top w:val="nil"/>
              <w:left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8 </w:t>
            </w:r>
          </w:p>
        </w:tc>
        <w:tc>
          <w:tcPr>
            <w:tcW w:w="474" w:type="pct"/>
            <w:tcBorders>
              <w:top w:val="nil"/>
              <w:left w:val="nil"/>
              <w:bottom w:val="nil"/>
            </w:tcBorders>
            <w:shd w:val="clear" w:color="000000" w:fill="F2F2F2"/>
            <w:tcMar>
              <w:top w:w="15" w:type="dxa"/>
              <w:left w:w="15" w:type="dxa"/>
              <w:bottom w:w="0" w:type="dxa"/>
              <w:right w:w="78" w:type="dxa"/>
            </w:tcMar>
            <w:vAlign w:val="center"/>
            <w:hideMark/>
          </w:tcPr>
          <w:p w:rsidR="005F0640" w:rsidRPr="005F0640" w:rsidRDefault="004F6CF6" w:rsidP="005F0640">
            <w:pPr>
              <w:pStyle w:val="NormalWeb"/>
              <w:spacing w:before="0" w:beforeAutospacing="0" w:after="0" w:afterAutospacing="0"/>
              <w:ind w:right="148"/>
              <w:jc w:val="right"/>
              <w:textAlignment w:val="center"/>
              <w:rPr>
                <w:rFonts w:ascii="Segoe UI" w:hAnsi="Segoe UI" w:cs="Segoe UI"/>
                <w:b/>
                <w:i/>
                <w:sz w:val="14"/>
                <w:szCs w:val="16"/>
                <w:lang w:val="en-US"/>
              </w:rPr>
            </w:pPr>
            <w:r>
              <w:rPr>
                <w:rFonts w:ascii="Segoe UI" w:hAnsi="Segoe UI" w:cs="Segoe UI"/>
                <w:b/>
                <w:i/>
                <w:sz w:val="14"/>
                <w:szCs w:val="16"/>
                <w:lang w:val="en-US"/>
              </w:rPr>
              <w:t>-5</w:t>
            </w:r>
            <w:r w:rsidR="005F0640" w:rsidRPr="005F0640">
              <w:rPr>
                <w:rFonts w:ascii="Segoe UI" w:hAnsi="Segoe UI" w:cs="Segoe UI"/>
                <w:b/>
                <w:i/>
                <w:sz w:val="14"/>
                <w:szCs w:val="16"/>
                <w:lang w:val="en-US"/>
              </w:rPr>
              <w:t>%</w:t>
            </w:r>
          </w:p>
        </w:tc>
      </w:tr>
      <w:tr w:rsidR="005F0640" w:rsidRPr="0098297F" w:rsidTr="00F43F44">
        <w:trPr>
          <w:trHeight w:val="113"/>
        </w:trPr>
        <w:tc>
          <w:tcPr>
            <w:tcW w:w="2154" w:type="pct"/>
            <w:tcBorders>
              <w:top w:val="nil"/>
              <w:left w:val="nil"/>
              <w:right w:val="nil"/>
            </w:tcBorders>
            <w:shd w:val="clear" w:color="auto" w:fill="auto"/>
            <w:tcMar>
              <w:top w:w="15" w:type="dxa"/>
              <w:left w:w="42" w:type="dxa"/>
              <w:bottom w:w="0" w:type="dxa"/>
              <w:right w:w="15" w:type="dxa"/>
            </w:tcMar>
            <w:vAlign w:val="center"/>
            <w:hideMark/>
          </w:tcPr>
          <w:p w:rsidR="005F0640" w:rsidRPr="00C62FEB" w:rsidRDefault="005F0640" w:rsidP="005F0640">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Προβλέψεις για επισφαλή δάνεια</w:t>
            </w:r>
          </w:p>
        </w:tc>
        <w:tc>
          <w:tcPr>
            <w:tcW w:w="475" w:type="pct"/>
            <w:tcBorders>
              <w:top w:val="nil"/>
              <w:left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(2) </w:t>
            </w:r>
          </w:p>
        </w:tc>
        <w:tc>
          <w:tcPr>
            <w:tcW w:w="475" w:type="pct"/>
            <w:tcBorders>
              <w:top w:val="nil"/>
              <w:left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(2) </w:t>
            </w:r>
          </w:p>
        </w:tc>
        <w:tc>
          <w:tcPr>
            <w:tcW w:w="474" w:type="pct"/>
            <w:tcBorders>
              <w:top w:val="nil"/>
              <w:left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i/>
                <w:sz w:val="14"/>
                <w:szCs w:val="16"/>
                <w:lang w:val="en-US"/>
              </w:rPr>
            </w:pPr>
            <w:r w:rsidRPr="005F0640">
              <w:rPr>
                <w:rFonts w:ascii="Segoe UI" w:hAnsi="Segoe UI" w:cs="Segoe UI"/>
                <w:i/>
                <w:sz w:val="14"/>
                <w:szCs w:val="16"/>
                <w:lang w:val="en-US"/>
              </w:rPr>
              <w:t>40%</w:t>
            </w:r>
          </w:p>
        </w:tc>
        <w:tc>
          <w:tcPr>
            <w:tcW w:w="474" w:type="pct"/>
            <w:tcBorders>
              <w:top w:val="nil"/>
              <w:left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(0) </w:t>
            </w:r>
          </w:p>
        </w:tc>
        <w:tc>
          <w:tcPr>
            <w:tcW w:w="474" w:type="pct"/>
            <w:tcBorders>
              <w:top w:val="nil"/>
              <w:left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(2) </w:t>
            </w:r>
          </w:p>
        </w:tc>
        <w:tc>
          <w:tcPr>
            <w:tcW w:w="474" w:type="pct"/>
            <w:tcBorders>
              <w:top w:val="nil"/>
              <w:left w:val="nil"/>
            </w:tcBorders>
            <w:tcMar>
              <w:top w:w="15" w:type="dxa"/>
              <w:left w:w="15" w:type="dxa"/>
              <w:bottom w:w="0" w:type="dxa"/>
              <w:right w:w="78" w:type="dxa"/>
            </w:tcMar>
            <w:vAlign w:val="center"/>
            <w:hideMark/>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i/>
                <w:sz w:val="14"/>
                <w:szCs w:val="16"/>
                <w:lang w:val="en-US"/>
              </w:rPr>
            </w:pPr>
            <w:r w:rsidRPr="005F0640">
              <w:rPr>
                <w:rFonts w:ascii="Segoe UI" w:hAnsi="Segoe UI" w:cs="Segoe UI"/>
                <w:i/>
                <w:sz w:val="14"/>
                <w:szCs w:val="16"/>
                <w:lang w:val="en-US"/>
              </w:rPr>
              <w:t>-76%</w:t>
            </w:r>
          </w:p>
        </w:tc>
      </w:tr>
      <w:tr w:rsidR="005F0640" w:rsidRPr="0098297F" w:rsidTr="00F43F44">
        <w:trPr>
          <w:trHeight w:val="113"/>
        </w:trPr>
        <w:tc>
          <w:tcPr>
            <w:tcW w:w="2154" w:type="pct"/>
            <w:tcBorders>
              <w:top w:val="nil"/>
              <w:left w:val="nil"/>
              <w:bottom w:val="nil"/>
              <w:right w:val="nil"/>
            </w:tcBorders>
            <w:shd w:val="clear" w:color="auto" w:fill="auto"/>
            <w:tcMar>
              <w:top w:w="15" w:type="dxa"/>
              <w:left w:w="42" w:type="dxa"/>
              <w:bottom w:w="0" w:type="dxa"/>
              <w:right w:w="15" w:type="dxa"/>
            </w:tcMar>
            <w:vAlign w:val="center"/>
            <w:hideMark/>
          </w:tcPr>
          <w:p w:rsidR="005F0640" w:rsidRPr="00C62FEB" w:rsidRDefault="005F0640" w:rsidP="005F0640">
            <w:pPr>
              <w:textAlignment w:val="center"/>
              <w:rPr>
                <w:rFonts w:ascii="Segoe UI" w:eastAsia="Times New Roman" w:hAnsi="Segoe UI" w:cs="Segoe UI"/>
                <w:sz w:val="14"/>
                <w:szCs w:val="14"/>
                <w:lang w:eastAsia="el-GR"/>
              </w:rPr>
            </w:pPr>
            <w:r w:rsidRPr="00C62FEB">
              <w:rPr>
                <w:rFonts w:ascii="Segoe UI" w:eastAsia="Segoe UI" w:hAnsi="Segoe UI" w:cs="Segoe UI"/>
                <w:b/>
                <w:bCs/>
                <w:color w:val="000000"/>
                <w:kern w:val="24"/>
                <w:sz w:val="14"/>
                <w:szCs w:val="14"/>
                <w:lang w:eastAsia="el-GR"/>
              </w:rPr>
              <w:t>Λειτουργικά κέρδη / (ζημίες)</w:t>
            </w:r>
          </w:p>
        </w:tc>
        <w:tc>
          <w:tcPr>
            <w:tcW w:w="475" w:type="pct"/>
            <w:tcBorders>
              <w:top w:val="nil"/>
              <w:left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14 </w:t>
            </w:r>
          </w:p>
        </w:tc>
        <w:tc>
          <w:tcPr>
            <w:tcW w:w="475" w:type="pct"/>
            <w:tcBorders>
              <w:top w:val="nil"/>
              <w:left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12 </w:t>
            </w:r>
          </w:p>
        </w:tc>
        <w:tc>
          <w:tcPr>
            <w:tcW w:w="474" w:type="pct"/>
            <w:tcBorders>
              <w:top w:val="nil"/>
              <w:left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i/>
                <w:sz w:val="14"/>
                <w:szCs w:val="16"/>
                <w:lang w:val="en-US"/>
              </w:rPr>
            </w:pPr>
            <w:r w:rsidRPr="005F0640">
              <w:rPr>
                <w:rFonts w:ascii="Segoe UI" w:hAnsi="Segoe UI" w:cs="Segoe UI"/>
                <w:b/>
                <w:i/>
                <w:sz w:val="14"/>
                <w:szCs w:val="16"/>
                <w:lang w:val="en-US"/>
              </w:rPr>
              <w:t>16%</w:t>
            </w:r>
          </w:p>
        </w:tc>
        <w:tc>
          <w:tcPr>
            <w:tcW w:w="474" w:type="pct"/>
            <w:tcBorders>
              <w:top w:val="nil"/>
              <w:left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7 </w:t>
            </w:r>
          </w:p>
        </w:tc>
        <w:tc>
          <w:tcPr>
            <w:tcW w:w="474" w:type="pct"/>
            <w:tcBorders>
              <w:top w:val="nil"/>
              <w:left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6 </w:t>
            </w:r>
          </w:p>
        </w:tc>
        <w:tc>
          <w:tcPr>
            <w:tcW w:w="474" w:type="pct"/>
            <w:tcBorders>
              <w:top w:val="nil"/>
              <w:left w:val="nil"/>
            </w:tcBorders>
            <w:tcMar>
              <w:top w:w="15" w:type="dxa"/>
              <w:left w:w="15" w:type="dxa"/>
              <w:bottom w:w="0" w:type="dxa"/>
              <w:right w:w="78" w:type="dxa"/>
            </w:tcMar>
            <w:vAlign w:val="center"/>
            <w:hideMark/>
          </w:tcPr>
          <w:p w:rsidR="005F0640" w:rsidRPr="005F0640" w:rsidRDefault="00BB1783" w:rsidP="005F0640">
            <w:pPr>
              <w:pStyle w:val="NormalWeb"/>
              <w:spacing w:before="0" w:beforeAutospacing="0" w:after="0" w:afterAutospacing="0"/>
              <w:ind w:right="148"/>
              <w:jc w:val="right"/>
              <w:textAlignment w:val="center"/>
              <w:rPr>
                <w:rFonts w:ascii="Segoe UI" w:hAnsi="Segoe UI" w:cs="Segoe UI"/>
                <w:b/>
                <w:i/>
                <w:sz w:val="14"/>
                <w:szCs w:val="16"/>
                <w:lang w:val="en-US"/>
              </w:rPr>
            </w:pPr>
            <w:r>
              <w:rPr>
                <w:rFonts w:ascii="Segoe UI" w:hAnsi="Segoe UI" w:cs="Segoe UI"/>
                <w:b/>
                <w:i/>
                <w:sz w:val="14"/>
                <w:szCs w:val="16"/>
                <w:lang w:val="en-US"/>
              </w:rPr>
              <w:t>14</w:t>
            </w:r>
            <w:r w:rsidR="005F0640" w:rsidRPr="005F0640">
              <w:rPr>
                <w:rFonts w:ascii="Segoe UI" w:hAnsi="Segoe UI" w:cs="Segoe UI"/>
                <w:b/>
                <w:i/>
                <w:sz w:val="14"/>
                <w:szCs w:val="16"/>
                <w:lang w:val="en-US"/>
              </w:rPr>
              <w:t>%</w:t>
            </w:r>
          </w:p>
        </w:tc>
      </w:tr>
      <w:tr w:rsidR="005F0640" w:rsidRPr="0098297F" w:rsidTr="00BB0814">
        <w:trPr>
          <w:trHeight w:val="113"/>
        </w:trPr>
        <w:tc>
          <w:tcPr>
            <w:tcW w:w="2154" w:type="pct"/>
            <w:tcBorders>
              <w:top w:val="nil"/>
              <w:left w:val="nil"/>
              <w:bottom w:val="nil"/>
              <w:right w:val="nil"/>
            </w:tcBorders>
            <w:shd w:val="clear" w:color="auto" w:fill="F2F2F2" w:themeFill="background1" w:themeFillShade="F2"/>
            <w:tcMar>
              <w:top w:w="15" w:type="dxa"/>
              <w:left w:w="42" w:type="dxa"/>
              <w:bottom w:w="0" w:type="dxa"/>
              <w:right w:w="15" w:type="dxa"/>
            </w:tcMar>
            <w:vAlign w:val="center"/>
          </w:tcPr>
          <w:p w:rsidR="005F0640" w:rsidRPr="00C62FEB" w:rsidRDefault="005F0640" w:rsidP="005F0640">
            <w:pPr>
              <w:textAlignment w:val="center"/>
              <w:rPr>
                <w:rFonts w:ascii="Segoe UI" w:eastAsia="Segoe UI" w:hAnsi="Segoe UI" w:cs="Segoe UI"/>
                <w:b/>
                <w:bCs/>
                <w:color w:val="000000"/>
                <w:kern w:val="24"/>
                <w:sz w:val="14"/>
                <w:szCs w:val="14"/>
                <w:lang w:eastAsia="el-GR"/>
              </w:rPr>
            </w:pPr>
            <w:r w:rsidRPr="00AF683D">
              <w:rPr>
                <w:rFonts w:ascii="Segoe UI" w:eastAsia="Segoe UI" w:hAnsi="Segoe UI" w:cs="Segoe UI"/>
                <w:b/>
                <w:bCs/>
                <w:color w:val="000000"/>
                <w:kern w:val="24"/>
                <w:sz w:val="14"/>
                <w:szCs w:val="14"/>
                <w:lang w:eastAsia="el-GR"/>
              </w:rPr>
              <w:t>Οργανικά κέρδη / (ζημίες)</w:t>
            </w:r>
          </w:p>
        </w:tc>
        <w:tc>
          <w:tcPr>
            <w:tcW w:w="475" w:type="pct"/>
            <w:tcBorders>
              <w:top w:val="nil"/>
              <w:bottom w:val="nil"/>
            </w:tcBorders>
            <w:shd w:val="clear" w:color="auto" w:fill="F2F2F2" w:themeFill="background1" w:themeFillShade="F2"/>
            <w:vAlign w:val="center"/>
          </w:tcPr>
          <w:p w:rsidR="005F0640" w:rsidRPr="005F0640" w:rsidRDefault="00804365" w:rsidP="00804365">
            <w:pPr>
              <w:pStyle w:val="NormalWeb"/>
              <w:spacing w:before="0" w:beforeAutospacing="0" w:after="0" w:afterAutospacing="0"/>
              <w:ind w:right="148"/>
              <w:jc w:val="right"/>
              <w:textAlignment w:val="center"/>
              <w:rPr>
                <w:rFonts w:ascii="Segoe UI" w:hAnsi="Segoe UI" w:cs="Segoe UI"/>
                <w:b/>
                <w:sz w:val="14"/>
                <w:szCs w:val="16"/>
                <w:lang w:val="en-US"/>
              </w:rPr>
            </w:pPr>
            <w:r>
              <w:rPr>
                <w:rFonts w:ascii="Segoe UI" w:hAnsi="Segoe UI" w:cs="Segoe UI"/>
                <w:b/>
                <w:sz w:val="14"/>
                <w:szCs w:val="16"/>
                <w:lang w:val="en-US"/>
              </w:rPr>
              <w:t>13</w:t>
            </w:r>
            <w:r w:rsidR="005F0640" w:rsidRPr="005F0640">
              <w:rPr>
                <w:rFonts w:ascii="Segoe UI" w:hAnsi="Segoe UI" w:cs="Segoe UI"/>
                <w:b/>
                <w:sz w:val="14"/>
                <w:szCs w:val="16"/>
                <w:lang w:val="en-US"/>
              </w:rPr>
              <w:t xml:space="preserve"> </w:t>
            </w:r>
          </w:p>
        </w:tc>
        <w:tc>
          <w:tcPr>
            <w:tcW w:w="475" w:type="pct"/>
            <w:tcBorders>
              <w:top w:val="nil"/>
              <w:bottom w:val="nil"/>
            </w:tcBorders>
            <w:shd w:val="clear" w:color="auto" w:fill="F2F2F2" w:themeFill="background1" w:themeFillShade="F2"/>
            <w:vAlign w:val="center"/>
          </w:tcPr>
          <w:p w:rsidR="005F0640" w:rsidRPr="005F0640" w:rsidRDefault="00804365" w:rsidP="00804365">
            <w:pPr>
              <w:pStyle w:val="NormalWeb"/>
              <w:spacing w:before="0" w:beforeAutospacing="0" w:after="0" w:afterAutospacing="0"/>
              <w:ind w:right="148"/>
              <w:jc w:val="right"/>
              <w:textAlignment w:val="center"/>
              <w:rPr>
                <w:rFonts w:ascii="Segoe UI" w:hAnsi="Segoe UI" w:cs="Segoe UI"/>
                <w:b/>
                <w:sz w:val="14"/>
                <w:szCs w:val="16"/>
                <w:lang w:val="en-US"/>
              </w:rPr>
            </w:pPr>
            <w:r>
              <w:rPr>
                <w:rFonts w:ascii="Segoe UI" w:hAnsi="Segoe UI" w:cs="Segoe UI"/>
                <w:b/>
                <w:sz w:val="14"/>
                <w:szCs w:val="16"/>
                <w:lang w:val="en-US"/>
              </w:rPr>
              <w:t>10</w:t>
            </w:r>
            <w:r w:rsidR="005F0640" w:rsidRPr="005F0640">
              <w:rPr>
                <w:rFonts w:ascii="Segoe UI" w:hAnsi="Segoe UI" w:cs="Segoe UI"/>
                <w:b/>
                <w:sz w:val="14"/>
                <w:szCs w:val="16"/>
                <w:lang w:val="en-US"/>
              </w:rPr>
              <w:t xml:space="preserve"> </w:t>
            </w:r>
          </w:p>
        </w:tc>
        <w:tc>
          <w:tcPr>
            <w:tcW w:w="474" w:type="pct"/>
            <w:tcBorders>
              <w:top w:val="nil"/>
              <w:bottom w:val="nil"/>
            </w:tcBorders>
            <w:shd w:val="clear" w:color="auto" w:fill="F2F2F2" w:themeFill="background1" w:themeFillShade="F2"/>
            <w:vAlign w:val="center"/>
          </w:tcPr>
          <w:p w:rsidR="005F0640" w:rsidRPr="005F0640" w:rsidRDefault="00804365" w:rsidP="00804365">
            <w:pPr>
              <w:pStyle w:val="NormalWeb"/>
              <w:spacing w:before="0" w:beforeAutospacing="0" w:after="0" w:afterAutospacing="0"/>
              <w:ind w:right="148"/>
              <w:jc w:val="right"/>
              <w:textAlignment w:val="center"/>
              <w:rPr>
                <w:rFonts w:ascii="Segoe UI" w:hAnsi="Segoe UI" w:cs="Segoe UI"/>
                <w:b/>
                <w:i/>
                <w:sz w:val="14"/>
                <w:szCs w:val="16"/>
                <w:lang w:val="en-US"/>
              </w:rPr>
            </w:pPr>
            <w:r>
              <w:rPr>
                <w:rFonts w:ascii="Segoe UI" w:hAnsi="Segoe UI" w:cs="Segoe UI"/>
                <w:b/>
                <w:i/>
                <w:sz w:val="14"/>
                <w:szCs w:val="16"/>
                <w:lang w:val="en-US"/>
              </w:rPr>
              <w:t>29</w:t>
            </w:r>
            <w:r w:rsidR="005F0640" w:rsidRPr="005F0640">
              <w:rPr>
                <w:rFonts w:ascii="Segoe UI" w:hAnsi="Segoe UI" w:cs="Segoe UI"/>
                <w:b/>
                <w:i/>
                <w:sz w:val="14"/>
                <w:szCs w:val="16"/>
                <w:lang w:val="en-US"/>
              </w:rPr>
              <w:t>%</w:t>
            </w:r>
          </w:p>
        </w:tc>
        <w:tc>
          <w:tcPr>
            <w:tcW w:w="474" w:type="pct"/>
            <w:tcBorders>
              <w:top w:val="nil"/>
              <w:bottom w:val="nil"/>
            </w:tcBorders>
            <w:shd w:val="clear" w:color="auto" w:fill="F2F2F2" w:themeFill="background1" w:themeFillShade="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7 </w:t>
            </w:r>
          </w:p>
        </w:tc>
        <w:tc>
          <w:tcPr>
            <w:tcW w:w="474" w:type="pct"/>
            <w:tcBorders>
              <w:top w:val="nil"/>
              <w:bottom w:val="nil"/>
            </w:tcBorders>
            <w:shd w:val="clear" w:color="auto" w:fill="F2F2F2" w:themeFill="background1" w:themeFillShade="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6 </w:t>
            </w:r>
          </w:p>
        </w:tc>
        <w:tc>
          <w:tcPr>
            <w:tcW w:w="474" w:type="pct"/>
            <w:tcBorders>
              <w:top w:val="nil"/>
              <w:bottom w:val="nil"/>
            </w:tcBorders>
            <w:shd w:val="clear" w:color="auto" w:fill="F2F2F2" w:themeFill="background1" w:themeFillShade="F2"/>
            <w:tcMar>
              <w:top w:w="15" w:type="dxa"/>
              <w:left w:w="15" w:type="dxa"/>
              <w:bottom w:w="0" w:type="dxa"/>
              <w:right w:w="78" w:type="dxa"/>
            </w:tcMar>
            <w:vAlign w:val="center"/>
          </w:tcPr>
          <w:p w:rsidR="005F0640" w:rsidRPr="005F0640" w:rsidRDefault="00804365" w:rsidP="005F0640">
            <w:pPr>
              <w:pStyle w:val="NormalWeb"/>
              <w:spacing w:before="0" w:beforeAutospacing="0" w:after="0" w:afterAutospacing="0"/>
              <w:ind w:right="148"/>
              <w:jc w:val="right"/>
              <w:textAlignment w:val="center"/>
              <w:rPr>
                <w:rFonts w:ascii="Segoe UI" w:hAnsi="Segoe UI" w:cs="Segoe UI"/>
                <w:b/>
                <w:i/>
                <w:sz w:val="14"/>
                <w:szCs w:val="16"/>
                <w:lang w:val="en-US"/>
              </w:rPr>
            </w:pPr>
            <w:r>
              <w:rPr>
                <w:rFonts w:ascii="Segoe UI" w:hAnsi="Segoe UI" w:cs="Segoe UI"/>
                <w:b/>
                <w:i/>
                <w:sz w:val="14"/>
                <w:szCs w:val="16"/>
                <w:lang w:val="en-US"/>
              </w:rPr>
              <w:t>20</w:t>
            </w:r>
            <w:r w:rsidR="005F0640" w:rsidRPr="005F0640">
              <w:rPr>
                <w:rFonts w:ascii="Segoe UI" w:hAnsi="Segoe UI" w:cs="Segoe UI"/>
                <w:b/>
                <w:i/>
                <w:sz w:val="14"/>
                <w:szCs w:val="16"/>
                <w:lang w:val="en-US"/>
              </w:rPr>
              <w:t>%</w:t>
            </w:r>
          </w:p>
        </w:tc>
      </w:tr>
      <w:tr w:rsidR="005F0640" w:rsidRPr="0098297F" w:rsidTr="00F43F44">
        <w:trPr>
          <w:trHeight w:val="113"/>
        </w:trPr>
        <w:tc>
          <w:tcPr>
            <w:tcW w:w="2154" w:type="pct"/>
            <w:tcBorders>
              <w:top w:val="nil"/>
              <w:left w:val="nil"/>
              <w:bottom w:val="nil"/>
              <w:right w:val="nil"/>
            </w:tcBorders>
            <w:shd w:val="clear" w:color="auto" w:fill="auto"/>
            <w:tcMar>
              <w:top w:w="15" w:type="dxa"/>
              <w:left w:w="42" w:type="dxa"/>
              <w:bottom w:w="0" w:type="dxa"/>
              <w:right w:w="15" w:type="dxa"/>
            </w:tcMar>
            <w:vAlign w:val="center"/>
            <w:hideMark/>
          </w:tcPr>
          <w:p w:rsidR="005F0640" w:rsidRPr="00C62FEB" w:rsidRDefault="005F0640" w:rsidP="005F0640">
            <w:pPr>
              <w:textAlignment w:val="center"/>
              <w:rPr>
                <w:rFonts w:ascii="Segoe UI" w:eastAsia="Times New Roman" w:hAnsi="Segoe UI" w:cs="Segoe UI"/>
                <w:sz w:val="14"/>
                <w:szCs w:val="14"/>
                <w:lang w:eastAsia="el-GR"/>
              </w:rPr>
            </w:pPr>
            <w:r w:rsidRPr="008F3901">
              <w:rPr>
                <w:rFonts w:ascii="Segoe UI" w:eastAsia="Segoe UI" w:hAnsi="Segoe UI" w:cs="Segoe UI"/>
                <w:color w:val="000000"/>
                <w:kern w:val="24"/>
                <w:sz w:val="14"/>
                <w:szCs w:val="14"/>
                <w:lang w:eastAsia="el-GR"/>
              </w:rPr>
              <w:t>Λοιπές προβλέψεις / αντιλογισμός προβλέψεων</w:t>
            </w:r>
          </w:p>
        </w:tc>
        <w:tc>
          <w:tcPr>
            <w:tcW w:w="475" w:type="pct"/>
            <w:tcBorders>
              <w:top w:val="nil"/>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(3) </w:t>
            </w:r>
          </w:p>
        </w:tc>
        <w:tc>
          <w:tcPr>
            <w:tcW w:w="475" w:type="pct"/>
            <w:tcBorders>
              <w:top w:val="nil"/>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1 </w:t>
            </w:r>
          </w:p>
        </w:tc>
        <w:tc>
          <w:tcPr>
            <w:tcW w:w="474" w:type="pct"/>
            <w:tcBorders>
              <w:top w:val="nil"/>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i/>
                <w:sz w:val="14"/>
                <w:szCs w:val="16"/>
              </w:rPr>
            </w:pPr>
            <w:r>
              <w:rPr>
                <w:rFonts w:ascii="Segoe UI" w:hAnsi="Segoe UI" w:cs="Segoe UI"/>
                <w:i/>
                <w:sz w:val="14"/>
                <w:szCs w:val="16"/>
              </w:rPr>
              <w:t>--</w:t>
            </w:r>
          </w:p>
        </w:tc>
        <w:tc>
          <w:tcPr>
            <w:tcW w:w="474" w:type="pct"/>
            <w:tcBorders>
              <w:top w:val="nil"/>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(3) </w:t>
            </w:r>
          </w:p>
        </w:tc>
        <w:tc>
          <w:tcPr>
            <w:tcW w:w="474" w:type="pct"/>
            <w:tcBorders>
              <w:top w:val="nil"/>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 </w:t>
            </w:r>
          </w:p>
        </w:tc>
        <w:tc>
          <w:tcPr>
            <w:tcW w:w="474" w:type="pct"/>
            <w:tcBorders>
              <w:top w:val="nil"/>
              <w:left w:val="nil"/>
              <w:bottom w:val="nil"/>
            </w:tcBorders>
            <w:tcMar>
              <w:top w:w="15" w:type="dxa"/>
              <w:left w:w="15" w:type="dxa"/>
              <w:bottom w:w="0" w:type="dxa"/>
              <w:right w:w="84" w:type="dxa"/>
            </w:tcMar>
            <w:vAlign w:val="center"/>
            <w:hideMark/>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i/>
                <w:sz w:val="14"/>
                <w:szCs w:val="16"/>
              </w:rPr>
            </w:pPr>
            <w:r>
              <w:rPr>
                <w:rFonts w:ascii="Segoe UI" w:hAnsi="Segoe UI" w:cs="Segoe UI"/>
                <w:i/>
                <w:sz w:val="14"/>
                <w:szCs w:val="16"/>
              </w:rPr>
              <w:t>--</w:t>
            </w:r>
          </w:p>
        </w:tc>
      </w:tr>
      <w:tr w:rsidR="005F0640" w:rsidRPr="0098297F" w:rsidTr="00F43F44">
        <w:trPr>
          <w:trHeight w:val="113"/>
        </w:trPr>
        <w:tc>
          <w:tcPr>
            <w:tcW w:w="2154" w:type="pct"/>
            <w:tcBorders>
              <w:top w:val="nil"/>
              <w:left w:val="nil"/>
              <w:bottom w:val="nil"/>
              <w:right w:val="nil"/>
            </w:tcBorders>
            <w:shd w:val="clear" w:color="auto" w:fill="auto"/>
            <w:tcMar>
              <w:top w:w="15" w:type="dxa"/>
              <w:left w:w="42" w:type="dxa"/>
              <w:bottom w:w="0" w:type="dxa"/>
              <w:right w:w="15" w:type="dxa"/>
            </w:tcMar>
            <w:vAlign w:val="center"/>
            <w:hideMark/>
          </w:tcPr>
          <w:p w:rsidR="005F0640" w:rsidRPr="00C1153F" w:rsidRDefault="005F0640" w:rsidP="005F0640">
            <w:pPr>
              <w:textAlignment w:val="center"/>
              <w:rPr>
                <w:rFonts w:ascii="Segoe UI" w:eastAsia="Times New Roman" w:hAnsi="Segoe UI" w:cs="Segoe UI"/>
                <w:b/>
                <w:sz w:val="14"/>
                <w:szCs w:val="14"/>
                <w:lang w:eastAsia="el-GR"/>
              </w:rPr>
            </w:pPr>
            <w:r w:rsidRPr="00C1153F">
              <w:rPr>
                <w:rFonts w:ascii="Segoe UI" w:eastAsia="Segoe UI" w:hAnsi="Segoe UI" w:cs="Segoe UI"/>
                <w:b/>
                <w:color w:val="000000"/>
                <w:kern w:val="24"/>
                <w:sz w:val="14"/>
                <w:szCs w:val="14"/>
                <w:lang w:eastAsia="el-GR"/>
              </w:rPr>
              <w:t>Κέρδη / (ζημίες) προ φόρων</w:t>
            </w:r>
          </w:p>
        </w:tc>
        <w:tc>
          <w:tcPr>
            <w:tcW w:w="475" w:type="pct"/>
            <w:tcBorders>
              <w:top w:val="nil"/>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11 </w:t>
            </w:r>
          </w:p>
        </w:tc>
        <w:tc>
          <w:tcPr>
            <w:tcW w:w="475" w:type="pct"/>
            <w:tcBorders>
              <w:top w:val="nil"/>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13 </w:t>
            </w:r>
          </w:p>
        </w:tc>
        <w:tc>
          <w:tcPr>
            <w:tcW w:w="474" w:type="pct"/>
            <w:tcBorders>
              <w:top w:val="nil"/>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i/>
                <w:sz w:val="14"/>
                <w:szCs w:val="16"/>
                <w:lang w:val="en-US"/>
              </w:rPr>
            </w:pPr>
            <w:r w:rsidRPr="005F0640">
              <w:rPr>
                <w:rFonts w:ascii="Segoe UI" w:hAnsi="Segoe UI" w:cs="Segoe UI"/>
                <w:b/>
                <w:i/>
                <w:sz w:val="14"/>
                <w:szCs w:val="16"/>
                <w:lang w:val="en-US"/>
              </w:rPr>
              <w:t>-10%</w:t>
            </w:r>
          </w:p>
        </w:tc>
        <w:tc>
          <w:tcPr>
            <w:tcW w:w="474" w:type="pct"/>
            <w:tcBorders>
              <w:top w:val="nil"/>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5 </w:t>
            </w:r>
          </w:p>
        </w:tc>
        <w:tc>
          <w:tcPr>
            <w:tcW w:w="474" w:type="pct"/>
            <w:tcBorders>
              <w:top w:val="nil"/>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6 </w:t>
            </w:r>
          </w:p>
        </w:tc>
        <w:tc>
          <w:tcPr>
            <w:tcW w:w="474" w:type="pct"/>
            <w:tcBorders>
              <w:top w:val="nil"/>
              <w:left w:val="nil"/>
              <w:bottom w:val="nil"/>
            </w:tcBorders>
            <w:tcMar>
              <w:top w:w="15" w:type="dxa"/>
              <w:left w:w="15" w:type="dxa"/>
              <w:bottom w:w="0" w:type="dxa"/>
              <w:right w:w="84" w:type="dxa"/>
            </w:tcMar>
            <w:vAlign w:val="center"/>
            <w:hideMark/>
          </w:tcPr>
          <w:p w:rsidR="005F0640" w:rsidRPr="005F0640" w:rsidRDefault="005F0640" w:rsidP="004F6CF6">
            <w:pPr>
              <w:pStyle w:val="NormalWeb"/>
              <w:spacing w:before="0" w:beforeAutospacing="0" w:after="0" w:afterAutospacing="0"/>
              <w:ind w:right="148"/>
              <w:jc w:val="right"/>
              <w:textAlignment w:val="center"/>
              <w:rPr>
                <w:rFonts w:ascii="Segoe UI" w:hAnsi="Segoe UI" w:cs="Segoe UI"/>
                <w:b/>
                <w:i/>
                <w:sz w:val="14"/>
                <w:szCs w:val="16"/>
                <w:lang w:val="en-US"/>
              </w:rPr>
            </w:pPr>
            <w:r w:rsidRPr="005F0640">
              <w:rPr>
                <w:rFonts w:ascii="Segoe UI" w:hAnsi="Segoe UI" w:cs="Segoe UI"/>
                <w:b/>
                <w:i/>
                <w:sz w:val="14"/>
                <w:szCs w:val="16"/>
                <w:lang w:val="en-US"/>
              </w:rPr>
              <w:t>-2</w:t>
            </w:r>
            <w:r w:rsidR="004F6CF6">
              <w:rPr>
                <w:rFonts w:ascii="Segoe UI" w:hAnsi="Segoe UI" w:cs="Segoe UI"/>
                <w:b/>
                <w:i/>
                <w:sz w:val="14"/>
                <w:szCs w:val="16"/>
                <w:lang w:val="en-US"/>
              </w:rPr>
              <w:t>5</w:t>
            </w:r>
            <w:r w:rsidRPr="005F0640">
              <w:rPr>
                <w:rFonts w:ascii="Segoe UI" w:hAnsi="Segoe UI" w:cs="Segoe UI"/>
                <w:b/>
                <w:i/>
                <w:sz w:val="14"/>
                <w:szCs w:val="16"/>
                <w:lang w:val="en-US"/>
              </w:rPr>
              <w:t>%</w:t>
            </w:r>
          </w:p>
        </w:tc>
      </w:tr>
      <w:tr w:rsidR="005F0640" w:rsidRPr="0098297F" w:rsidTr="00F43F44">
        <w:trPr>
          <w:trHeight w:val="113"/>
        </w:trPr>
        <w:tc>
          <w:tcPr>
            <w:tcW w:w="2154" w:type="pct"/>
            <w:tcBorders>
              <w:top w:val="nil"/>
              <w:left w:val="nil"/>
              <w:bottom w:val="nil"/>
              <w:right w:val="nil"/>
            </w:tcBorders>
            <w:shd w:val="clear" w:color="auto" w:fill="auto"/>
            <w:tcMar>
              <w:top w:w="15" w:type="dxa"/>
              <w:left w:w="42" w:type="dxa"/>
              <w:bottom w:w="0" w:type="dxa"/>
              <w:right w:w="15" w:type="dxa"/>
            </w:tcMar>
            <w:vAlign w:val="center"/>
            <w:hideMark/>
          </w:tcPr>
          <w:p w:rsidR="005F0640" w:rsidRPr="00C62FEB" w:rsidRDefault="005F0640" w:rsidP="005F0640">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 xml:space="preserve">Φόροι </w:t>
            </w:r>
          </w:p>
        </w:tc>
        <w:tc>
          <w:tcPr>
            <w:tcW w:w="475" w:type="pct"/>
            <w:tcBorders>
              <w:top w:val="nil"/>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(3) </w:t>
            </w:r>
          </w:p>
        </w:tc>
        <w:tc>
          <w:tcPr>
            <w:tcW w:w="475" w:type="pct"/>
            <w:tcBorders>
              <w:top w:val="nil"/>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(5) </w:t>
            </w:r>
          </w:p>
        </w:tc>
        <w:tc>
          <w:tcPr>
            <w:tcW w:w="474" w:type="pct"/>
            <w:tcBorders>
              <w:top w:val="nil"/>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i/>
                <w:sz w:val="14"/>
                <w:szCs w:val="16"/>
                <w:lang w:val="en-US"/>
              </w:rPr>
            </w:pPr>
            <w:r w:rsidRPr="005F0640">
              <w:rPr>
                <w:rFonts w:ascii="Segoe UI" w:hAnsi="Segoe UI" w:cs="Segoe UI"/>
                <w:i/>
                <w:sz w:val="14"/>
                <w:szCs w:val="16"/>
                <w:lang w:val="en-US"/>
              </w:rPr>
              <w:t>-40%</w:t>
            </w:r>
          </w:p>
        </w:tc>
        <w:tc>
          <w:tcPr>
            <w:tcW w:w="474" w:type="pct"/>
            <w:tcBorders>
              <w:top w:val="nil"/>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(2) </w:t>
            </w:r>
          </w:p>
        </w:tc>
        <w:tc>
          <w:tcPr>
            <w:tcW w:w="474" w:type="pct"/>
            <w:tcBorders>
              <w:top w:val="nil"/>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(1) </w:t>
            </w:r>
          </w:p>
        </w:tc>
        <w:tc>
          <w:tcPr>
            <w:tcW w:w="474" w:type="pct"/>
            <w:tcBorders>
              <w:top w:val="nil"/>
              <w:left w:val="nil"/>
              <w:bottom w:val="nil"/>
            </w:tcBorders>
            <w:tcMar>
              <w:top w:w="15" w:type="dxa"/>
              <w:left w:w="15" w:type="dxa"/>
              <w:bottom w:w="0" w:type="dxa"/>
              <w:right w:w="84" w:type="dxa"/>
            </w:tcMar>
            <w:vAlign w:val="center"/>
            <w:hideMark/>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i/>
                <w:sz w:val="14"/>
                <w:szCs w:val="16"/>
                <w:lang w:val="en-US"/>
              </w:rPr>
            </w:pPr>
            <w:r w:rsidRPr="005F0640">
              <w:rPr>
                <w:rFonts w:ascii="Segoe UI" w:hAnsi="Segoe UI" w:cs="Segoe UI"/>
                <w:i/>
                <w:sz w:val="14"/>
                <w:szCs w:val="16"/>
                <w:lang w:val="en-US"/>
              </w:rPr>
              <w:t>64%</w:t>
            </w:r>
          </w:p>
        </w:tc>
      </w:tr>
      <w:tr w:rsidR="005F0640" w:rsidRPr="0098297F" w:rsidTr="00F43F44">
        <w:trPr>
          <w:trHeight w:val="113"/>
        </w:trPr>
        <w:tc>
          <w:tcPr>
            <w:tcW w:w="2154" w:type="pct"/>
            <w:tcBorders>
              <w:top w:val="nil"/>
              <w:left w:val="nil"/>
              <w:bottom w:val="nil"/>
              <w:right w:val="nil"/>
            </w:tcBorders>
            <w:shd w:val="clear" w:color="auto" w:fill="F2F2F2"/>
            <w:tcMar>
              <w:top w:w="15" w:type="dxa"/>
              <w:left w:w="42" w:type="dxa"/>
              <w:bottom w:w="0" w:type="dxa"/>
              <w:right w:w="15" w:type="dxa"/>
            </w:tcMar>
            <w:vAlign w:val="center"/>
            <w:hideMark/>
          </w:tcPr>
          <w:p w:rsidR="005F0640" w:rsidRPr="00C62FEB" w:rsidRDefault="005F0640" w:rsidP="005F0640">
            <w:pPr>
              <w:textAlignment w:val="center"/>
              <w:rPr>
                <w:rFonts w:ascii="Segoe UI" w:eastAsia="Times New Roman" w:hAnsi="Segoe UI" w:cs="Segoe UI"/>
                <w:sz w:val="14"/>
                <w:szCs w:val="14"/>
                <w:lang w:eastAsia="el-GR"/>
              </w:rPr>
            </w:pPr>
            <w:r w:rsidRPr="00C62FEB">
              <w:rPr>
                <w:rFonts w:ascii="Segoe UI" w:eastAsia="Segoe UI" w:hAnsi="Segoe UI" w:cs="Segoe UI"/>
                <w:b/>
                <w:bCs/>
                <w:color w:val="000000"/>
                <w:kern w:val="24"/>
                <w:sz w:val="14"/>
                <w:szCs w:val="14"/>
                <w:lang w:eastAsia="el-GR"/>
              </w:rPr>
              <w:t xml:space="preserve">Κέρδη / (ζημίες) </w:t>
            </w:r>
            <w:r w:rsidRPr="00F5406B">
              <w:rPr>
                <w:rFonts w:ascii="Segoe UI" w:eastAsia="Segoe UI" w:hAnsi="Segoe UI" w:cs="Segoe UI"/>
                <w:b/>
                <w:bCs/>
                <w:color w:val="000000"/>
                <w:kern w:val="24"/>
                <w:sz w:val="14"/>
                <w:szCs w:val="14"/>
                <w:lang w:eastAsia="el-GR"/>
              </w:rPr>
              <w:t xml:space="preserve">μετά από φόρους </w:t>
            </w:r>
            <w:r w:rsidRPr="00C62FEB">
              <w:rPr>
                <w:rFonts w:ascii="Segoe UI" w:eastAsia="Segoe UI" w:hAnsi="Segoe UI" w:cs="Segoe UI"/>
                <w:b/>
                <w:bCs/>
                <w:color w:val="000000"/>
                <w:kern w:val="24"/>
                <w:sz w:val="14"/>
                <w:szCs w:val="14"/>
                <w:lang w:eastAsia="el-GR"/>
              </w:rPr>
              <w:t>(συνεχ</w:t>
            </w:r>
            <w:r>
              <w:rPr>
                <w:rFonts w:ascii="Segoe UI" w:eastAsia="Segoe UI" w:hAnsi="Segoe UI" w:cs="Segoe UI"/>
                <w:b/>
                <w:bCs/>
                <w:color w:val="000000"/>
                <w:kern w:val="24"/>
                <w:sz w:val="14"/>
                <w:szCs w:val="14"/>
                <w:lang w:eastAsia="el-GR"/>
              </w:rPr>
              <w:t>/</w:t>
            </w:r>
            <w:r w:rsidRPr="00C62FEB">
              <w:rPr>
                <w:rFonts w:ascii="Segoe UI" w:eastAsia="Segoe UI" w:hAnsi="Segoe UI" w:cs="Segoe UI"/>
                <w:b/>
                <w:bCs/>
                <w:color w:val="000000"/>
                <w:kern w:val="24"/>
                <w:sz w:val="14"/>
                <w:szCs w:val="14"/>
                <w:lang w:eastAsia="el-GR"/>
              </w:rPr>
              <w:t>μενες δραστ/τητες)</w:t>
            </w:r>
          </w:p>
        </w:tc>
        <w:tc>
          <w:tcPr>
            <w:tcW w:w="475" w:type="pct"/>
            <w:tcBorders>
              <w:top w:val="nil"/>
              <w:left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8 </w:t>
            </w:r>
          </w:p>
        </w:tc>
        <w:tc>
          <w:tcPr>
            <w:tcW w:w="475" w:type="pct"/>
            <w:tcBorders>
              <w:top w:val="nil"/>
              <w:left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8 </w:t>
            </w:r>
          </w:p>
        </w:tc>
        <w:tc>
          <w:tcPr>
            <w:tcW w:w="474" w:type="pct"/>
            <w:tcBorders>
              <w:top w:val="nil"/>
              <w:left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i/>
                <w:sz w:val="14"/>
                <w:szCs w:val="16"/>
                <w:lang w:val="en-US"/>
              </w:rPr>
            </w:pPr>
            <w:r w:rsidRPr="005F0640">
              <w:rPr>
                <w:rFonts w:ascii="Segoe UI" w:hAnsi="Segoe UI" w:cs="Segoe UI"/>
                <w:b/>
                <w:i/>
                <w:sz w:val="14"/>
                <w:szCs w:val="16"/>
                <w:lang w:val="en-US"/>
              </w:rPr>
              <w:t>8%</w:t>
            </w:r>
          </w:p>
        </w:tc>
        <w:tc>
          <w:tcPr>
            <w:tcW w:w="474" w:type="pct"/>
            <w:tcBorders>
              <w:top w:val="nil"/>
              <w:left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3 </w:t>
            </w:r>
          </w:p>
        </w:tc>
        <w:tc>
          <w:tcPr>
            <w:tcW w:w="474" w:type="pct"/>
            <w:tcBorders>
              <w:top w:val="nil"/>
              <w:left w:val="nil"/>
              <w:bottom w:val="nil"/>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5 </w:t>
            </w:r>
          </w:p>
        </w:tc>
        <w:tc>
          <w:tcPr>
            <w:tcW w:w="474" w:type="pct"/>
            <w:tcBorders>
              <w:top w:val="nil"/>
              <w:left w:val="nil"/>
              <w:bottom w:val="nil"/>
            </w:tcBorders>
            <w:shd w:val="clear" w:color="000000" w:fill="F2F2F2"/>
            <w:tcMar>
              <w:top w:w="15" w:type="dxa"/>
              <w:left w:w="15" w:type="dxa"/>
              <w:bottom w:w="0" w:type="dxa"/>
              <w:right w:w="84" w:type="dxa"/>
            </w:tcMar>
            <w:vAlign w:val="center"/>
            <w:hideMark/>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i/>
                <w:sz w:val="14"/>
                <w:szCs w:val="16"/>
                <w:lang w:val="en-US"/>
              </w:rPr>
            </w:pPr>
            <w:r w:rsidRPr="005F0640">
              <w:rPr>
                <w:rFonts w:ascii="Segoe UI" w:hAnsi="Segoe UI" w:cs="Segoe UI"/>
                <w:b/>
                <w:i/>
                <w:sz w:val="14"/>
                <w:szCs w:val="16"/>
                <w:lang w:val="en-US"/>
              </w:rPr>
              <w:t>-43%</w:t>
            </w:r>
          </w:p>
        </w:tc>
      </w:tr>
      <w:tr w:rsidR="005F0640" w:rsidRPr="0098297F" w:rsidTr="00250B3E">
        <w:trPr>
          <w:trHeight w:val="113"/>
        </w:trPr>
        <w:tc>
          <w:tcPr>
            <w:tcW w:w="2154" w:type="pct"/>
            <w:tcBorders>
              <w:top w:val="nil"/>
              <w:left w:val="nil"/>
              <w:right w:val="nil"/>
            </w:tcBorders>
            <w:shd w:val="clear" w:color="auto" w:fill="auto"/>
            <w:tcMar>
              <w:top w:w="15" w:type="dxa"/>
              <w:left w:w="42" w:type="dxa"/>
              <w:bottom w:w="0" w:type="dxa"/>
              <w:right w:w="15" w:type="dxa"/>
            </w:tcMar>
            <w:vAlign w:val="center"/>
            <w:hideMark/>
          </w:tcPr>
          <w:p w:rsidR="005F0640" w:rsidRPr="00C62FEB" w:rsidRDefault="005F0640" w:rsidP="005F0640">
            <w:pPr>
              <w:textAlignment w:val="center"/>
              <w:rPr>
                <w:rFonts w:ascii="Segoe UI" w:eastAsia="Times New Roman" w:hAnsi="Segoe UI" w:cs="Segoe UI"/>
                <w:sz w:val="14"/>
                <w:szCs w:val="14"/>
                <w:lang w:eastAsia="el-GR"/>
              </w:rPr>
            </w:pPr>
            <w:r w:rsidRPr="00E777A7">
              <w:rPr>
                <w:rFonts w:ascii="Segoe UI" w:eastAsia="Segoe UI" w:hAnsi="Segoe UI" w:cs="Segoe UI"/>
                <w:color w:val="000000"/>
                <w:kern w:val="24"/>
                <w:sz w:val="14"/>
                <w:szCs w:val="14"/>
                <w:lang w:eastAsia="el-GR"/>
              </w:rPr>
              <w:t>Διακοπείσες δραστηριότητες, δικαιώματα μειοψηφίας και λοιπά</w:t>
            </w:r>
          </w:p>
        </w:tc>
        <w:tc>
          <w:tcPr>
            <w:tcW w:w="475" w:type="pct"/>
            <w:tcBorders>
              <w:top w:val="nil"/>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(1) </w:t>
            </w:r>
          </w:p>
        </w:tc>
        <w:tc>
          <w:tcPr>
            <w:tcW w:w="475" w:type="pct"/>
            <w:tcBorders>
              <w:top w:val="nil"/>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(6) </w:t>
            </w:r>
          </w:p>
        </w:tc>
        <w:tc>
          <w:tcPr>
            <w:tcW w:w="474" w:type="pct"/>
            <w:tcBorders>
              <w:top w:val="nil"/>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i/>
                <w:sz w:val="14"/>
                <w:szCs w:val="16"/>
                <w:lang w:val="en-US"/>
              </w:rPr>
            </w:pPr>
            <w:r w:rsidRPr="005F0640">
              <w:rPr>
                <w:rFonts w:ascii="Segoe UI" w:hAnsi="Segoe UI" w:cs="Segoe UI"/>
                <w:i/>
                <w:sz w:val="14"/>
                <w:szCs w:val="16"/>
                <w:lang w:val="en-US"/>
              </w:rPr>
              <w:t>-89%</w:t>
            </w:r>
          </w:p>
        </w:tc>
        <w:tc>
          <w:tcPr>
            <w:tcW w:w="474" w:type="pct"/>
            <w:tcBorders>
              <w:top w:val="nil"/>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1 </w:t>
            </w:r>
          </w:p>
        </w:tc>
        <w:tc>
          <w:tcPr>
            <w:tcW w:w="474" w:type="pct"/>
            <w:tcBorders>
              <w:top w:val="nil"/>
              <w:left w:val="nil"/>
              <w:bottom w:val="nil"/>
              <w:right w:val="nil"/>
            </w:tcBorders>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sz w:val="14"/>
                <w:szCs w:val="16"/>
                <w:lang w:val="en-US"/>
              </w:rPr>
            </w:pPr>
            <w:r w:rsidRPr="005F0640">
              <w:rPr>
                <w:rFonts w:ascii="Segoe UI" w:hAnsi="Segoe UI" w:cs="Segoe UI"/>
                <w:sz w:val="14"/>
                <w:szCs w:val="16"/>
                <w:lang w:val="en-US"/>
              </w:rPr>
              <w:t xml:space="preserve">(1) </w:t>
            </w:r>
          </w:p>
        </w:tc>
        <w:tc>
          <w:tcPr>
            <w:tcW w:w="474" w:type="pct"/>
            <w:tcBorders>
              <w:top w:val="nil"/>
              <w:left w:val="nil"/>
              <w:bottom w:val="nil"/>
            </w:tcBorders>
            <w:tcMar>
              <w:top w:w="15" w:type="dxa"/>
              <w:left w:w="15" w:type="dxa"/>
              <w:bottom w:w="0" w:type="dxa"/>
              <w:right w:w="84" w:type="dxa"/>
            </w:tcMar>
            <w:vAlign w:val="center"/>
            <w:hideMark/>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i/>
                <w:sz w:val="14"/>
                <w:szCs w:val="16"/>
              </w:rPr>
            </w:pPr>
            <w:r>
              <w:rPr>
                <w:rFonts w:ascii="Segoe UI" w:hAnsi="Segoe UI" w:cs="Segoe UI"/>
                <w:i/>
                <w:sz w:val="14"/>
                <w:szCs w:val="16"/>
              </w:rPr>
              <w:t>--</w:t>
            </w:r>
          </w:p>
        </w:tc>
      </w:tr>
      <w:tr w:rsidR="005F0640" w:rsidRPr="0098297F" w:rsidTr="00F43F44">
        <w:trPr>
          <w:trHeight w:val="113"/>
        </w:trPr>
        <w:tc>
          <w:tcPr>
            <w:tcW w:w="2154" w:type="pct"/>
            <w:tcBorders>
              <w:top w:val="nil"/>
              <w:left w:val="nil"/>
              <w:bottom w:val="single" w:sz="12" w:space="0" w:color="auto"/>
              <w:right w:val="nil"/>
            </w:tcBorders>
            <w:shd w:val="clear" w:color="auto" w:fill="F2F2F2" w:themeFill="background1" w:themeFillShade="F2"/>
            <w:tcMar>
              <w:top w:w="15" w:type="dxa"/>
              <w:left w:w="42" w:type="dxa"/>
              <w:bottom w:w="0" w:type="dxa"/>
              <w:right w:w="15" w:type="dxa"/>
            </w:tcMar>
            <w:vAlign w:val="center"/>
          </w:tcPr>
          <w:p w:rsidR="005F0640" w:rsidRPr="00AB591B" w:rsidRDefault="005F0640" w:rsidP="005F0640">
            <w:pPr>
              <w:textAlignment w:val="center"/>
              <w:rPr>
                <w:rFonts w:ascii="Segoe UI" w:eastAsia="Segoe UI" w:hAnsi="Segoe UI" w:cs="Segoe UI"/>
                <w:color w:val="000000"/>
                <w:kern w:val="24"/>
                <w:sz w:val="14"/>
                <w:szCs w:val="14"/>
                <w:lang w:eastAsia="el-GR"/>
              </w:rPr>
            </w:pPr>
            <w:r w:rsidRPr="00AB591B">
              <w:rPr>
                <w:rFonts w:ascii="Segoe UI" w:eastAsia="Segoe UI" w:hAnsi="Segoe UI" w:cs="Segoe UI"/>
                <w:b/>
                <w:color w:val="000000"/>
                <w:kern w:val="24"/>
                <w:sz w:val="14"/>
                <w:szCs w:val="14"/>
                <w:lang w:eastAsia="el-GR"/>
              </w:rPr>
              <w:t xml:space="preserve">Κέρδη / (ζημίες) </w:t>
            </w:r>
            <w:r>
              <w:rPr>
                <w:rFonts w:ascii="Segoe UI" w:eastAsia="Segoe UI" w:hAnsi="Segoe UI" w:cs="Segoe UI"/>
                <w:b/>
                <w:color w:val="000000"/>
                <w:kern w:val="24"/>
                <w:sz w:val="14"/>
                <w:szCs w:val="14"/>
                <w:lang w:eastAsia="el-GR"/>
              </w:rPr>
              <w:t xml:space="preserve">μετά </w:t>
            </w:r>
            <w:r w:rsidRPr="00976026">
              <w:rPr>
                <w:rFonts w:ascii="Segoe UI" w:eastAsia="Segoe UI" w:hAnsi="Segoe UI" w:cs="Segoe UI"/>
                <w:b/>
                <w:color w:val="000000"/>
                <w:kern w:val="24"/>
                <w:sz w:val="14"/>
                <w:szCs w:val="14"/>
                <w:lang w:eastAsia="el-GR"/>
              </w:rPr>
              <w:t xml:space="preserve">από φόρους </w:t>
            </w:r>
            <w:r w:rsidRPr="00AB591B">
              <w:rPr>
                <w:rFonts w:ascii="Segoe UI" w:eastAsia="Segoe UI" w:hAnsi="Segoe UI" w:cs="Segoe UI"/>
                <w:b/>
                <w:color w:val="000000"/>
                <w:kern w:val="24"/>
                <w:sz w:val="14"/>
                <w:szCs w:val="14"/>
                <w:lang w:eastAsia="el-GR"/>
              </w:rPr>
              <w:t>περιόδου</w:t>
            </w:r>
          </w:p>
        </w:tc>
        <w:tc>
          <w:tcPr>
            <w:tcW w:w="475" w:type="pct"/>
            <w:tcBorders>
              <w:top w:val="nil"/>
              <w:left w:val="nil"/>
              <w:bottom w:val="single" w:sz="8" w:space="0" w:color="000000"/>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8 </w:t>
            </w:r>
          </w:p>
        </w:tc>
        <w:tc>
          <w:tcPr>
            <w:tcW w:w="475" w:type="pct"/>
            <w:tcBorders>
              <w:top w:val="nil"/>
              <w:left w:val="nil"/>
              <w:bottom w:val="single" w:sz="8" w:space="0" w:color="000000"/>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2 </w:t>
            </w:r>
          </w:p>
        </w:tc>
        <w:tc>
          <w:tcPr>
            <w:tcW w:w="474" w:type="pct"/>
            <w:tcBorders>
              <w:top w:val="nil"/>
              <w:left w:val="nil"/>
              <w:bottom w:val="single" w:sz="8" w:space="0" w:color="000000"/>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i/>
                <w:sz w:val="14"/>
                <w:szCs w:val="16"/>
                <w:lang w:val="en-US"/>
              </w:rPr>
            </w:pPr>
            <w:r w:rsidRPr="005F0640">
              <w:rPr>
                <w:rFonts w:ascii="Segoe UI" w:hAnsi="Segoe UI" w:cs="Segoe UI"/>
                <w:b/>
                <w:i/>
                <w:sz w:val="14"/>
                <w:szCs w:val="16"/>
                <w:lang w:val="en-US"/>
              </w:rPr>
              <w:t>&gt;100%</w:t>
            </w:r>
          </w:p>
        </w:tc>
        <w:tc>
          <w:tcPr>
            <w:tcW w:w="474" w:type="pct"/>
            <w:tcBorders>
              <w:top w:val="nil"/>
              <w:left w:val="nil"/>
              <w:bottom w:val="single" w:sz="8" w:space="0" w:color="000000"/>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4 </w:t>
            </w:r>
          </w:p>
        </w:tc>
        <w:tc>
          <w:tcPr>
            <w:tcW w:w="474" w:type="pct"/>
            <w:tcBorders>
              <w:top w:val="nil"/>
              <w:left w:val="nil"/>
              <w:bottom w:val="single" w:sz="8" w:space="0" w:color="000000"/>
              <w:right w:val="nil"/>
            </w:tcBorders>
            <w:shd w:val="clear" w:color="000000" w:fill="F2F2F2"/>
            <w:vAlign w:val="center"/>
          </w:tcPr>
          <w:p w:rsidR="005F0640" w:rsidRPr="005F0640" w:rsidRDefault="005F0640" w:rsidP="005F0640">
            <w:pPr>
              <w:pStyle w:val="NormalWeb"/>
              <w:spacing w:before="0" w:beforeAutospacing="0" w:after="0" w:afterAutospacing="0"/>
              <w:ind w:right="148"/>
              <w:jc w:val="right"/>
              <w:textAlignment w:val="center"/>
              <w:rPr>
                <w:rFonts w:ascii="Segoe UI" w:hAnsi="Segoe UI" w:cs="Segoe UI"/>
                <w:b/>
                <w:sz w:val="14"/>
                <w:szCs w:val="16"/>
                <w:lang w:val="en-US"/>
              </w:rPr>
            </w:pPr>
            <w:r w:rsidRPr="005F0640">
              <w:rPr>
                <w:rFonts w:ascii="Segoe UI" w:hAnsi="Segoe UI" w:cs="Segoe UI"/>
                <w:b/>
                <w:sz w:val="14"/>
                <w:szCs w:val="16"/>
                <w:lang w:val="en-US"/>
              </w:rPr>
              <w:t xml:space="preserve">4 </w:t>
            </w:r>
          </w:p>
        </w:tc>
        <w:tc>
          <w:tcPr>
            <w:tcW w:w="474" w:type="pct"/>
            <w:tcBorders>
              <w:top w:val="nil"/>
              <w:left w:val="nil"/>
              <w:bottom w:val="single" w:sz="8" w:space="0" w:color="000000"/>
            </w:tcBorders>
            <w:shd w:val="clear" w:color="000000" w:fill="F2F2F2"/>
            <w:tcMar>
              <w:top w:w="15" w:type="dxa"/>
              <w:left w:w="15" w:type="dxa"/>
              <w:bottom w:w="0" w:type="dxa"/>
              <w:right w:w="84" w:type="dxa"/>
            </w:tcMar>
            <w:vAlign w:val="center"/>
          </w:tcPr>
          <w:p w:rsidR="005F0640" w:rsidRPr="005F0640" w:rsidRDefault="00A6383F" w:rsidP="00A6383F">
            <w:pPr>
              <w:pStyle w:val="NormalWeb"/>
              <w:spacing w:before="0" w:beforeAutospacing="0" w:after="0" w:afterAutospacing="0"/>
              <w:ind w:right="148"/>
              <w:jc w:val="right"/>
              <w:textAlignment w:val="center"/>
              <w:rPr>
                <w:rFonts w:ascii="Segoe UI" w:hAnsi="Segoe UI" w:cs="Segoe UI"/>
                <w:b/>
                <w:i/>
                <w:sz w:val="14"/>
                <w:szCs w:val="16"/>
                <w:lang w:val="en-US"/>
              </w:rPr>
            </w:pPr>
            <w:r>
              <w:rPr>
                <w:rFonts w:ascii="Segoe UI" w:hAnsi="Segoe UI" w:cs="Segoe UI"/>
                <w:b/>
                <w:i/>
                <w:sz w:val="14"/>
                <w:szCs w:val="16"/>
                <w:lang w:val="en-US"/>
              </w:rPr>
              <w:t>-3</w:t>
            </w:r>
            <w:r w:rsidR="005F0640" w:rsidRPr="005F0640">
              <w:rPr>
                <w:rFonts w:ascii="Segoe UI" w:hAnsi="Segoe UI" w:cs="Segoe UI"/>
                <w:b/>
                <w:i/>
                <w:sz w:val="14"/>
                <w:szCs w:val="16"/>
                <w:lang w:val="en-US"/>
              </w:rPr>
              <w:t>%</w:t>
            </w:r>
          </w:p>
        </w:tc>
      </w:tr>
    </w:tbl>
    <w:p w:rsidR="00E55AED" w:rsidRPr="00F73358" w:rsidRDefault="00DE335A" w:rsidP="00E55AED">
      <w:pPr>
        <w:jc w:val="both"/>
        <w:textAlignment w:val="baseline"/>
        <w:rPr>
          <w:rFonts w:ascii="Segoe UI" w:hAnsi="Segoe UI" w:cs="Segoe UI"/>
          <w:color w:val="000000" w:themeColor="text1"/>
          <w:kern w:val="24"/>
          <w:sz w:val="7"/>
          <w:szCs w:val="7"/>
        </w:rPr>
      </w:pPr>
      <w:r w:rsidRPr="00127C1A">
        <w:rPr>
          <w:rFonts w:ascii="Segoe UI" w:hAnsi="Segoe UI" w:cs="Segoe UI"/>
          <w:color w:val="000000" w:themeColor="text1"/>
          <w:kern w:val="24"/>
          <w:sz w:val="9"/>
          <w:szCs w:val="7"/>
          <w:vertAlign w:val="superscript"/>
        </w:rPr>
        <w:t>1</w:t>
      </w:r>
      <w:r w:rsidR="00767DA0" w:rsidRPr="00127C1A">
        <w:rPr>
          <w:rFonts w:ascii="Segoe UI" w:hAnsi="Segoe UI" w:cs="Segoe UI"/>
          <w:color w:val="000000" w:themeColor="text1"/>
          <w:kern w:val="24"/>
          <w:sz w:val="9"/>
          <w:szCs w:val="7"/>
        </w:rPr>
        <w:t xml:space="preserve">Οι διεθνείς (συνεχιζόμενες) δραστηριότητες </w:t>
      </w:r>
      <w:r w:rsidR="000F1FBE" w:rsidRPr="00127C1A">
        <w:rPr>
          <w:rFonts w:ascii="Segoe UI" w:hAnsi="Segoe UI" w:cs="Segoe UI"/>
          <w:color w:val="000000" w:themeColor="text1"/>
          <w:kern w:val="24"/>
          <w:sz w:val="9"/>
          <w:szCs w:val="7"/>
        </w:rPr>
        <w:t>περιλαμβάνουν</w:t>
      </w:r>
      <w:r w:rsidRPr="00127C1A">
        <w:rPr>
          <w:rFonts w:ascii="Segoe UI" w:hAnsi="Segoe UI" w:cs="Segoe UI"/>
          <w:color w:val="000000" w:themeColor="text1"/>
          <w:kern w:val="24"/>
          <w:sz w:val="9"/>
          <w:szCs w:val="7"/>
        </w:rPr>
        <w:t xml:space="preserve"> τις δραστηριότητες του Ομίλου στη Βόρεια Μακεδονία (Stopanska</w:t>
      </w:r>
      <w:r w:rsidR="009B7E0B">
        <w:rPr>
          <w:rFonts w:ascii="Segoe UI" w:hAnsi="Segoe UI" w:cs="Segoe UI"/>
          <w:color w:val="000000" w:themeColor="text1"/>
          <w:kern w:val="24"/>
          <w:sz w:val="9"/>
          <w:szCs w:val="7"/>
        </w:rPr>
        <w:t xml:space="preserve"> </w:t>
      </w:r>
      <w:r w:rsidR="009B7E0B">
        <w:rPr>
          <w:rFonts w:ascii="Segoe UI" w:hAnsi="Segoe UI" w:cs="Segoe UI"/>
          <w:color w:val="000000" w:themeColor="text1"/>
          <w:kern w:val="24"/>
          <w:sz w:val="9"/>
          <w:szCs w:val="7"/>
          <w:lang w:val="en-US"/>
        </w:rPr>
        <w:t>Banka</w:t>
      </w:r>
      <w:r w:rsidRPr="00127C1A">
        <w:rPr>
          <w:rFonts w:ascii="Segoe UI" w:hAnsi="Segoe UI" w:cs="Segoe UI"/>
          <w:color w:val="000000" w:themeColor="text1"/>
          <w:kern w:val="24"/>
          <w:sz w:val="9"/>
          <w:szCs w:val="7"/>
        </w:rPr>
        <w:t>)</w:t>
      </w:r>
      <w:r w:rsidR="007870D7" w:rsidRPr="00127C1A">
        <w:rPr>
          <w:rFonts w:ascii="Segoe UI" w:hAnsi="Segoe UI" w:cs="Segoe UI"/>
          <w:color w:val="000000" w:themeColor="text1"/>
          <w:kern w:val="24"/>
          <w:sz w:val="9"/>
          <w:szCs w:val="7"/>
        </w:rPr>
        <w:t xml:space="preserve">, </w:t>
      </w:r>
      <w:r w:rsidRPr="00127C1A">
        <w:rPr>
          <w:rFonts w:ascii="Segoe UI" w:hAnsi="Segoe UI" w:cs="Segoe UI"/>
          <w:color w:val="000000" w:themeColor="text1"/>
          <w:kern w:val="24"/>
          <w:sz w:val="9"/>
          <w:szCs w:val="7"/>
        </w:rPr>
        <w:t>Μάλτα (NBG Malta)</w:t>
      </w:r>
      <w:r w:rsidR="007870D7" w:rsidRPr="00127C1A">
        <w:rPr>
          <w:rFonts w:ascii="Segoe UI" w:hAnsi="Segoe UI" w:cs="Segoe UI"/>
          <w:color w:val="000000" w:themeColor="text1"/>
          <w:kern w:val="24"/>
          <w:sz w:val="9"/>
          <w:szCs w:val="7"/>
        </w:rPr>
        <w:t xml:space="preserve"> και Αίγυπτο (</w:t>
      </w:r>
      <w:r w:rsidR="00DA7E35" w:rsidRPr="00127C1A">
        <w:rPr>
          <w:rFonts w:ascii="Segoe UI" w:hAnsi="Segoe UI" w:cs="Segoe UI"/>
          <w:color w:val="000000" w:themeColor="text1"/>
          <w:kern w:val="24"/>
          <w:sz w:val="9"/>
          <w:szCs w:val="7"/>
          <w:lang w:val="en-GB"/>
        </w:rPr>
        <w:t>ETE</w:t>
      </w:r>
      <w:r w:rsidR="00DA7E35" w:rsidRPr="00127C1A">
        <w:rPr>
          <w:rFonts w:ascii="Segoe UI" w:hAnsi="Segoe UI" w:cs="Segoe UI"/>
          <w:color w:val="000000" w:themeColor="text1"/>
          <w:kern w:val="24"/>
          <w:sz w:val="9"/>
          <w:szCs w:val="7"/>
        </w:rPr>
        <w:t xml:space="preserve"> Αιγύπτου</w:t>
      </w:r>
      <w:r w:rsidR="007870D7" w:rsidRPr="00127C1A">
        <w:rPr>
          <w:rFonts w:ascii="Segoe UI" w:hAnsi="Segoe UI" w:cs="Segoe UI"/>
          <w:color w:val="000000" w:themeColor="text1"/>
          <w:kern w:val="24"/>
          <w:sz w:val="9"/>
          <w:szCs w:val="7"/>
        </w:rPr>
        <w:t>)</w:t>
      </w:r>
      <w:r w:rsidR="00767DA0" w:rsidRPr="00F11186">
        <w:rPr>
          <w:rFonts w:ascii="Segoe UI" w:hAnsi="Segoe UI" w:cs="Segoe UI"/>
          <w:color w:val="000000" w:themeColor="text1"/>
          <w:kern w:val="24"/>
          <w:sz w:val="9"/>
          <w:szCs w:val="7"/>
        </w:rPr>
        <w:t xml:space="preserve"> </w:t>
      </w:r>
      <w:r w:rsidR="00E55AED" w:rsidRPr="00F73358">
        <w:rPr>
          <w:rFonts w:ascii="Segoe UI" w:hAnsi="Segoe UI" w:cs="Segoe UI"/>
          <w:color w:val="000000" w:themeColor="text1"/>
          <w:kern w:val="24"/>
          <w:sz w:val="7"/>
          <w:szCs w:val="7"/>
        </w:rPr>
        <w:br w:type="page"/>
      </w:r>
    </w:p>
    <w:p w:rsidR="00EE40A0" w:rsidRPr="009733C4" w:rsidRDefault="009733C4" w:rsidP="00EE40A0">
      <w:pPr>
        <w:pStyle w:val="TITLEINBODY"/>
        <w:rPr>
          <w:rFonts w:ascii="Segoe UI" w:hAnsi="Segoe UI" w:cs="Segoe UI"/>
          <w:lang w:val="el-GR"/>
        </w:rPr>
      </w:pPr>
      <w:r>
        <w:rPr>
          <w:rFonts w:ascii="Segoe UI" w:hAnsi="Segoe UI" w:cs="Segoe UI"/>
          <w:lang w:val="el-GR"/>
        </w:rPr>
        <w:lastRenderedPageBreak/>
        <w:t>Κερδοφορία</w:t>
      </w:r>
    </w:p>
    <w:p w:rsidR="00EE40A0" w:rsidRPr="009733C4" w:rsidRDefault="009733C4" w:rsidP="00EE40A0">
      <w:pPr>
        <w:pStyle w:val="TITLE2"/>
        <w:rPr>
          <w:sz w:val="24"/>
          <w:szCs w:val="24"/>
          <w:lang w:val="el-GR"/>
        </w:rPr>
      </w:pPr>
      <w:r>
        <w:rPr>
          <w:sz w:val="24"/>
          <w:szCs w:val="24"/>
          <w:lang w:val="el-GR"/>
        </w:rPr>
        <w:t>Ελλάδα</w:t>
      </w:r>
    </w:p>
    <w:p w:rsidR="00DD00CD" w:rsidRPr="00831C8C" w:rsidRDefault="00DD00CD" w:rsidP="00DD00CD">
      <w:pPr>
        <w:autoSpaceDE w:val="0"/>
        <w:autoSpaceDN w:val="0"/>
        <w:adjustRightInd w:val="0"/>
        <w:spacing w:after="160" w:line="320" w:lineRule="atLeast"/>
        <w:jc w:val="both"/>
        <w:rPr>
          <w:rFonts w:ascii="Segoe UI" w:hAnsi="Segoe UI" w:cs="Segoe UI"/>
          <w:sz w:val="20"/>
        </w:rPr>
      </w:pPr>
      <w:r w:rsidRPr="00831C8C">
        <w:rPr>
          <w:rFonts w:ascii="Segoe UI" w:hAnsi="Segoe UI" w:cs="Segoe UI"/>
          <w:sz w:val="20"/>
        </w:rPr>
        <w:t xml:space="preserve">Τα </w:t>
      </w:r>
      <w:r w:rsidRPr="00831C8C">
        <w:rPr>
          <w:rFonts w:ascii="Segoe UI" w:hAnsi="Segoe UI" w:cs="Segoe UI"/>
          <w:b/>
          <w:sz w:val="20"/>
        </w:rPr>
        <w:t xml:space="preserve">κέρδη μετά από φόρους από συνεχιζόμενες δραστηριότητες </w:t>
      </w:r>
      <w:r w:rsidR="00472A42">
        <w:rPr>
          <w:rFonts w:ascii="Segoe UI" w:hAnsi="Segoe UI" w:cs="Segoe UI"/>
          <w:sz w:val="20"/>
        </w:rPr>
        <w:t>αυξήθηκαν κατά 34,3</w:t>
      </w:r>
      <w:r w:rsidR="00831C8C" w:rsidRPr="00831C8C">
        <w:rPr>
          <w:rFonts w:ascii="Segoe UI" w:hAnsi="Segoe UI" w:cs="Segoe UI"/>
          <w:sz w:val="20"/>
        </w:rPr>
        <w:t xml:space="preserve">% σε ετήσια βάση, </w:t>
      </w:r>
      <w:r w:rsidR="000972C7" w:rsidRPr="00831C8C">
        <w:rPr>
          <w:rFonts w:ascii="Segoe UI" w:hAnsi="Segoe UI" w:cs="Segoe UI"/>
          <w:sz w:val="20"/>
        </w:rPr>
        <w:t>σε €</w:t>
      </w:r>
      <w:r w:rsidR="00831C8C" w:rsidRPr="00831C8C">
        <w:rPr>
          <w:rFonts w:ascii="Segoe UI" w:hAnsi="Segoe UI" w:cs="Segoe UI"/>
          <w:sz w:val="20"/>
        </w:rPr>
        <w:t>614</w:t>
      </w:r>
      <w:r w:rsidR="000972C7" w:rsidRPr="00831C8C">
        <w:rPr>
          <w:rFonts w:ascii="Segoe UI" w:hAnsi="Segoe UI" w:cs="Segoe UI"/>
          <w:sz w:val="20"/>
        </w:rPr>
        <w:t xml:space="preserve"> εκατ. το Α΄ </w:t>
      </w:r>
      <w:r w:rsidR="00831C8C" w:rsidRPr="00831C8C">
        <w:rPr>
          <w:rFonts w:ascii="Segoe UI" w:hAnsi="Segoe UI" w:cs="Segoe UI"/>
          <w:sz w:val="20"/>
        </w:rPr>
        <w:t xml:space="preserve">εξάμηνο </w:t>
      </w:r>
      <w:r w:rsidR="000972C7" w:rsidRPr="00831C8C">
        <w:rPr>
          <w:rFonts w:ascii="Segoe UI" w:hAnsi="Segoe UI" w:cs="Segoe UI"/>
          <w:sz w:val="20"/>
        </w:rPr>
        <w:t>2021</w:t>
      </w:r>
      <w:r w:rsidR="00831C8C" w:rsidRPr="00831C8C">
        <w:rPr>
          <w:rFonts w:ascii="Segoe UI" w:hAnsi="Segoe UI" w:cs="Segoe UI"/>
          <w:sz w:val="20"/>
        </w:rPr>
        <w:t xml:space="preserve">. Η ενίσχυση της κερδοφορίας μας </w:t>
      </w:r>
      <w:r w:rsidRPr="00831C8C">
        <w:rPr>
          <w:rFonts w:ascii="Segoe UI" w:hAnsi="Segoe UI" w:cs="Segoe UI"/>
          <w:sz w:val="20"/>
        </w:rPr>
        <w:t>αντανακλ</w:t>
      </w:r>
      <w:r w:rsidR="00831C8C" w:rsidRPr="00831C8C">
        <w:rPr>
          <w:rFonts w:ascii="Segoe UI" w:hAnsi="Segoe UI" w:cs="Segoe UI"/>
          <w:sz w:val="20"/>
        </w:rPr>
        <w:t>ά</w:t>
      </w:r>
      <w:r w:rsidRPr="00831C8C">
        <w:rPr>
          <w:rFonts w:ascii="Segoe UI" w:hAnsi="Segoe UI" w:cs="Segoe UI"/>
          <w:sz w:val="20"/>
        </w:rPr>
        <w:t xml:space="preserve"> τη</w:t>
      </w:r>
      <w:r w:rsidR="00831C8C" w:rsidRPr="00831C8C">
        <w:rPr>
          <w:rFonts w:ascii="Segoe UI" w:hAnsi="Segoe UI" w:cs="Segoe UI"/>
          <w:sz w:val="20"/>
        </w:rPr>
        <w:t xml:space="preserve"> βελτίωση </w:t>
      </w:r>
      <w:r w:rsidRPr="00831C8C">
        <w:rPr>
          <w:rFonts w:ascii="Segoe UI" w:hAnsi="Segoe UI" w:cs="Segoe UI"/>
          <w:sz w:val="20"/>
        </w:rPr>
        <w:t>των οργανικών εσόδων</w:t>
      </w:r>
      <w:r w:rsidR="00C32C85" w:rsidRPr="00831C8C">
        <w:rPr>
          <w:rFonts w:ascii="Segoe UI" w:hAnsi="Segoe UI" w:cs="Segoe UI"/>
          <w:sz w:val="20"/>
        </w:rPr>
        <w:t xml:space="preserve">, τα </w:t>
      </w:r>
      <w:r w:rsidR="00454988" w:rsidRPr="00831C8C">
        <w:rPr>
          <w:rFonts w:ascii="Segoe UI" w:hAnsi="Segoe UI" w:cs="Segoe UI"/>
          <w:sz w:val="20"/>
        </w:rPr>
        <w:t>ισχυρά</w:t>
      </w:r>
      <w:r w:rsidR="00C32C85" w:rsidRPr="00831C8C">
        <w:rPr>
          <w:rFonts w:ascii="Segoe UI" w:hAnsi="Segoe UI" w:cs="Segoe UI"/>
          <w:sz w:val="20"/>
        </w:rPr>
        <w:t xml:space="preserve"> κέρδη από χρηματοοικονομικές πράξεις</w:t>
      </w:r>
      <w:r w:rsidR="0035647D" w:rsidRPr="00831C8C">
        <w:rPr>
          <w:rFonts w:ascii="Segoe UI" w:hAnsi="Segoe UI" w:cs="Segoe UI"/>
          <w:sz w:val="20"/>
        </w:rPr>
        <w:t xml:space="preserve">, επωφελούμενα από την ανταλλαγή και πώληση </w:t>
      </w:r>
      <w:r w:rsidR="008C6A7F" w:rsidRPr="00831C8C">
        <w:rPr>
          <w:rFonts w:ascii="Segoe UI" w:hAnsi="Segoe UI" w:cs="Segoe UI"/>
          <w:sz w:val="20"/>
        </w:rPr>
        <w:t xml:space="preserve">κυρίως </w:t>
      </w:r>
      <w:r w:rsidR="0035647D" w:rsidRPr="00831C8C">
        <w:rPr>
          <w:rFonts w:ascii="Segoe UI" w:hAnsi="Segoe UI" w:cs="Segoe UI"/>
          <w:sz w:val="20"/>
        </w:rPr>
        <w:t>Ομολόγων Ελληνικού Δημοσίου (ΟΕΔ),</w:t>
      </w:r>
      <w:r w:rsidR="00C32C85" w:rsidRPr="00831C8C">
        <w:rPr>
          <w:rFonts w:ascii="Segoe UI" w:hAnsi="Segoe UI" w:cs="Segoe UI"/>
          <w:sz w:val="20"/>
        </w:rPr>
        <w:t xml:space="preserve"> </w:t>
      </w:r>
      <w:r w:rsidR="00831C8C" w:rsidRPr="00831C8C">
        <w:rPr>
          <w:rFonts w:ascii="Segoe UI" w:hAnsi="Segoe UI" w:cs="Segoe UI"/>
          <w:sz w:val="20"/>
        </w:rPr>
        <w:t xml:space="preserve">καθώς και </w:t>
      </w:r>
      <w:r w:rsidR="00BB04B4" w:rsidRPr="00831C8C">
        <w:rPr>
          <w:rFonts w:ascii="Segoe UI" w:hAnsi="Segoe UI" w:cs="Segoe UI"/>
          <w:sz w:val="20"/>
        </w:rPr>
        <w:t xml:space="preserve">τη σημαντική αποκλιμάκωση των </w:t>
      </w:r>
      <w:r w:rsidR="00831C8C" w:rsidRPr="00831C8C">
        <w:rPr>
          <w:rFonts w:ascii="Segoe UI" w:hAnsi="Segoe UI" w:cs="Segoe UI"/>
          <w:sz w:val="20"/>
        </w:rPr>
        <w:t>λειτουργικών εξόδων</w:t>
      </w:r>
      <w:r w:rsidRPr="00831C8C">
        <w:rPr>
          <w:rFonts w:ascii="Segoe UI" w:hAnsi="Segoe UI" w:cs="Segoe UI"/>
          <w:sz w:val="20"/>
        </w:rPr>
        <w:t>.</w:t>
      </w:r>
      <w:r w:rsidR="00332920" w:rsidRPr="00831C8C">
        <w:rPr>
          <w:rFonts w:ascii="Segoe UI" w:hAnsi="Segoe UI" w:cs="Segoe UI"/>
          <w:sz w:val="20"/>
        </w:rPr>
        <w:t xml:space="preserve"> </w:t>
      </w:r>
      <w:r w:rsidR="00474283" w:rsidRPr="00831C8C">
        <w:rPr>
          <w:rFonts w:ascii="Segoe UI" w:hAnsi="Segoe UI" w:cs="Segoe UI"/>
          <w:sz w:val="20"/>
        </w:rPr>
        <w:t xml:space="preserve">Εξαιρώντας τα κέρδη από χρηματοοικονομικές πράξεις και λοιπά έσοδα, καθώς και τις μη επαναλαμβανόμενες προβλέψεις σε σχέση με την πανδημία του κορωνοϊού ύψους €0,4 δισ. το Α΄ </w:t>
      </w:r>
      <w:r w:rsidR="00831C8C" w:rsidRPr="00831C8C">
        <w:rPr>
          <w:rFonts w:ascii="Segoe UI" w:hAnsi="Segoe UI" w:cs="Segoe UI"/>
          <w:sz w:val="20"/>
        </w:rPr>
        <w:t>εξάμηνο</w:t>
      </w:r>
      <w:r w:rsidR="00474283" w:rsidRPr="00831C8C">
        <w:rPr>
          <w:rFonts w:ascii="Segoe UI" w:hAnsi="Segoe UI" w:cs="Segoe UI"/>
          <w:sz w:val="20"/>
        </w:rPr>
        <w:t xml:space="preserve"> 2020, τ</w:t>
      </w:r>
      <w:r w:rsidR="00332920" w:rsidRPr="00831C8C">
        <w:rPr>
          <w:rFonts w:ascii="Segoe UI" w:hAnsi="Segoe UI" w:cs="Segoe UI"/>
          <w:sz w:val="20"/>
        </w:rPr>
        <w:t>α</w:t>
      </w:r>
      <w:r w:rsidR="004E0121" w:rsidRPr="00831C8C">
        <w:rPr>
          <w:rFonts w:ascii="Segoe UI" w:hAnsi="Segoe UI" w:cs="Segoe UI"/>
          <w:sz w:val="20"/>
        </w:rPr>
        <w:t xml:space="preserve"> οργανικά κέρδη ενισχύθηκαν </w:t>
      </w:r>
      <w:r w:rsidR="00831C8C" w:rsidRPr="00831C8C">
        <w:rPr>
          <w:rFonts w:ascii="Segoe UI" w:hAnsi="Segoe UI" w:cs="Segoe UI"/>
          <w:sz w:val="20"/>
        </w:rPr>
        <w:t xml:space="preserve">σημαντικά </w:t>
      </w:r>
      <w:r w:rsidR="004E0121" w:rsidRPr="00831C8C">
        <w:rPr>
          <w:rFonts w:ascii="Segoe UI" w:hAnsi="Segoe UI" w:cs="Segoe UI"/>
          <w:sz w:val="20"/>
        </w:rPr>
        <w:t xml:space="preserve">κατά </w:t>
      </w:r>
      <w:r w:rsidR="00472A42">
        <w:rPr>
          <w:rFonts w:ascii="Segoe UI" w:hAnsi="Segoe UI" w:cs="Segoe UI"/>
          <w:sz w:val="20"/>
        </w:rPr>
        <w:t>60,0</w:t>
      </w:r>
      <w:r w:rsidR="004E0121" w:rsidRPr="00831C8C">
        <w:rPr>
          <w:rFonts w:ascii="Segoe UI" w:hAnsi="Segoe UI" w:cs="Segoe UI"/>
          <w:sz w:val="20"/>
        </w:rPr>
        <w:t>% σε ετήσια βάση, σε €</w:t>
      </w:r>
      <w:r w:rsidR="00831C8C" w:rsidRPr="00831C8C">
        <w:rPr>
          <w:rFonts w:ascii="Segoe UI" w:hAnsi="Segoe UI" w:cs="Segoe UI"/>
          <w:sz w:val="20"/>
        </w:rPr>
        <w:t>195 εκατ</w:t>
      </w:r>
      <w:r w:rsidR="0055116E" w:rsidRPr="00831C8C">
        <w:rPr>
          <w:rFonts w:ascii="Segoe UI" w:hAnsi="Segoe UI" w:cs="Segoe UI"/>
          <w:sz w:val="20"/>
        </w:rPr>
        <w:t>.</w:t>
      </w:r>
      <w:r w:rsidR="00BB7E4C" w:rsidRPr="00BB7E4C">
        <w:rPr>
          <w:rFonts w:ascii="Segoe UI" w:hAnsi="Segoe UI" w:cs="Segoe UI"/>
          <w:sz w:val="20"/>
        </w:rPr>
        <w:t>.</w:t>
      </w:r>
      <w:r w:rsidR="0055116E" w:rsidRPr="00831C8C">
        <w:rPr>
          <w:rFonts w:ascii="Segoe UI" w:hAnsi="Segoe UI" w:cs="Segoe UI"/>
          <w:sz w:val="20"/>
        </w:rPr>
        <w:t xml:space="preserve"> </w:t>
      </w:r>
    </w:p>
    <w:p w:rsidR="00870A31" w:rsidRPr="002D4EF8" w:rsidRDefault="00260562" w:rsidP="00E55AED">
      <w:pPr>
        <w:autoSpaceDE w:val="0"/>
        <w:autoSpaceDN w:val="0"/>
        <w:adjustRightInd w:val="0"/>
        <w:spacing w:after="160" w:line="320" w:lineRule="atLeast"/>
        <w:jc w:val="both"/>
        <w:rPr>
          <w:rFonts w:ascii="Segoe UI" w:hAnsi="Segoe UI" w:cs="Segoe UI"/>
          <w:sz w:val="20"/>
        </w:rPr>
      </w:pPr>
      <w:r w:rsidRPr="002D4EF8">
        <w:rPr>
          <w:rFonts w:ascii="Segoe UI" w:hAnsi="Segoe UI" w:cs="Segoe UI"/>
          <w:sz w:val="20"/>
        </w:rPr>
        <w:t>Τ</w:t>
      </w:r>
      <w:r w:rsidR="00870A31" w:rsidRPr="002D4EF8">
        <w:rPr>
          <w:rFonts w:ascii="Segoe UI" w:hAnsi="Segoe UI" w:cs="Segoe UI"/>
          <w:sz w:val="20"/>
        </w:rPr>
        <w:t xml:space="preserve">α </w:t>
      </w:r>
      <w:r w:rsidR="00870A31" w:rsidRPr="002D4EF8">
        <w:rPr>
          <w:rFonts w:ascii="Segoe UI" w:hAnsi="Segoe UI" w:cs="Segoe UI"/>
          <w:b/>
          <w:sz w:val="20"/>
        </w:rPr>
        <w:t>καθαρά έσοδα από τόκους</w:t>
      </w:r>
      <w:r w:rsidR="00870A31" w:rsidRPr="002D4EF8">
        <w:rPr>
          <w:rFonts w:ascii="Segoe UI" w:hAnsi="Segoe UI" w:cs="Segoe UI"/>
          <w:sz w:val="20"/>
        </w:rPr>
        <w:t xml:space="preserve"> </w:t>
      </w:r>
      <w:r w:rsidR="0049047F" w:rsidRPr="002D4EF8">
        <w:rPr>
          <w:rFonts w:ascii="Segoe UI" w:hAnsi="Segoe UI" w:cs="Segoe UI"/>
          <w:sz w:val="20"/>
        </w:rPr>
        <w:t xml:space="preserve">αυξήθηκαν κατά </w:t>
      </w:r>
      <w:r w:rsidR="002D4EF8" w:rsidRPr="002D4EF8">
        <w:rPr>
          <w:rFonts w:ascii="Segoe UI" w:hAnsi="Segoe UI" w:cs="Segoe UI"/>
          <w:sz w:val="20"/>
        </w:rPr>
        <w:t>7,9</w:t>
      </w:r>
      <w:r w:rsidR="004F0C08" w:rsidRPr="002D4EF8">
        <w:rPr>
          <w:rFonts w:ascii="Segoe UI" w:hAnsi="Segoe UI" w:cs="Segoe UI"/>
          <w:sz w:val="20"/>
        </w:rPr>
        <w:t xml:space="preserve">% </w:t>
      </w:r>
      <w:r w:rsidR="005169CE" w:rsidRPr="002D4EF8">
        <w:rPr>
          <w:rFonts w:ascii="Segoe UI" w:hAnsi="Segoe UI" w:cs="Segoe UI"/>
          <w:sz w:val="20"/>
        </w:rPr>
        <w:t xml:space="preserve">σε </w:t>
      </w:r>
      <w:r w:rsidR="0049047F" w:rsidRPr="002D4EF8">
        <w:rPr>
          <w:rFonts w:ascii="Segoe UI" w:hAnsi="Segoe UI" w:cs="Segoe UI"/>
          <w:sz w:val="20"/>
        </w:rPr>
        <w:t>ετήσια</w:t>
      </w:r>
      <w:r w:rsidR="005169CE" w:rsidRPr="002D4EF8">
        <w:rPr>
          <w:rFonts w:ascii="Segoe UI" w:hAnsi="Segoe UI" w:cs="Segoe UI"/>
          <w:sz w:val="20"/>
        </w:rPr>
        <w:t xml:space="preserve"> βάση, </w:t>
      </w:r>
      <w:r w:rsidR="004F0C08" w:rsidRPr="002D4EF8">
        <w:rPr>
          <w:rFonts w:ascii="Segoe UI" w:hAnsi="Segoe UI" w:cs="Segoe UI"/>
          <w:sz w:val="20"/>
        </w:rPr>
        <w:t>σ</w:t>
      </w:r>
      <w:r w:rsidR="00DF2665" w:rsidRPr="002D4EF8">
        <w:rPr>
          <w:rFonts w:ascii="Segoe UI" w:hAnsi="Segoe UI" w:cs="Segoe UI"/>
          <w:sz w:val="20"/>
        </w:rPr>
        <w:t>τα</w:t>
      </w:r>
      <w:r w:rsidR="004F0C08" w:rsidRPr="002D4EF8">
        <w:rPr>
          <w:rFonts w:ascii="Segoe UI" w:hAnsi="Segoe UI" w:cs="Segoe UI"/>
          <w:sz w:val="20"/>
        </w:rPr>
        <w:t xml:space="preserve"> €</w:t>
      </w:r>
      <w:r w:rsidR="002D4EF8" w:rsidRPr="002D4EF8">
        <w:rPr>
          <w:rFonts w:ascii="Segoe UI" w:hAnsi="Segoe UI" w:cs="Segoe UI"/>
          <w:sz w:val="20"/>
        </w:rPr>
        <w:t>562</w:t>
      </w:r>
      <w:r w:rsidR="004F0C08" w:rsidRPr="002D4EF8">
        <w:rPr>
          <w:rFonts w:ascii="Segoe UI" w:hAnsi="Segoe UI" w:cs="Segoe UI"/>
          <w:sz w:val="20"/>
        </w:rPr>
        <w:t xml:space="preserve"> εκατ.</w:t>
      </w:r>
      <w:r w:rsidR="00764A39" w:rsidRPr="00764A39">
        <w:rPr>
          <w:rFonts w:ascii="Segoe UI" w:hAnsi="Segoe UI" w:cs="Segoe UI"/>
          <w:sz w:val="20"/>
        </w:rPr>
        <w:t xml:space="preserve"> το Α΄ εξάμηνο 2021</w:t>
      </w:r>
      <w:r w:rsidR="004F0C08" w:rsidRPr="002D4EF8">
        <w:rPr>
          <w:rFonts w:ascii="Segoe UI" w:hAnsi="Segoe UI" w:cs="Segoe UI"/>
          <w:sz w:val="20"/>
        </w:rPr>
        <w:t xml:space="preserve">, αντανακλώντας </w:t>
      </w:r>
      <w:r w:rsidR="00D1487B" w:rsidRPr="002D4EF8">
        <w:rPr>
          <w:rFonts w:ascii="Segoe UI" w:hAnsi="Segoe UI" w:cs="Segoe UI"/>
          <w:sz w:val="20"/>
        </w:rPr>
        <w:t>το όφελος από το χ</w:t>
      </w:r>
      <w:r w:rsidR="0049047F" w:rsidRPr="002D4EF8">
        <w:rPr>
          <w:rFonts w:ascii="Segoe UI" w:hAnsi="Segoe UI" w:cs="Segoe UI"/>
          <w:sz w:val="20"/>
        </w:rPr>
        <w:t xml:space="preserve">αμηλότερο κόστος χρηματοδότησης, ως αποτέλεσμα της </w:t>
      </w:r>
      <w:r w:rsidR="002D4EF8" w:rsidRPr="002D4EF8">
        <w:rPr>
          <w:rFonts w:ascii="Segoe UI" w:hAnsi="Segoe UI" w:cs="Segoe UI"/>
          <w:sz w:val="20"/>
        </w:rPr>
        <w:t xml:space="preserve">αυξημένης </w:t>
      </w:r>
      <w:r w:rsidR="0049047F" w:rsidRPr="002D4EF8">
        <w:rPr>
          <w:rFonts w:ascii="Segoe UI" w:hAnsi="Segoe UI" w:cs="Segoe UI"/>
          <w:sz w:val="20"/>
        </w:rPr>
        <w:t xml:space="preserve">συμμετοχής της ΕΤΕ στο Πρόγραμμα Συναλλαγών Μακροχρόνιας Αναχρηματοδότησης (TLTRO </w:t>
      </w:r>
      <w:r w:rsidR="0049047F" w:rsidRPr="002D4EF8">
        <w:rPr>
          <w:rFonts w:ascii="Segoe UI" w:hAnsi="Segoe UI" w:cs="Segoe UI"/>
          <w:sz w:val="20"/>
          <w:lang w:val="en-US"/>
        </w:rPr>
        <w:t>III</w:t>
      </w:r>
      <w:r w:rsidR="0049047F" w:rsidRPr="002D4EF8">
        <w:rPr>
          <w:rFonts w:ascii="Segoe UI" w:hAnsi="Segoe UI" w:cs="Segoe UI"/>
          <w:sz w:val="20"/>
        </w:rPr>
        <w:t xml:space="preserve">) της ΕΚΤ, καθώς και της ανατιμολόγησης των καταθέσεων προθεσμίας κατά </w:t>
      </w:r>
      <w:r w:rsidR="002D4EF8" w:rsidRPr="002D4EF8">
        <w:rPr>
          <w:rFonts w:ascii="Segoe UI" w:hAnsi="Segoe UI" w:cs="Segoe UI"/>
          <w:sz w:val="20"/>
        </w:rPr>
        <w:t>10</w:t>
      </w:r>
      <w:r w:rsidR="0049047F" w:rsidRPr="002D4EF8">
        <w:rPr>
          <w:rFonts w:ascii="Segoe UI" w:hAnsi="Segoe UI" w:cs="Segoe UI"/>
          <w:sz w:val="20"/>
        </w:rPr>
        <w:t xml:space="preserve">μ.β. </w:t>
      </w:r>
      <w:r w:rsidR="00705B99">
        <w:rPr>
          <w:rFonts w:ascii="Segoe UI" w:hAnsi="Segoe UI" w:cs="Segoe UI"/>
          <w:sz w:val="20"/>
        </w:rPr>
        <w:t>από την αρχή του έτους</w:t>
      </w:r>
      <w:r w:rsidR="008E326D" w:rsidRPr="002D4EF8">
        <w:rPr>
          <w:rFonts w:ascii="Segoe UI" w:hAnsi="Segoe UI" w:cs="Segoe UI"/>
          <w:sz w:val="20"/>
        </w:rPr>
        <w:t xml:space="preserve">. </w:t>
      </w:r>
      <w:r w:rsidR="00AD46E2" w:rsidRPr="00AD46E2">
        <w:rPr>
          <w:rFonts w:ascii="Segoe UI" w:hAnsi="Segoe UI" w:cs="Segoe UI"/>
          <w:sz w:val="20"/>
        </w:rPr>
        <w:t xml:space="preserve">Τα εξυπηρετούμενα δάνεια στην Ελλάδα </w:t>
      </w:r>
      <w:r w:rsidR="00EF786B">
        <w:rPr>
          <w:rFonts w:ascii="Segoe UI" w:hAnsi="Segoe UI" w:cs="Segoe UI"/>
          <w:sz w:val="20"/>
        </w:rPr>
        <w:t xml:space="preserve">συνέχισαν </w:t>
      </w:r>
      <w:r w:rsidR="00AD46E2">
        <w:rPr>
          <w:rFonts w:ascii="Segoe UI" w:hAnsi="Segoe UI" w:cs="Segoe UI"/>
          <w:sz w:val="20"/>
        </w:rPr>
        <w:t xml:space="preserve">την ανοδική τους </w:t>
      </w:r>
      <w:r w:rsidR="00EF786B">
        <w:rPr>
          <w:rFonts w:ascii="Segoe UI" w:hAnsi="Segoe UI" w:cs="Segoe UI"/>
          <w:sz w:val="20"/>
        </w:rPr>
        <w:t>πορεία</w:t>
      </w:r>
      <w:r w:rsidR="00AD46E2">
        <w:rPr>
          <w:rFonts w:ascii="Segoe UI" w:hAnsi="Segoe UI" w:cs="Segoe UI"/>
          <w:sz w:val="20"/>
        </w:rPr>
        <w:t xml:space="preserve"> (+</w:t>
      </w:r>
      <w:r w:rsidR="00AD46E2" w:rsidRPr="00AD46E2">
        <w:rPr>
          <w:rFonts w:ascii="Segoe UI" w:hAnsi="Segoe UI" w:cs="Segoe UI"/>
          <w:sz w:val="20"/>
        </w:rPr>
        <w:t>€1,2 δισ. σε ετήσια βάση</w:t>
      </w:r>
      <w:r w:rsidR="00AD46E2">
        <w:rPr>
          <w:rFonts w:ascii="Segoe UI" w:hAnsi="Segoe UI" w:cs="Segoe UI"/>
          <w:sz w:val="20"/>
        </w:rPr>
        <w:t>)</w:t>
      </w:r>
      <w:r w:rsidR="00AD46E2" w:rsidRPr="00AD46E2">
        <w:rPr>
          <w:rFonts w:ascii="Segoe UI" w:hAnsi="Segoe UI" w:cs="Segoe UI"/>
          <w:sz w:val="20"/>
        </w:rPr>
        <w:t xml:space="preserve">, </w:t>
      </w:r>
      <w:r w:rsidR="009E46C9">
        <w:rPr>
          <w:rFonts w:ascii="Segoe UI" w:hAnsi="Segoe UI" w:cs="Segoe UI"/>
          <w:sz w:val="20"/>
        </w:rPr>
        <w:t xml:space="preserve">καθώς διατηρείται </w:t>
      </w:r>
      <w:r w:rsidR="007F347C">
        <w:rPr>
          <w:rFonts w:ascii="Segoe UI" w:hAnsi="Segoe UI" w:cs="Segoe UI"/>
          <w:sz w:val="20"/>
        </w:rPr>
        <w:t xml:space="preserve">η δυναμική </w:t>
      </w:r>
      <w:r w:rsidR="00D24C73">
        <w:rPr>
          <w:rFonts w:ascii="Segoe UI" w:hAnsi="Segoe UI" w:cs="Segoe UI"/>
          <w:sz w:val="20"/>
        </w:rPr>
        <w:t xml:space="preserve">στις εκταμιεύσεις </w:t>
      </w:r>
      <w:r w:rsidR="00AD46E2" w:rsidRPr="00AD46E2">
        <w:rPr>
          <w:rFonts w:ascii="Segoe UI" w:hAnsi="Segoe UI" w:cs="Segoe UI"/>
          <w:sz w:val="20"/>
        </w:rPr>
        <w:t>δ</w:t>
      </w:r>
      <w:r w:rsidR="007F347C">
        <w:rPr>
          <w:rFonts w:ascii="Segoe UI" w:hAnsi="Segoe UI" w:cs="Segoe UI"/>
          <w:sz w:val="20"/>
        </w:rPr>
        <w:t>ανείων</w:t>
      </w:r>
      <w:r w:rsidR="00AD46E2" w:rsidRPr="00AD46E2">
        <w:rPr>
          <w:rFonts w:ascii="Segoe UI" w:hAnsi="Segoe UI" w:cs="Segoe UI"/>
          <w:sz w:val="20"/>
        </w:rPr>
        <w:t xml:space="preserve"> Εταιρικής Τραπεζικής</w:t>
      </w:r>
      <w:r w:rsidR="0060690A">
        <w:rPr>
          <w:rFonts w:ascii="Segoe UI" w:hAnsi="Segoe UI" w:cs="Segoe UI"/>
          <w:sz w:val="20"/>
        </w:rPr>
        <w:t xml:space="preserve"> και </w:t>
      </w:r>
      <w:r w:rsidR="00004B00">
        <w:rPr>
          <w:rFonts w:ascii="Segoe UI" w:hAnsi="Segoe UI" w:cs="Segoe UI"/>
          <w:sz w:val="20"/>
        </w:rPr>
        <w:t xml:space="preserve">η παραγωγή νέων </w:t>
      </w:r>
      <w:r w:rsidR="00591695">
        <w:rPr>
          <w:rFonts w:ascii="Segoe UI" w:hAnsi="Segoe UI" w:cs="Segoe UI"/>
          <w:sz w:val="20"/>
        </w:rPr>
        <w:t xml:space="preserve">δανείων </w:t>
      </w:r>
      <w:r w:rsidR="007F347C">
        <w:rPr>
          <w:rFonts w:ascii="Segoe UI" w:hAnsi="Segoe UI" w:cs="Segoe UI"/>
          <w:sz w:val="20"/>
        </w:rPr>
        <w:t>Λιανικής</w:t>
      </w:r>
      <w:r w:rsidR="00AD46E2" w:rsidRPr="00AD46E2">
        <w:rPr>
          <w:rFonts w:ascii="Segoe UI" w:hAnsi="Segoe UI" w:cs="Segoe UI"/>
          <w:sz w:val="20"/>
        </w:rPr>
        <w:t xml:space="preserve"> Τραπεζικής</w:t>
      </w:r>
      <w:r w:rsidR="007F347C">
        <w:rPr>
          <w:rFonts w:ascii="Segoe UI" w:hAnsi="Segoe UI" w:cs="Segoe UI"/>
          <w:sz w:val="20"/>
        </w:rPr>
        <w:t xml:space="preserve"> αρχίζ</w:t>
      </w:r>
      <w:r w:rsidR="00004B00">
        <w:rPr>
          <w:rFonts w:ascii="Segoe UI" w:hAnsi="Segoe UI" w:cs="Segoe UI"/>
          <w:sz w:val="20"/>
        </w:rPr>
        <w:t xml:space="preserve">ει </w:t>
      </w:r>
      <w:r w:rsidR="007F347C">
        <w:rPr>
          <w:rFonts w:ascii="Segoe UI" w:hAnsi="Segoe UI" w:cs="Segoe UI"/>
          <w:sz w:val="20"/>
        </w:rPr>
        <w:t xml:space="preserve">να </w:t>
      </w:r>
      <w:r w:rsidR="004F1194">
        <w:rPr>
          <w:rFonts w:ascii="Segoe UI" w:hAnsi="Segoe UI" w:cs="Segoe UI"/>
          <w:sz w:val="20"/>
        </w:rPr>
        <w:t>ανακάμπτ</w:t>
      </w:r>
      <w:r w:rsidR="00004B00">
        <w:rPr>
          <w:rFonts w:ascii="Segoe UI" w:hAnsi="Segoe UI" w:cs="Segoe UI"/>
          <w:sz w:val="20"/>
        </w:rPr>
        <w:t xml:space="preserve">ει </w:t>
      </w:r>
      <w:r w:rsidR="004F1194">
        <w:rPr>
          <w:rFonts w:ascii="Segoe UI" w:hAnsi="Segoe UI" w:cs="Segoe UI"/>
          <w:sz w:val="20"/>
        </w:rPr>
        <w:t>(&gt;</w:t>
      </w:r>
      <w:r w:rsidR="007F347C" w:rsidRPr="007F347C">
        <w:rPr>
          <w:rFonts w:ascii="Segoe UI" w:hAnsi="Segoe UI" w:cs="Segoe UI"/>
          <w:sz w:val="20"/>
        </w:rPr>
        <w:t>2,5 φορές ετησίως), αν και από χαμηλή βάση</w:t>
      </w:r>
      <w:r w:rsidR="00AD46E2">
        <w:rPr>
          <w:rFonts w:ascii="Segoe UI" w:hAnsi="Segoe UI" w:cs="Segoe UI"/>
          <w:sz w:val="20"/>
        </w:rPr>
        <w:t xml:space="preserve">. </w:t>
      </w:r>
      <w:r w:rsidR="000E2708" w:rsidRPr="002D4EF8">
        <w:rPr>
          <w:rFonts w:ascii="Segoe UI" w:hAnsi="Segoe UI" w:cs="Segoe UI"/>
          <w:sz w:val="20"/>
        </w:rPr>
        <w:t xml:space="preserve">Σε σχέση με το </w:t>
      </w:r>
      <w:r w:rsidR="002D4EF8" w:rsidRPr="002D4EF8">
        <w:rPr>
          <w:rFonts w:ascii="Segoe UI" w:hAnsi="Segoe UI" w:cs="Segoe UI"/>
          <w:sz w:val="20"/>
        </w:rPr>
        <w:t>Α’ τρίμηνο 2021</w:t>
      </w:r>
      <w:r w:rsidR="000E2708" w:rsidRPr="002D4EF8">
        <w:rPr>
          <w:rFonts w:ascii="Segoe UI" w:hAnsi="Segoe UI" w:cs="Segoe UI"/>
          <w:sz w:val="20"/>
        </w:rPr>
        <w:t xml:space="preserve">, τα καθαρά έσοδα από τόκους σημείωσαν </w:t>
      </w:r>
      <w:r w:rsidR="002D4EF8" w:rsidRPr="002D4EF8">
        <w:rPr>
          <w:rFonts w:ascii="Segoe UI" w:hAnsi="Segoe UI" w:cs="Segoe UI"/>
          <w:sz w:val="20"/>
        </w:rPr>
        <w:t>αύξηση</w:t>
      </w:r>
      <w:r w:rsidR="000E2708" w:rsidRPr="002D4EF8">
        <w:rPr>
          <w:rFonts w:ascii="Segoe UI" w:hAnsi="Segoe UI" w:cs="Segoe UI"/>
          <w:sz w:val="20"/>
        </w:rPr>
        <w:t xml:space="preserve"> κατά </w:t>
      </w:r>
      <w:r w:rsidR="00287D39">
        <w:rPr>
          <w:rFonts w:ascii="Segoe UI" w:hAnsi="Segoe UI" w:cs="Segoe UI"/>
          <w:sz w:val="20"/>
        </w:rPr>
        <w:t>1,0</w:t>
      </w:r>
      <w:r w:rsidR="000E2708" w:rsidRPr="002D4EF8">
        <w:rPr>
          <w:rFonts w:ascii="Segoe UI" w:hAnsi="Segoe UI" w:cs="Segoe UI"/>
          <w:sz w:val="20"/>
        </w:rPr>
        <w:t>%</w:t>
      </w:r>
      <w:r w:rsidR="00A55E5E" w:rsidRPr="002D4EF8">
        <w:rPr>
          <w:rFonts w:ascii="Segoe UI" w:hAnsi="Segoe UI" w:cs="Segoe UI"/>
          <w:sz w:val="20"/>
        </w:rPr>
        <w:t xml:space="preserve"> σε τριμηνιαία βάση</w:t>
      </w:r>
      <w:r w:rsidR="000E2708" w:rsidRPr="002D4EF8">
        <w:rPr>
          <w:rFonts w:ascii="Segoe UI" w:hAnsi="Segoe UI" w:cs="Segoe UI"/>
          <w:sz w:val="20"/>
        </w:rPr>
        <w:t xml:space="preserve">, ως αποτέλεσμα </w:t>
      </w:r>
      <w:r w:rsidR="002D4EF8" w:rsidRPr="002D4EF8">
        <w:rPr>
          <w:rFonts w:ascii="Segoe UI" w:hAnsi="Segoe UI" w:cs="Segoe UI"/>
          <w:sz w:val="20"/>
        </w:rPr>
        <w:t>της περαιτέρω αποκλιμάκωσης του κόστους χρηματοδότησης της Τράπεζας</w:t>
      </w:r>
      <w:r w:rsidR="00042473" w:rsidRPr="002D4EF8">
        <w:rPr>
          <w:rFonts w:ascii="Segoe UI" w:hAnsi="Segoe UI" w:cs="Segoe UI"/>
          <w:sz w:val="20"/>
        </w:rPr>
        <w:t>.</w:t>
      </w:r>
      <w:r w:rsidR="000E2708" w:rsidRPr="002D4EF8">
        <w:rPr>
          <w:rFonts w:ascii="Segoe UI" w:hAnsi="Segoe UI" w:cs="Segoe UI"/>
          <w:sz w:val="20"/>
        </w:rPr>
        <w:t xml:space="preserve"> </w:t>
      </w:r>
      <w:r w:rsidR="0049047F" w:rsidRPr="002D4EF8">
        <w:rPr>
          <w:rFonts w:ascii="Segoe UI" w:hAnsi="Segoe UI" w:cs="Segoe UI"/>
          <w:sz w:val="20"/>
        </w:rPr>
        <w:t xml:space="preserve">Το </w:t>
      </w:r>
      <w:r w:rsidR="0049047F" w:rsidRPr="002D4EF8">
        <w:rPr>
          <w:rFonts w:ascii="Segoe UI" w:hAnsi="Segoe UI" w:cs="Segoe UI"/>
          <w:b/>
          <w:sz w:val="20"/>
        </w:rPr>
        <w:t>καθαρό επιτοκιακό περιθώριο</w:t>
      </w:r>
      <w:r w:rsidR="0049047F" w:rsidRPr="002D4EF8">
        <w:rPr>
          <w:rFonts w:ascii="Segoe UI" w:hAnsi="Segoe UI" w:cs="Segoe UI"/>
          <w:sz w:val="20"/>
        </w:rPr>
        <w:t xml:space="preserve"> </w:t>
      </w:r>
      <w:r w:rsidR="003B37C2">
        <w:rPr>
          <w:rFonts w:ascii="Segoe UI" w:hAnsi="Segoe UI" w:cs="Segoe UI"/>
          <w:sz w:val="20"/>
        </w:rPr>
        <w:t xml:space="preserve">παρέμεινε σχεδόν αμετάβλητο </w:t>
      </w:r>
      <w:r w:rsidR="0049047F" w:rsidRPr="002D4EF8">
        <w:rPr>
          <w:rFonts w:ascii="Segoe UI" w:hAnsi="Segoe UI" w:cs="Segoe UI"/>
          <w:sz w:val="20"/>
        </w:rPr>
        <w:t>σε τριμηνιαία βάση,</w:t>
      </w:r>
      <w:r w:rsidR="003B37C2">
        <w:rPr>
          <w:rFonts w:ascii="Segoe UI" w:hAnsi="Segoe UI" w:cs="Segoe UI"/>
          <w:sz w:val="20"/>
        </w:rPr>
        <w:t xml:space="preserve"> σ</w:t>
      </w:r>
      <w:r w:rsidR="006E588C" w:rsidRPr="002D4EF8">
        <w:rPr>
          <w:rFonts w:ascii="Segoe UI" w:hAnsi="Segoe UI" w:cs="Segoe UI"/>
          <w:sz w:val="20"/>
        </w:rPr>
        <w:t xml:space="preserve">τις </w:t>
      </w:r>
      <w:r w:rsidR="0049047F" w:rsidRPr="002D4EF8">
        <w:rPr>
          <w:rFonts w:ascii="Segoe UI" w:hAnsi="Segoe UI" w:cs="Segoe UI"/>
          <w:sz w:val="20"/>
        </w:rPr>
        <w:t>2</w:t>
      </w:r>
      <w:r w:rsidR="003B37C2">
        <w:rPr>
          <w:rFonts w:ascii="Segoe UI" w:hAnsi="Segoe UI" w:cs="Segoe UI"/>
          <w:sz w:val="20"/>
        </w:rPr>
        <w:t>09</w:t>
      </w:r>
      <w:r w:rsidR="0049047F" w:rsidRPr="002D4EF8">
        <w:rPr>
          <w:rFonts w:ascii="Segoe UI" w:hAnsi="Segoe UI" w:cs="Segoe UI"/>
          <w:sz w:val="20"/>
        </w:rPr>
        <w:t xml:space="preserve">μ.β. το </w:t>
      </w:r>
      <w:r w:rsidR="002D4EF8" w:rsidRPr="002D4EF8">
        <w:rPr>
          <w:rFonts w:ascii="Segoe UI" w:hAnsi="Segoe UI" w:cs="Segoe UI"/>
          <w:sz w:val="20"/>
        </w:rPr>
        <w:t>Β</w:t>
      </w:r>
      <w:r w:rsidR="0049047F" w:rsidRPr="002D4EF8">
        <w:rPr>
          <w:rFonts w:ascii="Segoe UI" w:hAnsi="Segoe UI" w:cs="Segoe UI"/>
          <w:sz w:val="20"/>
        </w:rPr>
        <w:t>’ τρίμηνο 202</w:t>
      </w:r>
      <w:r w:rsidR="00FB4E0F" w:rsidRPr="002D4EF8">
        <w:rPr>
          <w:rFonts w:ascii="Segoe UI" w:hAnsi="Segoe UI" w:cs="Segoe UI"/>
          <w:sz w:val="20"/>
        </w:rPr>
        <w:t>1</w:t>
      </w:r>
      <w:r w:rsidR="0049047F" w:rsidRPr="002D4EF8">
        <w:rPr>
          <w:rFonts w:ascii="Segoe UI" w:hAnsi="Segoe UI" w:cs="Segoe UI"/>
          <w:sz w:val="20"/>
        </w:rPr>
        <w:t>.</w:t>
      </w:r>
    </w:p>
    <w:p w:rsidR="00187DE9" w:rsidRPr="00CE4918" w:rsidRDefault="00764A39" w:rsidP="008C475E">
      <w:pPr>
        <w:autoSpaceDE w:val="0"/>
        <w:autoSpaceDN w:val="0"/>
        <w:adjustRightInd w:val="0"/>
        <w:spacing w:after="160" w:line="320" w:lineRule="atLeast"/>
        <w:jc w:val="both"/>
        <w:rPr>
          <w:rFonts w:ascii="Segoe UI" w:eastAsia="MS Mincho" w:hAnsi="Segoe UI" w:cs="Segoe UI"/>
          <w:sz w:val="20"/>
          <w:lang w:bidi="el-GR"/>
        </w:rPr>
      </w:pPr>
      <w:r w:rsidRPr="00FD399D">
        <w:rPr>
          <w:rFonts w:ascii="Segoe UI" w:eastAsia="MS Mincho" w:hAnsi="Segoe UI" w:cs="Segoe UI"/>
          <w:sz w:val="20"/>
          <w:lang w:bidi="el-GR"/>
        </w:rPr>
        <w:t>Τ</w:t>
      </w:r>
      <w:r w:rsidR="00E676A0" w:rsidRPr="00FD399D">
        <w:rPr>
          <w:rFonts w:ascii="Segoe UI" w:eastAsia="MS Mincho" w:hAnsi="Segoe UI" w:cs="Segoe UI"/>
          <w:sz w:val="20"/>
          <w:lang w:bidi="el-GR"/>
        </w:rPr>
        <w:t xml:space="preserve">α </w:t>
      </w:r>
      <w:r w:rsidR="00E676A0" w:rsidRPr="00FD399D">
        <w:rPr>
          <w:rFonts w:ascii="Segoe UI" w:eastAsia="MS Mincho" w:hAnsi="Segoe UI" w:cs="Segoe UI"/>
          <w:b/>
          <w:sz w:val="20"/>
          <w:lang w:bidi="el-GR"/>
        </w:rPr>
        <w:t>καθαρά έσοδα από προμήθειες</w:t>
      </w:r>
      <w:r w:rsidR="00E676A0" w:rsidRPr="00FD399D">
        <w:rPr>
          <w:rFonts w:ascii="Segoe UI" w:eastAsia="MS Mincho" w:hAnsi="Segoe UI" w:cs="Segoe UI"/>
          <w:sz w:val="20"/>
          <w:lang w:bidi="el-GR"/>
        </w:rPr>
        <w:t xml:space="preserve"> </w:t>
      </w:r>
      <w:r w:rsidRPr="00FD399D">
        <w:rPr>
          <w:rFonts w:ascii="Segoe UI" w:eastAsia="MS Mincho" w:hAnsi="Segoe UI" w:cs="Segoe UI"/>
          <w:sz w:val="20"/>
          <w:lang w:bidi="el-GR"/>
        </w:rPr>
        <w:t>διαμορφώθηκαν σε €130 εκατ.</w:t>
      </w:r>
      <w:r w:rsidRPr="00FD399D">
        <w:t xml:space="preserve"> </w:t>
      </w:r>
      <w:r w:rsidRPr="00FD399D">
        <w:rPr>
          <w:rFonts w:ascii="Segoe UI" w:eastAsia="MS Mincho" w:hAnsi="Segoe UI" w:cs="Segoe UI"/>
          <w:sz w:val="20"/>
          <w:lang w:bidi="el-GR"/>
        </w:rPr>
        <w:t>το Α΄ εξάμηνο 2021, ενισχυμένα κατά 10,2</w:t>
      </w:r>
      <w:r w:rsidR="00163972" w:rsidRPr="00FD399D">
        <w:rPr>
          <w:rFonts w:ascii="Segoe UI" w:eastAsia="MS Mincho" w:hAnsi="Segoe UI" w:cs="Segoe UI"/>
          <w:sz w:val="20"/>
          <w:lang w:bidi="el-GR"/>
        </w:rPr>
        <w:t xml:space="preserve">% σε </w:t>
      </w:r>
      <w:r w:rsidR="00462177" w:rsidRPr="00FD399D">
        <w:rPr>
          <w:rFonts w:ascii="Segoe UI" w:eastAsia="MS Mincho" w:hAnsi="Segoe UI" w:cs="Segoe UI"/>
          <w:sz w:val="20"/>
          <w:lang w:bidi="el-GR"/>
        </w:rPr>
        <w:t xml:space="preserve">ετήσια </w:t>
      </w:r>
      <w:r w:rsidR="00163972" w:rsidRPr="00FD399D">
        <w:rPr>
          <w:rFonts w:ascii="Segoe UI" w:eastAsia="MS Mincho" w:hAnsi="Segoe UI" w:cs="Segoe UI"/>
          <w:sz w:val="20"/>
          <w:lang w:bidi="el-GR"/>
        </w:rPr>
        <w:t>βάση</w:t>
      </w:r>
      <w:r w:rsidR="00E676A0" w:rsidRPr="00FD399D">
        <w:rPr>
          <w:rFonts w:ascii="Segoe UI" w:eastAsia="MS Mincho" w:hAnsi="Segoe UI" w:cs="Segoe UI"/>
          <w:sz w:val="20"/>
          <w:lang w:bidi="el-GR"/>
        </w:rPr>
        <w:t xml:space="preserve">, </w:t>
      </w:r>
      <w:r w:rsidR="00FA20F2" w:rsidRPr="00FD399D">
        <w:rPr>
          <w:rFonts w:ascii="Segoe UI" w:eastAsia="MS Mincho" w:hAnsi="Segoe UI" w:cs="Segoe UI"/>
          <w:sz w:val="20"/>
          <w:lang w:bidi="el-GR"/>
        </w:rPr>
        <w:t xml:space="preserve">ως αποτέλεσμα της </w:t>
      </w:r>
      <w:r w:rsidR="008C475E" w:rsidRPr="00FD399D">
        <w:rPr>
          <w:rFonts w:ascii="Segoe UI" w:eastAsia="MS Mincho" w:hAnsi="Segoe UI" w:cs="Segoe UI"/>
          <w:sz w:val="20"/>
          <w:lang w:bidi="el-GR"/>
        </w:rPr>
        <w:t>σημαντική</w:t>
      </w:r>
      <w:r w:rsidR="00FA20F2" w:rsidRPr="00FD399D">
        <w:rPr>
          <w:rFonts w:ascii="Segoe UI" w:eastAsia="MS Mincho" w:hAnsi="Segoe UI" w:cs="Segoe UI"/>
          <w:sz w:val="20"/>
          <w:lang w:bidi="el-GR"/>
        </w:rPr>
        <w:t>ς</w:t>
      </w:r>
      <w:r w:rsidR="008C475E" w:rsidRPr="00FD399D">
        <w:rPr>
          <w:rFonts w:ascii="Segoe UI" w:eastAsia="MS Mincho" w:hAnsi="Segoe UI" w:cs="Segoe UI"/>
          <w:sz w:val="20"/>
          <w:lang w:bidi="el-GR"/>
        </w:rPr>
        <w:t xml:space="preserve"> αύξηση</w:t>
      </w:r>
      <w:r w:rsidR="00FA20F2" w:rsidRPr="00FD399D">
        <w:rPr>
          <w:rFonts w:ascii="Segoe UI" w:eastAsia="MS Mincho" w:hAnsi="Segoe UI" w:cs="Segoe UI"/>
          <w:sz w:val="20"/>
          <w:lang w:bidi="el-GR"/>
        </w:rPr>
        <w:t>ς</w:t>
      </w:r>
      <w:r w:rsidR="008C475E" w:rsidRPr="00FD399D">
        <w:rPr>
          <w:rFonts w:ascii="Segoe UI" w:eastAsia="MS Mincho" w:hAnsi="Segoe UI" w:cs="Segoe UI"/>
          <w:sz w:val="20"/>
          <w:lang w:bidi="el-GR"/>
        </w:rPr>
        <w:t xml:space="preserve"> των προμηθειών από </w:t>
      </w:r>
      <w:r w:rsidR="00E31A33" w:rsidRPr="00FD399D">
        <w:rPr>
          <w:rFonts w:ascii="Segoe UI" w:eastAsia="MS Mincho" w:hAnsi="Segoe UI" w:cs="Segoe UI"/>
          <w:sz w:val="20"/>
          <w:lang w:bidi="el-GR"/>
        </w:rPr>
        <w:t>τα ψηφιακά κανάλια</w:t>
      </w:r>
      <w:r w:rsidR="008C475E" w:rsidRPr="00FD399D">
        <w:rPr>
          <w:rFonts w:ascii="Segoe UI" w:eastAsia="MS Mincho" w:hAnsi="Segoe UI" w:cs="Segoe UI"/>
          <w:sz w:val="20"/>
          <w:lang w:bidi="el-GR"/>
        </w:rPr>
        <w:t xml:space="preserve"> </w:t>
      </w:r>
      <w:r w:rsidR="00955436" w:rsidRPr="00FD399D">
        <w:rPr>
          <w:rFonts w:ascii="Segoe UI" w:eastAsia="MS Mincho" w:hAnsi="Segoe UI" w:cs="Segoe UI"/>
          <w:sz w:val="20"/>
          <w:lang w:bidi="el-GR"/>
        </w:rPr>
        <w:t>(+</w:t>
      </w:r>
      <w:r w:rsidRPr="00FD399D">
        <w:rPr>
          <w:rFonts w:ascii="Segoe UI" w:eastAsia="MS Mincho" w:hAnsi="Segoe UI" w:cs="Segoe UI"/>
          <w:sz w:val="20"/>
          <w:lang w:bidi="el-GR"/>
        </w:rPr>
        <w:t>22</w:t>
      </w:r>
      <w:r w:rsidR="00071183">
        <w:rPr>
          <w:rFonts w:ascii="Segoe UI" w:eastAsia="MS Mincho" w:hAnsi="Segoe UI" w:cs="Segoe UI"/>
          <w:sz w:val="20"/>
          <w:lang w:bidi="el-GR"/>
        </w:rPr>
        <w:t>,</w:t>
      </w:r>
      <w:r w:rsidRPr="00FD399D">
        <w:rPr>
          <w:rFonts w:ascii="Segoe UI" w:eastAsia="MS Mincho" w:hAnsi="Segoe UI" w:cs="Segoe UI"/>
          <w:sz w:val="20"/>
          <w:lang w:bidi="el-GR"/>
        </w:rPr>
        <w:t>3</w:t>
      </w:r>
      <w:r w:rsidR="00955436" w:rsidRPr="00FD399D">
        <w:rPr>
          <w:rFonts w:ascii="Segoe UI" w:eastAsia="MS Mincho" w:hAnsi="Segoe UI" w:cs="Segoe UI"/>
          <w:sz w:val="20"/>
          <w:lang w:bidi="el-GR"/>
        </w:rPr>
        <w:t>%</w:t>
      </w:r>
      <w:r w:rsidR="00A02A20" w:rsidRPr="00A02A20">
        <w:t xml:space="preserve"> </w:t>
      </w:r>
      <w:r w:rsidR="00A02A20" w:rsidRPr="00A02A20">
        <w:rPr>
          <w:rFonts w:ascii="Segoe UI" w:eastAsia="MS Mincho" w:hAnsi="Segoe UI" w:cs="Segoe UI"/>
          <w:sz w:val="20"/>
          <w:lang w:bidi="el-GR"/>
        </w:rPr>
        <w:t>σε ετήσια βάση</w:t>
      </w:r>
      <w:r w:rsidR="00955436" w:rsidRPr="00FD399D">
        <w:rPr>
          <w:rFonts w:ascii="Segoe UI" w:eastAsia="MS Mincho" w:hAnsi="Segoe UI" w:cs="Segoe UI"/>
          <w:sz w:val="20"/>
          <w:lang w:bidi="el-GR"/>
        </w:rPr>
        <w:t>)</w:t>
      </w:r>
      <w:r w:rsidR="00580E9D" w:rsidRPr="00FD399D">
        <w:rPr>
          <w:rFonts w:ascii="Segoe UI" w:eastAsia="MS Mincho" w:hAnsi="Segoe UI" w:cs="Segoe UI"/>
          <w:sz w:val="20"/>
          <w:lang w:bidi="el-GR"/>
        </w:rPr>
        <w:t xml:space="preserve"> και</w:t>
      </w:r>
      <w:r w:rsidR="00F1316E" w:rsidRPr="00FD399D">
        <w:rPr>
          <w:rFonts w:ascii="Segoe UI" w:eastAsia="MS Mincho" w:hAnsi="Segoe UI" w:cs="Segoe UI"/>
          <w:sz w:val="20"/>
          <w:lang w:bidi="el-GR"/>
        </w:rPr>
        <w:t xml:space="preserve"> </w:t>
      </w:r>
      <w:r w:rsidR="009C5951" w:rsidRPr="00FD399D">
        <w:rPr>
          <w:rFonts w:ascii="Segoe UI" w:eastAsia="MS Mincho" w:hAnsi="Segoe UI" w:cs="Segoe UI"/>
          <w:sz w:val="20"/>
          <w:lang w:bidi="el-GR"/>
        </w:rPr>
        <w:t xml:space="preserve">τις </w:t>
      </w:r>
      <w:r w:rsidR="00F1316E" w:rsidRPr="00FD399D">
        <w:rPr>
          <w:rFonts w:ascii="Segoe UI" w:eastAsia="MS Mincho" w:hAnsi="Segoe UI" w:cs="Segoe UI"/>
          <w:sz w:val="20"/>
          <w:lang w:bidi="el-GR"/>
        </w:rPr>
        <w:t xml:space="preserve">υπηρεσίες διαμεσολάβησης </w:t>
      </w:r>
      <w:r w:rsidR="00955436" w:rsidRPr="00FD399D">
        <w:rPr>
          <w:rFonts w:ascii="Segoe UI" w:eastAsia="MS Mincho" w:hAnsi="Segoe UI" w:cs="Segoe UI"/>
          <w:sz w:val="20"/>
          <w:lang w:bidi="el-GR"/>
        </w:rPr>
        <w:t>(+</w:t>
      </w:r>
      <w:r w:rsidRPr="00FD399D">
        <w:rPr>
          <w:rFonts w:ascii="Segoe UI" w:eastAsia="MS Mincho" w:hAnsi="Segoe UI" w:cs="Segoe UI"/>
          <w:sz w:val="20"/>
          <w:lang w:bidi="el-GR"/>
        </w:rPr>
        <w:t>10</w:t>
      </w:r>
      <w:r w:rsidR="00071183">
        <w:rPr>
          <w:rFonts w:ascii="Segoe UI" w:eastAsia="MS Mincho" w:hAnsi="Segoe UI" w:cs="Segoe UI"/>
          <w:sz w:val="20"/>
          <w:lang w:bidi="el-GR"/>
        </w:rPr>
        <w:t>,</w:t>
      </w:r>
      <w:r w:rsidRPr="00FD399D">
        <w:rPr>
          <w:rFonts w:ascii="Segoe UI" w:eastAsia="MS Mincho" w:hAnsi="Segoe UI" w:cs="Segoe UI"/>
          <w:sz w:val="20"/>
          <w:lang w:bidi="el-GR"/>
        </w:rPr>
        <w:t>9</w:t>
      </w:r>
      <w:r w:rsidR="00955436" w:rsidRPr="00FD399D">
        <w:rPr>
          <w:rFonts w:ascii="Segoe UI" w:eastAsia="MS Mincho" w:hAnsi="Segoe UI" w:cs="Segoe UI"/>
          <w:sz w:val="20"/>
          <w:lang w:bidi="el-GR"/>
        </w:rPr>
        <w:t>% σε ετήσια βάση)</w:t>
      </w:r>
      <w:r w:rsidRPr="00FD399D">
        <w:rPr>
          <w:rFonts w:ascii="Segoe UI" w:eastAsia="MS Mincho" w:hAnsi="Segoe UI" w:cs="Segoe UI"/>
          <w:sz w:val="20"/>
          <w:lang w:bidi="el-GR"/>
        </w:rPr>
        <w:t xml:space="preserve">, καθώς και </w:t>
      </w:r>
      <w:r w:rsidR="00FD1397">
        <w:rPr>
          <w:rFonts w:ascii="Segoe UI" w:eastAsia="MS Mincho" w:hAnsi="Segoe UI" w:cs="Segoe UI"/>
          <w:sz w:val="20"/>
          <w:lang w:bidi="el-GR"/>
        </w:rPr>
        <w:t xml:space="preserve">της εντυπωσιακής ενίσχυσης των προμηθειών </w:t>
      </w:r>
      <w:r w:rsidR="009A1D11">
        <w:rPr>
          <w:rFonts w:ascii="Segoe UI" w:eastAsia="MS Mincho" w:hAnsi="Segoe UI" w:cs="Segoe UI"/>
          <w:sz w:val="20"/>
          <w:lang w:bidi="el-GR"/>
        </w:rPr>
        <w:t xml:space="preserve">από δάνεια </w:t>
      </w:r>
      <w:r w:rsidR="00FD1397">
        <w:rPr>
          <w:rFonts w:ascii="Segoe UI" w:eastAsia="MS Mincho" w:hAnsi="Segoe UI" w:cs="Segoe UI"/>
          <w:sz w:val="20"/>
          <w:lang w:bidi="el-GR"/>
        </w:rPr>
        <w:t>Εταιρικής Τραπεζικής (+5</w:t>
      </w:r>
      <w:r w:rsidR="00FD1397" w:rsidRPr="00FD1397">
        <w:rPr>
          <w:rFonts w:ascii="Segoe UI" w:eastAsia="MS Mincho" w:hAnsi="Segoe UI" w:cs="Segoe UI"/>
          <w:sz w:val="20"/>
          <w:lang w:bidi="el-GR"/>
        </w:rPr>
        <w:t>9</w:t>
      </w:r>
      <w:r w:rsidR="00FD1397">
        <w:rPr>
          <w:rFonts w:ascii="Segoe UI" w:eastAsia="MS Mincho" w:hAnsi="Segoe UI" w:cs="Segoe UI"/>
          <w:sz w:val="20"/>
          <w:lang w:bidi="el-GR"/>
        </w:rPr>
        <w:t>,0</w:t>
      </w:r>
      <w:r w:rsidR="00FD1397" w:rsidRPr="00FD1397">
        <w:rPr>
          <w:rFonts w:ascii="Segoe UI" w:eastAsia="MS Mincho" w:hAnsi="Segoe UI" w:cs="Segoe UI"/>
          <w:sz w:val="20"/>
          <w:lang w:bidi="el-GR"/>
        </w:rPr>
        <w:t>% σε ετήσια βάση</w:t>
      </w:r>
      <w:r w:rsidR="00FD1397">
        <w:rPr>
          <w:rFonts w:ascii="Segoe UI" w:eastAsia="MS Mincho" w:hAnsi="Segoe UI" w:cs="Segoe UI"/>
          <w:sz w:val="20"/>
          <w:lang w:bidi="el-GR"/>
        </w:rPr>
        <w:t>)</w:t>
      </w:r>
      <w:r w:rsidR="00B40666" w:rsidRPr="00FD399D">
        <w:rPr>
          <w:rFonts w:ascii="Segoe UI" w:eastAsia="MS Mincho" w:hAnsi="Segoe UI" w:cs="Segoe UI"/>
          <w:sz w:val="20"/>
          <w:lang w:bidi="el-GR"/>
        </w:rPr>
        <w:t>.</w:t>
      </w:r>
      <w:r w:rsidR="00187DE9" w:rsidRPr="00FD399D">
        <w:rPr>
          <w:rFonts w:ascii="Segoe UI" w:eastAsia="MS Mincho" w:hAnsi="Segoe UI" w:cs="Segoe UI"/>
          <w:sz w:val="20"/>
          <w:lang w:bidi="el-GR"/>
        </w:rPr>
        <w:t xml:space="preserve"> </w:t>
      </w:r>
      <w:r w:rsidR="007915DE">
        <w:rPr>
          <w:rFonts w:ascii="Segoe UI" w:eastAsia="MS Mincho" w:hAnsi="Segoe UI" w:cs="Segoe UI"/>
          <w:sz w:val="20"/>
          <w:lang w:bidi="el-GR"/>
        </w:rPr>
        <w:t xml:space="preserve">Σε επίπεδο τριμήνου, τα </w:t>
      </w:r>
      <w:r w:rsidR="007915DE" w:rsidRPr="007915DE">
        <w:rPr>
          <w:rFonts w:ascii="Segoe UI" w:eastAsia="MS Mincho" w:hAnsi="Segoe UI" w:cs="Segoe UI"/>
          <w:sz w:val="20"/>
          <w:lang w:bidi="el-GR"/>
        </w:rPr>
        <w:t>καθαρά έσοδα από προμήθειες</w:t>
      </w:r>
      <w:r w:rsidR="007915DE">
        <w:rPr>
          <w:rFonts w:ascii="Segoe UI" w:eastAsia="MS Mincho" w:hAnsi="Segoe UI" w:cs="Segoe UI"/>
          <w:sz w:val="20"/>
          <w:lang w:bidi="el-GR"/>
        </w:rPr>
        <w:t xml:space="preserve"> </w:t>
      </w:r>
      <w:r w:rsidR="00CE4918">
        <w:rPr>
          <w:rFonts w:ascii="Segoe UI" w:eastAsia="MS Mincho" w:hAnsi="Segoe UI" w:cs="Segoe UI"/>
          <w:sz w:val="20"/>
          <w:lang w:bidi="el-GR"/>
        </w:rPr>
        <w:t xml:space="preserve">ανήλθαν κατά 4,1% σε </w:t>
      </w:r>
      <w:r w:rsidR="000B176A">
        <w:rPr>
          <w:rFonts w:ascii="Segoe UI" w:eastAsia="MS Mincho" w:hAnsi="Segoe UI" w:cs="Segoe UI"/>
          <w:sz w:val="20"/>
          <w:lang w:bidi="el-GR"/>
        </w:rPr>
        <w:t>τριμηνιαία βάση</w:t>
      </w:r>
      <w:r w:rsidR="00CE4918">
        <w:rPr>
          <w:rFonts w:ascii="Segoe UI" w:eastAsia="MS Mincho" w:hAnsi="Segoe UI" w:cs="Segoe UI"/>
          <w:sz w:val="20"/>
          <w:lang w:bidi="el-GR"/>
        </w:rPr>
        <w:t xml:space="preserve">, αντανακλώντας τις ισχυρές χορηγήσεις επιχειρηματικών δανείων. </w:t>
      </w:r>
    </w:p>
    <w:p w:rsidR="007670E1" w:rsidRPr="00CC7739" w:rsidRDefault="00DA1C9E" w:rsidP="00E55AED">
      <w:pPr>
        <w:autoSpaceDE w:val="0"/>
        <w:autoSpaceDN w:val="0"/>
        <w:adjustRightInd w:val="0"/>
        <w:spacing w:after="160" w:line="320" w:lineRule="atLeast"/>
        <w:jc w:val="both"/>
        <w:rPr>
          <w:rFonts w:ascii="Segoe UI" w:hAnsi="Segoe UI" w:cs="Segoe UI"/>
          <w:sz w:val="20"/>
        </w:rPr>
      </w:pPr>
      <w:r w:rsidRPr="00CC7739">
        <w:rPr>
          <w:rFonts w:ascii="Segoe UI" w:hAnsi="Segoe UI" w:cs="Segoe UI"/>
          <w:sz w:val="20"/>
        </w:rPr>
        <w:t xml:space="preserve">Τα </w:t>
      </w:r>
      <w:r w:rsidRPr="00CC7739">
        <w:rPr>
          <w:rFonts w:ascii="Segoe UI" w:hAnsi="Segoe UI" w:cs="Segoe UI"/>
          <w:b/>
          <w:sz w:val="20"/>
        </w:rPr>
        <w:t>κέρδη από χρηματοοικονομικές πράξεις</w:t>
      </w:r>
      <w:r w:rsidRPr="00CC7739">
        <w:rPr>
          <w:rFonts w:ascii="Segoe UI" w:hAnsi="Segoe UI" w:cs="Segoe UI"/>
          <w:sz w:val="20"/>
        </w:rPr>
        <w:t xml:space="preserve"> </w:t>
      </w:r>
      <w:r w:rsidR="00535632" w:rsidRPr="00CC7739">
        <w:rPr>
          <w:rFonts w:ascii="Segoe UI" w:hAnsi="Segoe UI" w:cs="Segoe UI"/>
          <w:b/>
          <w:sz w:val="20"/>
        </w:rPr>
        <w:t>και λοιπά έσοδα</w:t>
      </w:r>
      <w:r w:rsidR="00535632" w:rsidRPr="00CC7739">
        <w:rPr>
          <w:rFonts w:ascii="Segoe UI" w:hAnsi="Segoe UI" w:cs="Segoe UI"/>
          <w:sz w:val="20"/>
        </w:rPr>
        <w:t xml:space="preserve"> </w:t>
      </w:r>
      <w:r w:rsidRPr="00CC7739">
        <w:rPr>
          <w:rFonts w:ascii="Segoe UI" w:hAnsi="Segoe UI" w:cs="Segoe UI"/>
          <w:sz w:val="20"/>
        </w:rPr>
        <w:t>διαμορφώθηκαν σε €</w:t>
      </w:r>
      <w:r w:rsidR="001172A0" w:rsidRPr="00CC7739">
        <w:rPr>
          <w:rFonts w:ascii="Segoe UI" w:hAnsi="Segoe UI" w:cs="Segoe UI"/>
          <w:sz w:val="20"/>
        </w:rPr>
        <w:t>4</w:t>
      </w:r>
      <w:r w:rsidR="00CC7739" w:rsidRPr="00CC7739">
        <w:rPr>
          <w:rFonts w:ascii="Segoe UI" w:hAnsi="Segoe UI" w:cs="Segoe UI"/>
          <w:sz w:val="20"/>
        </w:rPr>
        <w:t>48</w:t>
      </w:r>
      <w:r w:rsidRPr="00CC7739">
        <w:rPr>
          <w:rFonts w:ascii="Segoe UI" w:hAnsi="Segoe UI" w:cs="Segoe UI"/>
          <w:sz w:val="20"/>
        </w:rPr>
        <w:t xml:space="preserve"> εκατ. το </w:t>
      </w:r>
      <w:r w:rsidR="001172A0" w:rsidRPr="00CC7739">
        <w:rPr>
          <w:rFonts w:ascii="Segoe UI" w:hAnsi="Segoe UI" w:cs="Segoe UI"/>
          <w:sz w:val="20"/>
        </w:rPr>
        <w:t>Α</w:t>
      </w:r>
      <w:r w:rsidRPr="00CC7739">
        <w:rPr>
          <w:rFonts w:ascii="Segoe UI" w:hAnsi="Segoe UI" w:cs="Segoe UI"/>
          <w:sz w:val="20"/>
        </w:rPr>
        <w:t xml:space="preserve">’ </w:t>
      </w:r>
      <w:r w:rsidR="00CC7739" w:rsidRPr="00CC7739">
        <w:rPr>
          <w:rFonts w:ascii="Segoe UI" w:hAnsi="Segoe UI" w:cs="Segoe UI"/>
          <w:sz w:val="20"/>
        </w:rPr>
        <w:t>εξάμηνο</w:t>
      </w:r>
      <w:r w:rsidRPr="00CC7739">
        <w:rPr>
          <w:rFonts w:ascii="Segoe UI" w:hAnsi="Segoe UI" w:cs="Segoe UI"/>
          <w:sz w:val="20"/>
        </w:rPr>
        <w:t xml:space="preserve"> 202</w:t>
      </w:r>
      <w:r w:rsidR="001172A0" w:rsidRPr="00CC7739">
        <w:rPr>
          <w:rFonts w:ascii="Segoe UI" w:hAnsi="Segoe UI" w:cs="Segoe UI"/>
          <w:sz w:val="20"/>
        </w:rPr>
        <w:t>1</w:t>
      </w:r>
      <w:r w:rsidR="00B02463" w:rsidRPr="00CC7739">
        <w:rPr>
          <w:rFonts w:ascii="Segoe UI" w:hAnsi="Segoe UI" w:cs="Segoe UI"/>
          <w:sz w:val="20"/>
        </w:rPr>
        <w:t xml:space="preserve">, επωφελούμενα από μη επαναλαμβανόμενα κέρδη σχετιζόμενα με την </w:t>
      </w:r>
      <w:r w:rsidR="006458BD" w:rsidRPr="00CC7739">
        <w:rPr>
          <w:rFonts w:ascii="Segoe UI" w:hAnsi="Segoe UI" w:cs="Segoe UI"/>
          <w:sz w:val="20"/>
        </w:rPr>
        <w:t xml:space="preserve">ανταλλαγή υφιστάμενων ΟΕΔ </w:t>
      </w:r>
      <w:r w:rsidR="00FD1AE2" w:rsidRPr="00CC7739">
        <w:rPr>
          <w:rFonts w:ascii="Segoe UI" w:hAnsi="Segoe UI" w:cs="Segoe UI"/>
          <w:sz w:val="20"/>
        </w:rPr>
        <w:t>ύψους €209 εκατ.</w:t>
      </w:r>
      <w:r w:rsidR="001F42CA" w:rsidRPr="00CC7739">
        <w:rPr>
          <w:rFonts w:ascii="Segoe UI" w:hAnsi="Segoe UI" w:cs="Segoe UI"/>
          <w:sz w:val="20"/>
        </w:rPr>
        <w:t xml:space="preserve">, καθώς και </w:t>
      </w:r>
      <w:r w:rsidR="006458BD" w:rsidRPr="00CC7739">
        <w:rPr>
          <w:rFonts w:ascii="Segoe UI" w:hAnsi="Segoe UI" w:cs="Segoe UI"/>
          <w:sz w:val="20"/>
        </w:rPr>
        <w:t xml:space="preserve">την πώληση </w:t>
      </w:r>
      <w:r w:rsidR="00FD1AE2" w:rsidRPr="00CC7739">
        <w:rPr>
          <w:rFonts w:ascii="Segoe UI" w:hAnsi="Segoe UI" w:cs="Segoe UI"/>
          <w:sz w:val="20"/>
        </w:rPr>
        <w:t>χρεογράφων (</w:t>
      </w:r>
      <w:r w:rsidR="001172A0" w:rsidRPr="00CC7739">
        <w:rPr>
          <w:rFonts w:ascii="Segoe UI" w:hAnsi="Segoe UI" w:cs="Segoe UI"/>
          <w:sz w:val="20"/>
        </w:rPr>
        <w:t>κυρίως ΟΕΔ</w:t>
      </w:r>
      <w:r w:rsidR="00FD1AE2" w:rsidRPr="00CC7739">
        <w:rPr>
          <w:rFonts w:ascii="Segoe UI" w:hAnsi="Segoe UI" w:cs="Segoe UI"/>
          <w:sz w:val="20"/>
        </w:rPr>
        <w:t>)</w:t>
      </w:r>
      <w:r w:rsidR="00CC7739" w:rsidRPr="00CC7739">
        <w:rPr>
          <w:rFonts w:ascii="Segoe UI" w:hAnsi="Segoe UI" w:cs="Segoe UI"/>
          <w:sz w:val="20"/>
        </w:rPr>
        <w:t xml:space="preserve"> </w:t>
      </w:r>
      <w:r w:rsidR="00D277B0" w:rsidRPr="00CC7739">
        <w:rPr>
          <w:rFonts w:ascii="Segoe UI" w:hAnsi="Segoe UI" w:cs="Segoe UI"/>
          <w:sz w:val="20"/>
        </w:rPr>
        <w:t xml:space="preserve">και το κλείσιμο </w:t>
      </w:r>
      <w:r w:rsidR="00A443AF" w:rsidRPr="00CC7739">
        <w:rPr>
          <w:rFonts w:ascii="Segoe UI" w:hAnsi="Segoe UI" w:cs="Segoe UI"/>
          <w:sz w:val="20"/>
        </w:rPr>
        <w:t xml:space="preserve">θέσεων σε παράγωγα προϊόντα </w:t>
      </w:r>
      <w:r w:rsidR="00E9428F" w:rsidRPr="00CC7739">
        <w:rPr>
          <w:rFonts w:ascii="Segoe UI" w:hAnsi="Segoe UI" w:cs="Segoe UI"/>
          <w:sz w:val="20"/>
        </w:rPr>
        <w:t xml:space="preserve">συνολικού </w:t>
      </w:r>
      <w:r w:rsidR="00A443AF" w:rsidRPr="00CC7739">
        <w:rPr>
          <w:rFonts w:ascii="Segoe UI" w:hAnsi="Segoe UI" w:cs="Segoe UI"/>
          <w:sz w:val="20"/>
        </w:rPr>
        <w:t>ύψους €286</w:t>
      </w:r>
      <w:r w:rsidR="00FD1AE2" w:rsidRPr="00CC7739">
        <w:rPr>
          <w:rFonts w:ascii="Segoe UI" w:hAnsi="Segoe UI" w:cs="Segoe UI"/>
          <w:sz w:val="20"/>
        </w:rPr>
        <w:t xml:space="preserve"> εκατ</w:t>
      </w:r>
      <w:r w:rsidR="009C34DE" w:rsidRPr="00CC7739">
        <w:rPr>
          <w:rFonts w:ascii="Segoe UI" w:hAnsi="Segoe UI" w:cs="Segoe UI"/>
          <w:sz w:val="20"/>
        </w:rPr>
        <w:t>.</w:t>
      </w:r>
      <w:r w:rsidR="00BB7E4C" w:rsidRPr="00BB7E4C">
        <w:rPr>
          <w:rFonts w:ascii="Segoe UI" w:hAnsi="Segoe UI" w:cs="Segoe UI"/>
          <w:sz w:val="20"/>
        </w:rPr>
        <w:t>.</w:t>
      </w:r>
      <w:r w:rsidR="00ED6EBE" w:rsidRPr="00CC7739">
        <w:rPr>
          <w:rFonts w:ascii="Segoe UI" w:hAnsi="Segoe UI" w:cs="Segoe UI"/>
          <w:sz w:val="20"/>
        </w:rPr>
        <w:t xml:space="preserve"> </w:t>
      </w:r>
    </w:p>
    <w:p w:rsidR="00BF7C61" w:rsidRPr="007A243F" w:rsidRDefault="00714756" w:rsidP="008327D8">
      <w:pPr>
        <w:autoSpaceDE w:val="0"/>
        <w:autoSpaceDN w:val="0"/>
        <w:adjustRightInd w:val="0"/>
        <w:spacing w:after="160" w:line="320" w:lineRule="atLeast"/>
        <w:jc w:val="both"/>
        <w:rPr>
          <w:rFonts w:ascii="Segoe UI" w:hAnsi="Segoe UI" w:cs="Segoe UI"/>
          <w:sz w:val="20"/>
        </w:rPr>
      </w:pPr>
      <w:r w:rsidRPr="007A243F">
        <w:rPr>
          <w:rFonts w:ascii="Segoe UI" w:hAnsi="Segoe UI" w:cs="Segoe UI"/>
          <w:sz w:val="20"/>
        </w:rPr>
        <w:t xml:space="preserve">Οι </w:t>
      </w:r>
      <w:r w:rsidRPr="007A243F">
        <w:rPr>
          <w:rFonts w:ascii="Segoe UI" w:hAnsi="Segoe UI" w:cs="Segoe UI"/>
          <w:b/>
          <w:sz w:val="20"/>
        </w:rPr>
        <w:t>λειτουργικές δαπάνες</w:t>
      </w:r>
      <w:r w:rsidRPr="007A243F">
        <w:rPr>
          <w:rFonts w:ascii="Segoe UI" w:hAnsi="Segoe UI" w:cs="Segoe UI"/>
          <w:sz w:val="20"/>
        </w:rPr>
        <w:t xml:space="preserve"> </w:t>
      </w:r>
      <w:r w:rsidR="00EC0B47" w:rsidRPr="007A243F">
        <w:rPr>
          <w:rFonts w:ascii="Segoe UI" w:hAnsi="Segoe UI" w:cs="Segoe UI"/>
          <w:sz w:val="20"/>
        </w:rPr>
        <w:t>μειώ</w:t>
      </w:r>
      <w:r w:rsidR="00286FD9" w:rsidRPr="007A243F">
        <w:rPr>
          <w:rFonts w:ascii="Segoe UI" w:hAnsi="Segoe UI" w:cs="Segoe UI"/>
          <w:sz w:val="20"/>
        </w:rPr>
        <w:t xml:space="preserve">θηκαν κατά </w:t>
      </w:r>
      <w:r w:rsidR="007A243F" w:rsidRPr="007A243F">
        <w:rPr>
          <w:rFonts w:ascii="Segoe UI" w:hAnsi="Segoe UI" w:cs="Segoe UI"/>
          <w:sz w:val="20"/>
        </w:rPr>
        <w:t>7,8</w:t>
      </w:r>
      <w:r w:rsidR="00286FD9" w:rsidRPr="007A243F">
        <w:rPr>
          <w:rFonts w:ascii="Segoe UI" w:hAnsi="Segoe UI" w:cs="Segoe UI"/>
          <w:sz w:val="20"/>
        </w:rPr>
        <w:t xml:space="preserve">% σε </w:t>
      </w:r>
      <w:r w:rsidR="00700AF6" w:rsidRPr="007A243F">
        <w:rPr>
          <w:rFonts w:ascii="Segoe UI" w:hAnsi="Segoe UI" w:cs="Segoe UI"/>
          <w:sz w:val="20"/>
        </w:rPr>
        <w:t>ετήσια</w:t>
      </w:r>
      <w:r w:rsidR="00DA5511" w:rsidRPr="007A243F">
        <w:rPr>
          <w:rFonts w:ascii="Segoe UI" w:hAnsi="Segoe UI" w:cs="Segoe UI"/>
          <w:sz w:val="20"/>
        </w:rPr>
        <w:t xml:space="preserve"> βάση</w:t>
      </w:r>
      <w:r w:rsidR="00CB3664" w:rsidRPr="007A243F">
        <w:rPr>
          <w:rFonts w:ascii="Segoe UI" w:hAnsi="Segoe UI" w:cs="Segoe UI"/>
          <w:sz w:val="20"/>
        </w:rPr>
        <w:t>,</w:t>
      </w:r>
      <w:r w:rsidRPr="007A243F">
        <w:rPr>
          <w:rFonts w:ascii="Segoe UI" w:hAnsi="Segoe UI" w:cs="Segoe UI"/>
          <w:sz w:val="20"/>
        </w:rPr>
        <w:t xml:space="preserve"> σε </w:t>
      </w:r>
      <w:r w:rsidR="002A1B45" w:rsidRPr="007A243F">
        <w:rPr>
          <w:rFonts w:ascii="Segoe UI" w:hAnsi="Segoe UI" w:cs="Segoe UI"/>
          <w:sz w:val="20"/>
        </w:rPr>
        <w:t>€</w:t>
      </w:r>
      <w:r w:rsidR="007A243F" w:rsidRPr="007A243F">
        <w:rPr>
          <w:rFonts w:ascii="Segoe UI" w:hAnsi="Segoe UI" w:cs="Segoe UI"/>
          <w:sz w:val="20"/>
        </w:rPr>
        <w:t>353</w:t>
      </w:r>
      <w:r w:rsidR="002A1B45" w:rsidRPr="007A243F">
        <w:rPr>
          <w:rFonts w:ascii="Segoe UI" w:hAnsi="Segoe UI" w:cs="Segoe UI"/>
          <w:sz w:val="20"/>
        </w:rPr>
        <w:t xml:space="preserve"> εκατ. το </w:t>
      </w:r>
      <w:r w:rsidR="000471C0" w:rsidRPr="007A243F">
        <w:rPr>
          <w:rFonts w:ascii="Segoe UI" w:hAnsi="Segoe UI" w:cs="Segoe UI"/>
          <w:sz w:val="20"/>
        </w:rPr>
        <w:t>Α</w:t>
      </w:r>
      <w:r w:rsidR="002A1B45" w:rsidRPr="007A243F">
        <w:rPr>
          <w:rFonts w:ascii="Segoe UI" w:hAnsi="Segoe UI" w:cs="Segoe UI"/>
          <w:sz w:val="20"/>
        </w:rPr>
        <w:t xml:space="preserve">’ </w:t>
      </w:r>
      <w:r w:rsidR="007A243F" w:rsidRPr="007A243F">
        <w:rPr>
          <w:rFonts w:ascii="Segoe UI" w:hAnsi="Segoe UI" w:cs="Segoe UI"/>
          <w:sz w:val="20"/>
        </w:rPr>
        <w:t xml:space="preserve">εξάμηνο </w:t>
      </w:r>
      <w:r w:rsidR="002A1B45" w:rsidRPr="007A243F">
        <w:rPr>
          <w:rFonts w:ascii="Segoe UI" w:hAnsi="Segoe UI" w:cs="Segoe UI"/>
          <w:sz w:val="20"/>
        </w:rPr>
        <w:t>202</w:t>
      </w:r>
      <w:r w:rsidR="000471C0" w:rsidRPr="007A243F">
        <w:rPr>
          <w:rFonts w:ascii="Segoe UI" w:hAnsi="Segoe UI" w:cs="Segoe UI"/>
          <w:sz w:val="20"/>
        </w:rPr>
        <w:t>1</w:t>
      </w:r>
      <w:r w:rsidR="00286FD9" w:rsidRPr="007A243F">
        <w:rPr>
          <w:rFonts w:ascii="Segoe UI" w:hAnsi="Segoe UI" w:cs="Segoe UI"/>
          <w:sz w:val="20"/>
        </w:rPr>
        <w:t>,</w:t>
      </w:r>
      <w:r w:rsidR="000471C0" w:rsidRPr="007A243F">
        <w:rPr>
          <w:rFonts w:ascii="Segoe UI" w:hAnsi="Segoe UI" w:cs="Segoe UI"/>
          <w:sz w:val="20"/>
        </w:rPr>
        <w:t xml:space="preserve"> </w:t>
      </w:r>
      <w:r w:rsidR="00B51915">
        <w:rPr>
          <w:rFonts w:ascii="Segoe UI" w:hAnsi="Segoe UI" w:cs="Segoe UI"/>
          <w:sz w:val="20"/>
        </w:rPr>
        <w:t xml:space="preserve">ως αποτέλεσμα </w:t>
      </w:r>
      <w:r w:rsidR="000471C0" w:rsidRPr="007A243F">
        <w:rPr>
          <w:rFonts w:ascii="Segoe UI" w:hAnsi="Segoe UI" w:cs="Segoe UI"/>
          <w:sz w:val="20"/>
        </w:rPr>
        <w:t>τη</w:t>
      </w:r>
      <w:r w:rsidR="00B51915">
        <w:rPr>
          <w:rFonts w:ascii="Segoe UI" w:hAnsi="Segoe UI" w:cs="Segoe UI"/>
          <w:sz w:val="20"/>
        </w:rPr>
        <w:t>ς</w:t>
      </w:r>
      <w:r w:rsidR="000471C0" w:rsidRPr="007A243F">
        <w:rPr>
          <w:rFonts w:ascii="Segoe UI" w:hAnsi="Segoe UI" w:cs="Segoe UI"/>
          <w:sz w:val="20"/>
        </w:rPr>
        <w:t xml:space="preserve"> </w:t>
      </w:r>
      <w:r w:rsidR="00551DE0" w:rsidRPr="007A243F">
        <w:rPr>
          <w:rFonts w:ascii="Segoe UI" w:hAnsi="Segoe UI" w:cs="Segoe UI"/>
          <w:sz w:val="20"/>
        </w:rPr>
        <w:t>εντυπωσιακή</w:t>
      </w:r>
      <w:r w:rsidR="00B51915">
        <w:rPr>
          <w:rFonts w:ascii="Segoe UI" w:hAnsi="Segoe UI" w:cs="Segoe UI"/>
          <w:sz w:val="20"/>
        </w:rPr>
        <w:t>ς</w:t>
      </w:r>
      <w:r w:rsidR="00551DE0" w:rsidRPr="007A243F">
        <w:rPr>
          <w:rFonts w:ascii="Segoe UI" w:hAnsi="Segoe UI" w:cs="Segoe UI"/>
          <w:sz w:val="20"/>
        </w:rPr>
        <w:t xml:space="preserve"> </w:t>
      </w:r>
      <w:r w:rsidR="00773C9A" w:rsidRPr="007A243F">
        <w:rPr>
          <w:rFonts w:ascii="Segoe UI" w:hAnsi="Segoe UI" w:cs="Segoe UI"/>
          <w:sz w:val="20"/>
        </w:rPr>
        <w:t>μείωση</w:t>
      </w:r>
      <w:r w:rsidR="00B51915">
        <w:rPr>
          <w:rFonts w:ascii="Segoe UI" w:hAnsi="Segoe UI" w:cs="Segoe UI"/>
          <w:sz w:val="20"/>
        </w:rPr>
        <w:t>ς</w:t>
      </w:r>
      <w:r w:rsidR="00773C9A" w:rsidRPr="007A243F">
        <w:rPr>
          <w:rFonts w:ascii="Segoe UI" w:hAnsi="Segoe UI" w:cs="Segoe UI"/>
          <w:sz w:val="20"/>
        </w:rPr>
        <w:t xml:space="preserve"> τ</w:t>
      </w:r>
      <w:r w:rsidR="002C73BA" w:rsidRPr="007A243F">
        <w:rPr>
          <w:rFonts w:ascii="Segoe UI" w:hAnsi="Segoe UI" w:cs="Segoe UI"/>
          <w:sz w:val="20"/>
        </w:rPr>
        <w:t>ων δαπανών προσωπικού (-</w:t>
      </w:r>
      <w:r w:rsidR="007A243F">
        <w:rPr>
          <w:rFonts w:ascii="Segoe UI" w:hAnsi="Segoe UI" w:cs="Segoe UI"/>
          <w:sz w:val="20"/>
        </w:rPr>
        <w:t>15</w:t>
      </w:r>
      <w:r w:rsidR="000471C0" w:rsidRPr="007A243F">
        <w:rPr>
          <w:rFonts w:ascii="Segoe UI" w:hAnsi="Segoe UI" w:cs="Segoe UI"/>
          <w:sz w:val="20"/>
        </w:rPr>
        <w:t>,</w:t>
      </w:r>
      <w:r w:rsidR="007A243F">
        <w:rPr>
          <w:rFonts w:ascii="Segoe UI" w:hAnsi="Segoe UI" w:cs="Segoe UI"/>
          <w:sz w:val="20"/>
        </w:rPr>
        <w:t>2</w:t>
      </w:r>
      <w:r w:rsidR="002C73BA" w:rsidRPr="007A243F">
        <w:rPr>
          <w:rFonts w:ascii="Segoe UI" w:hAnsi="Segoe UI" w:cs="Segoe UI"/>
          <w:sz w:val="20"/>
        </w:rPr>
        <w:t xml:space="preserve">% σε </w:t>
      </w:r>
      <w:r w:rsidR="00DA5511" w:rsidRPr="007A243F">
        <w:rPr>
          <w:rFonts w:ascii="Segoe UI" w:hAnsi="Segoe UI" w:cs="Segoe UI"/>
          <w:sz w:val="20"/>
        </w:rPr>
        <w:t xml:space="preserve">ετήσια </w:t>
      </w:r>
      <w:r w:rsidR="00242067" w:rsidRPr="007A243F">
        <w:rPr>
          <w:rFonts w:ascii="Segoe UI" w:hAnsi="Segoe UI" w:cs="Segoe UI"/>
          <w:sz w:val="20"/>
        </w:rPr>
        <w:t>βάση)</w:t>
      </w:r>
      <w:r w:rsidR="00B51915">
        <w:rPr>
          <w:rFonts w:ascii="Segoe UI" w:hAnsi="Segoe UI" w:cs="Segoe UI"/>
          <w:sz w:val="20"/>
        </w:rPr>
        <w:t xml:space="preserve">. Η τελευταία </w:t>
      </w:r>
      <w:r w:rsidR="00B51915" w:rsidRPr="00B51915">
        <w:rPr>
          <w:rFonts w:ascii="Segoe UI" w:hAnsi="Segoe UI" w:cs="Segoe UI"/>
          <w:sz w:val="20"/>
        </w:rPr>
        <w:t>αποτυπών</w:t>
      </w:r>
      <w:r w:rsidR="008128E5">
        <w:rPr>
          <w:rFonts w:ascii="Segoe UI" w:hAnsi="Segoe UI" w:cs="Segoe UI"/>
          <w:sz w:val="20"/>
        </w:rPr>
        <w:t>ει</w:t>
      </w:r>
      <w:r w:rsidR="00B51915" w:rsidRPr="00B51915">
        <w:rPr>
          <w:rFonts w:ascii="Segoe UI" w:hAnsi="Segoe UI" w:cs="Segoe UI"/>
          <w:sz w:val="20"/>
        </w:rPr>
        <w:t xml:space="preserve"> </w:t>
      </w:r>
      <w:r w:rsidR="00B51915">
        <w:rPr>
          <w:rFonts w:ascii="Segoe UI" w:hAnsi="Segoe UI" w:cs="Segoe UI"/>
          <w:sz w:val="20"/>
        </w:rPr>
        <w:t xml:space="preserve">το όφελος </w:t>
      </w:r>
      <w:r w:rsidR="00832C25" w:rsidRPr="007A243F">
        <w:rPr>
          <w:rFonts w:ascii="Segoe UI" w:hAnsi="Segoe UI" w:cs="Segoe UI"/>
          <w:sz w:val="20"/>
        </w:rPr>
        <w:t xml:space="preserve">των Προγραμμάτων Εθελουσίας Εξόδου Προσωπικού </w:t>
      </w:r>
      <w:r w:rsidR="001113DC" w:rsidRPr="007A243F">
        <w:rPr>
          <w:rFonts w:ascii="Segoe UI" w:hAnsi="Segoe UI" w:cs="Segoe UI"/>
          <w:sz w:val="20"/>
        </w:rPr>
        <w:t>του</w:t>
      </w:r>
      <w:r w:rsidR="00377F86" w:rsidRPr="007A243F">
        <w:rPr>
          <w:rFonts w:ascii="Segoe UI" w:hAnsi="Segoe UI" w:cs="Segoe UI"/>
          <w:sz w:val="20"/>
        </w:rPr>
        <w:t xml:space="preserve"> </w:t>
      </w:r>
      <w:r w:rsidR="00832C25" w:rsidRPr="007A243F">
        <w:rPr>
          <w:rFonts w:ascii="Segoe UI" w:hAnsi="Segoe UI" w:cs="Segoe UI"/>
          <w:sz w:val="20"/>
        </w:rPr>
        <w:t xml:space="preserve">2019 και </w:t>
      </w:r>
      <w:r w:rsidR="001113DC" w:rsidRPr="007A243F">
        <w:rPr>
          <w:rFonts w:ascii="Segoe UI" w:hAnsi="Segoe UI" w:cs="Segoe UI"/>
          <w:sz w:val="20"/>
        </w:rPr>
        <w:t xml:space="preserve">του </w:t>
      </w:r>
      <w:r w:rsidR="00832C25" w:rsidRPr="007A243F">
        <w:rPr>
          <w:rFonts w:ascii="Segoe UI" w:hAnsi="Segoe UI" w:cs="Segoe UI"/>
          <w:sz w:val="20"/>
        </w:rPr>
        <w:t>2020</w:t>
      </w:r>
      <w:r w:rsidR="0023622E" w:rsidRPr="007A243F">
        <w:rPr>
          <w:rFonts w:ascii="Segoe UI" w:hAnsi="Segoe UI" w:cs="Segoe UI"/>
          <w:sz w:val="20"/>
        </w:rPr>
        <w:t xml:space="preserve"> που οδήγησαν στη σταδιακή μείωση του </w:t>
      </w:r>
      <w:r w:rsidR="00832C25" w:rsidRPr="007A243F">
        <w:rPr>
          <w:rFonts w:ascii="Segoe UI" w:hAnsi="Segoe UI" w:cs="Segoe UI"/>
          <w:sz w:val="20"/>
        </w:rPr>
        <w:t>αριθμ</w:t>
      </w:r>
      <w:r w:rsidR="0023622E" w:rsidRPr="007A243F">
        <w:rPr>
          <w:rFonts w:ascii="Segoe UI" w:hAnsi="Segoe UI" w:cs="Segoe UI"/>
          <w:sz w:val="20"/>
        </w:rPr>
        <w:t>ού των ε</w:t>
      </w:r>
      <w:r w:rsidR="00832C25" w:rsidRPr="007A243F">
        <w:rPr>
          <w:rFonts w:ascii="Segoe UI" w:hAnsi="Segoe UI" w:cs="Segoe UI"/>
          <w:sz w:val="20"/>
        </w:rPr>
        <w:t xml:space="preserve">ργαζομένων της Τράπεζας κατά 900 </w:t>
      </w:r>
      <w:r w:rsidR="008128E5" w:rsidRPr="007A243F">
        <w:rPr>
          <w:rFonts w:ascii="Segoe UI" w:hAnsi="Segoe UI" w:cs="Segoe UI"/>
          <w:sz w:val="20"/>
        </w:rPr>
        <w:t xml:space="preserve">περίπου </w:t>
      </w:r>
      <w:r w:rsidR="0023622E" w:rsidRPr="007A243F">
        <w:rPr>
          <w:rFonts w:ascii="Segoe UI" w:hAnsi="Segoe UI" w:cs="Segoe UI"/>
          <w:sz w:val="20"/>
        </w:rPr>
        <w:t xml:space="preserve">άτομα </w:t>
      </w:r>
      <w:r w:rsidR="00832C25" w:rsidRPr="007A243F">
        <w:rPr>
          <w:rFonts w:ascii="Segoe UI" w:hAnsi="Segoe UI" w:cs="Segoe UI"/>
          <w:sz w:val="20"/>
        </w:rPr>
        <w:t xml:space="preserve">εντός </w:t>
      </w:r>
      <w:r w:rsidR="0004078E" w:rsidRPr="007A243F">
        <w:rPr>
          <w:rFonts w:ascii="Segoe UI" w:hAnsi="Segoe UI" w:cs="Segoe UI"/>
          <w:sz w:val="20"/>
        </w:rPr>
        <w:t xml:space="preserve">του </w:t>
      </w:r>
      <w:r w:rsidR="00832C25" w:rsidRPr="007A243F">
        <w:rPr>
          <w:rFonts w:ascii="Segoe UI" w:hAnsi="Segoe UI" w:cs="Segoe UI"/>
          <w:sz w:val="20"/>
        </w:rPr>
        <w:t>2020</w:t>
      </w:r>
      <w:r w:rsidR="007A243F">
        <w:rPr>
          <w:rFonts w:ascii="Segoe UI" w:hAnsi="Segoe UI" w:cs="Segoe UI"/>
          <w:sz w:val="20"/>
        </w:rPr>
        <w:t xml:space="preserve"> και </w:t>
      </w:r>
      <w:r w:rsidR="008128E5">
        <w:rPr>
          <w:rFonts w:ascii="Segoe UI" w:hAnsi="Segoe UI" w:cs="Segoe UI"/>
          <w:sz w:val="20"/>
        </w:rPr>
        <w:t xml:space="preserve">κατά </w:t>
      </w:r>
      <w:r w:rsidR="007A243F">
        <w:rPr>
          <w:rFonts w:ascii="Segoe UI" w:hAnsi="Segoe UI" w:cs="Segoe UI"/>
          <w:sz w:val="20"/>
        </w:rPr>
        <w:t>επιπλέον 2</w:t>
      </w:r>
      <w:r w:rsidR="007A243F" w:rsidRPr="007A243F">
        <w:rPr>
          <w:rFonts w:ascii="Segoe UI" w:hAnsi="Segoe UI" w:cs="Segoe UI"/>
          <w:sz w:val="20"/>
        </w:rPr>
        <w:t xml:space="preserve">00 </w:t>
      </w:r>
      <w:r w:rsidR="007A243F">
        <w:rPr>
          <w:rFonts w:ascii="Segoe UI" w:hAnsi="Segoe UI" w:cs="Segoe UI"/>
          <w:sz w:val="20"/>
        </w:rPr>
        <w:t xml:space="preserve">περίπου </w:t>
      </w:r>
      <w:r w:rsidR="007A243F" w:rsidRPr="007A243F">
        <w:rPr>
          <w:rFonts w:ascii="Segoe UI" w:hAnsi="Segoe UI" w:cs="Segoe UI"/>
          <w:sz w:val="20"/>
        </w:rPr>
        <w:t xml:space="preserve">άτομα εντός του </w:t>
      </w:r>
      <w:r w:rsidR="007A243F">
        <w:rPr>
          <w:rFonts w:ascii="Segoe UI" w:hAnsi="Segoe UI" w:cs="Segoe UI"/>
          <w:sz w:val="20"/>
        </w:rPr>
        <w:t>Α’ εξαμήνου</w:t>
      </w:r>
      <w:r w:rsidR="007A243F" w:rsidRPr="007A243F">
        <w:rPr>
          <w:rFonts w:ascii="Segoe UI" w:hAnsi="Segoe UI" w:cs="Segoe UI"/>
          <w:sz w:val="20"/>
        </w:rPr>
        <w:t xml:space="preserve"> 2021</w:t>
      </w:r>
      <w:r w:rsidR="00832C25" w:rsidRPr="007A243F">
        <w:rPr>
          <w:rFonts w:ascii="Segoe UI" w:hAnsi="Segoe UI" w:cs="Segoe UI"/>
          <w:sz w:val="20"/>
        </w:rPr>
        <w:t>.</w:t>
      </w:r>
      <w:r w:rsidR="008B7A4F" w:rsidRPr="007A243F">
        <w:rPr>
          <w:rFonts w:ascii="Segoe UI" w:hAnsi="Segoe UI" w:cs="Segoe UI"/>
          <w:sz w:val="20"/>
        </w:rPr>
        <w:t xml:space="preserve"> </w:t>
      </w:r>
    </w:p>
    <w:p w:rsidR="002C5847" w:rsidRPr="002A098F" w:rsidRDefault="00E57354" w:rsidP="00E55AED">
      <w:pPr>
        <w:autoSpaceDE w:val="0"/>
        <w:autoSpaceDN w:val="0"/>
        <w:adjustRightInd w:val="0"/>
        <w:spacing w:after="160" w:line="320" w:lineRule="atLeast"/>
        <w:jc w:val="both"/>
        <w:rPr>
          <w:rFonts w:ascii="Segoe UI" w:hAnsi="Segoe UI" w:cs="Segoe UI"/>
          <w:sz w:val="20"/>
        </w:rPr>
      </w:pPr>
      <w:r w:rsidRPr="00061DA5">
        <w:rPr>
          <w:rFonts w:ascii="Segoe UI" w:hAnsi="Segoe UI" w:cs="Segoe UI"/>
          <w:sz w:val="20"/>
        </w:rPr>
        <w:t>Ο</w:t>
      </w:r>
      <w:r w:rsidR="002C5847" w:rsidRPr="00061DA5">
        <w:rPr>
          <w:rFonts w:ascii="Segoe UI" w:hAnsi="Segoe UI" w:cs="Segoe UI"/>
          <w:sz w:val="20"/>
        </w:rPr>
        <w:t xml:space="preserve">ι </w:t>
      </w:r>
      <w:r w:rsidR="002C5847" w:rsidRPr="00061DA5">
        <w:rPr>
          <w:rFonts w:ascii="Segoe UI" w:hAnsi="Segoe UI" w:cs="Segoe UI"/>
          <w:b/>
          <w:sz w:val="20"/>
        </w:rPr>
        <w:t>προβλέψεις για επισφαλείς απαιτήσεις</w:t>
      </w:r>
      <w:r w:rsidR="00076A0A" w:rsidRPr="00061DA5">
        <w:rPr>
          <w:rFonts w:ascii="Segoe UI" w:hAnsi="Segoe UI" w:cs="Segoe UI"/>
          <w:b/>
          <w:sz w:val="20"/>
        </w:rPr>
        <w:t xml:space="preserve"> </w:t>
      </w:r>
      <w:r w:rsidR="0093085C" w:rsidRPr="00061DA5">
        <w:rPr>
          <w:rFonts w:ascii="Segoe UI" w:hAnsi="Segoe UI" w:cs="Segoe UI"/>
          <w:sz w:val="20"/>
        </w:rPr>
        <w:t xml:space="preserve">διαμορφώθηκαν </w:t>
      </w:r>
      <w:r w:rsidR="002C5847" w:rsidRPr="00061DA5">
        <w:rPr>
          <w:rFonts w:ascii="Segoe UI" w:hAnsi="Segoe UI" w:cs="Segoe UI"/>
          <w:sz w:val="20"/>
        </w:rPr>
        <w:t xml:space="preserve">σε </w:t>
      </w:r>
      <w:r w:rsidR="00061DA5" w:rsidRPr="00061DA5">
        <w:rPr>
          <w:rFonts w:ascii="Segoe UI" w:hAnsi="Segoe UI" w:cs="Segoe UI"/>
          <w:sz w:val="20"/>
        </w:rPr>
        <w:t>€70 εκατ. το Β’ τρίμηνο 2021 (109μ.β. επί του μέσου όρου δανείων μετά από προβλέψεις)</w:t>
      </w:r>
      <w:r w:rsidR="005C20F3">
        <w:rPr>
          <w:rFonts w:ascii="Segoe UI" w:hAnsi="Segoe UI" w:cs="Segoe UI"/>
          <w:sz w:val="20"/>
        </w:rPr>
        <w:t xml:space="preserve"> έναντι </w:t>
      </w:r>
      <w:r w:rsidR="002C5847" w:rsidRPr="00061DA5">
        <w:rPr>
          <w:rFonts w:ascii="Segoe UI" w:hAnsi="Segoe UI" w:cs="Segoe UI"/>
          <w:sz w:val="20"/>
        </w:rPr>
        <w:t>€</w:t>
      </w:r>
      <w:r w:rsidR="00AB49DF" w:rsidRPr="00061DA5">
        <w:rPr>
          <w:rFonts w:ascii="Segoe UI" w:hAnsi="Segoe UI" w:cs="Segoe UI"/>
          <w:sz w:val="20"/>
        </w:rPr>
        <w:t>75</w:t>
      </w:r>
      <w:r w:rsidRPr="00061DA5">
        <w:rPr>
          <w:rFonts w:ascii="Segoe UI" w:hAnsi="Segoe UI" w:cs="Segoe UI"/>
          <w:sz w:val="20"/>
        </w:rPr>
        <w:t xml:space="preserve"> </w:t>
      </w:r>
      <w:r w:rsidR="002C5847" w:rsidRPr="00061DA5">
        <w:rPr>
          <w:rFonts w:ascii="Segoe UI" w:hAnsi="Segoe UI" w:cs="Segoe UI"/>
          <w:sz w:val="20"/>
        </w:rPr>
        <w:t xml:space="preserve">εκατ. </w:t>
      </w:r>
      <w:r w:rsidR="003B6EF4" w:rsidRPr="00061DA5">
        <w:rPr>
          <w:rFonts w:ascii="Segoe UI" w:hAnsi="Segoe UI" w:cs="Segoe UI"/>
          <w:sz w:val="20"/>
        </w:rPr>
        <w:t xml:space="preserve">το </w:t>
      </w:r>
      <w:r w:rsidR="00AB49DF" w:rsidRPr="00061DA5">
        <w:rPr>
          <w:rFonts w:ascii="Segoe UI" w:hAnsi="Segoe UI" w:cs="Segoe UI"/>
          <w:sz w:val="20"/>
        </w:rPr>
        <w:t>Α</w:t>
      </w:r>
      <w:r w:rsidR="003B6EF4" w:rsidRPr="00061DA5">
        <w:rPr>
          <w:rFonts w:ascii="Segoe UI" w:hAnsi="Segoe UI" w:cs="Segoe UI"/>
          <w:sz w:val="20"/>
        </w:rPr>
        <w:t>’ τρίμηνο 202</w:t>
      </w:r>
      <w:r w:rsidR="00AB49DF" w:rsidRPr="00061DA5">
        <w:rPr>
          <w:rFonts w:ascii="Segoe UI" w:hAnsi="Segoe UI" w:cs="Segoe UI"/>
          <w:sz w:val="20"/>
        </w:rPr>
        <w:t>1</w:t>
      </w:r>
      <w:r w:rsidR="00061DA5" w:rsidRPr="00061DA5">
        <w:rPr>
          <w:rFonts w:ascii="Segoe UI" w:hAnsi="Segoe UI" w:cs="Segoe UI"/>
          <w:sz w:val="20"/>
        </w:rPr>
        <w:t xml:space="preserve">. </w:t>
      </w:r>
      <w:r w:rsidR="00C31D18">
        <w:rPr>
          <w:rFonts w:ascii="Segoe UI" w:hAnsi="Segoe UI" w:cs="Segoe UI"/>
          <w:sz w:val="20"/>
        </w:rPr>
        <w:t>Τ</w:t>
      </w:r>
      <w:r w:rsidR="00C31D18" w:rsidRPr="00C31D18">
        <w:rPr>
          <w:rFonts w:ascii="Segoe UI" w:hAnsi="Segoe UI" w:cs="Segoe UI"/>
          <w:sz w:val="20"/>
        </w:rPr>
        <w:t>ο Α’ εξάμηνο 2021</w:t>
      </w:r>
      <w:r w:rsidR="00061DA5" w:rsidRPr="00061DA5">
        <w:rPr>
          <w:rFonts w:ascii="Segoe UI" w:hAnsi="Segoe UI" w:cs="Segoe UI"/>
          <w:sz w:val="20"/>
        </w:rPr>
        <w:t xml:space="preserve">, οι προβλέψεις για επισφαλείς απαιτήσεις ανήλθαν σε €145 εκατ., </w:t>
      </w:r>
      <w:r w:rsidR="00A15A16" w:rsidRPr="00061DA5">
        <w:rPr>
          <w:rFonts w:ascii="Segoe UI" w:hAnsi="Segoe UI" w:cs="Segoe UI"/>
          <w:sz w:val="20"/>
        </w:rPr>
        <w:t xml:space="preserve">ήτοι </w:t>
      </w:r>
      <w:r w:rsidR="00AB49DF" w:rsidRPr="00061DA5">
        <w:rPr>
          <w:rFonts w:ascii="Segoe UI" w:hAnsi="Segoe UI" w:cs="Segoe UI"/>
          <w:sz w:val="20"/>
        </w:rPr>
        <w:t>11</w:t>
      </w:r>
      <w:r w:rsidR="00061DA5" w:rsidRPr="00061DA5">
        <w:rPr>
          <w:rFonts w:ascii="Segoe UI" w:hAnsi="Segoe UI" w:cs="Segoe UI"/>
          <w:sz w:val="20"/>
        </w:rPr>
        <w:t>3</w:t>
      </w:r>
      <w:r w:rsidR="00C40D83" w:rsidRPr="00061DA5">
        <w:rPr>
          <w:rFonts w:ascii="Segoe UI" w:hAnsi="Segoe UI" w:cs="Segoe UI"/>
          <w:sz w:val="20"/>
        </w:rPr>
        <w:t xml:space="preserve">μ.β. επί του μέσου όρου δανείων μετά </w:t>
      </w:r>
      <w:r w:rsidR="0001201F" w:rsidRPr="00061DA5">
        <w:rPr>
          <w:rFonts w:ascii="Segoe UI" w:hAnsi="Segoe UI" w:cs="Segoe UI"/>
          <w:sz w:val="20"/>
        </w:rPr>
        <w:t xml:space="preserve">από </w:t>
      </w:r>
      <w:r w:rsidR="00C40D83" w:rsidRPr="00061DA5">
        <w:rPr>
          <w:rFonts w:ascii="Segoe UI" w:hAnsi="Segoe UI" w:cs="Segoe UI"/>
          <w:sz w:val="20"/>
        </w:rPr>
        <w:t>προβλέψε</w:t>
      </w:r>
      <w:r w:rsidR="0001201F" w:rsidRPr="00061DA5">
        <w:rPr>
          <w:rFonts w:ascii="Segoe UI" w:hAnsi="Segoe UI" w:cs="Segoe UI"/>
          <w:sz w:val="20"/>
        </w:rPr>
        <w:t>ις</w:t>
      </w:r>
      <w:r w:rsidR="00311951" w:rsidRPr="00061DA5">
        <w:rPr>
          <w:rFonts w:ascii="Segoe UI" w:hAnsi="Segoe UI" w:cs="Segoe UI"/>
          <w:sz w:val="20"/>
        </w:rPr>
        <w:t>.</w:t>
      </w:r>
      <w:r w:rsidR="00311951">
        <w:rPr>
          <w:rFonts w:ascii="Segoe UI" w:hAnsi="Segoe UI" w:cs="Segoe UI"/>
          <w:sz w:val="20"/>
        </w:rPr>
        <w:t xml:space="preserve"> </w:t>
      </w:r>
    </w:p>
    <w:p w:rsidR="00372C18" w:rsidRDefault="00372C18" w:rsidP="00EE40A0">
      <w:pPr>
        <w:pStyle w:val="TITLE2"/>
        <w:rPr>
          <w:rFonts w:ascii="Segoe UI" w:hAnsi="Segoe UI" w:cs="Segoe UI"/>
          <w:sz w:val="24"/>
          <w:szCs w:val="24"/>
          <w:lang w:val="el-GR"/>
        </w:rPr>
      </w:pPr>
    </w:p>
    <w:p w:rsidR="00372C18" w:rsidRDefault="00372C18" w:rsidP="00EE40A0">
      <w:pPr>
        <w:pStyle w:val="TITLE2"/>
        <w:rPr>
          <w:rFonts w:ascii="Segoe UI" w:hAnsi="Segoe UI" w:cs="Segoe UI"/>
          <w:sz w:val="24"/>
          <w:szCs w:val="24"/>
          <w:lang w:val="el-GR"/>
        </w:rPr>
      </w:pPr>
    </w:p>
    <w:p w:rsidR="00EE40A0" w:rsidRPr="00D17BD1" w:rsidRDefault="007430AE" w:rsidP="00EE40A0">
      <w:pPr>
        <w:pStyle w:val="TITLE2"/>
        <w:rPr>
          <w:rFonts w:ascii="Segoe UI" w:hAnsi="Segoe UI" w:cs="Segoe UI"/>
          <w:sz w:val="24"/>
          <w:szCs w:val="24"/>
          <w:lang w:val="el-GR"/>
        </w:rPr>
      </w:pPr>
      <w:r>
        <w:rPr>
          <w:rFonts w:ascii="Segoe UI" w:hAnsi="Segoe UI" w:cs="Segoe UI"/>
          <w:sz w:val="24"/>
          <w:szCs w:val="24"/>
          <w:lang w:val="el-GR"/>
        </w:rPr>
        <w:lastRenderedPageBreak/>
        <w:t>Δ</w:t>
      </w:r>
      <w:r w:rsidR="009733C4" w:rsidRPr="00D17BD1">
        <w:rPr>
          <w:rFonts w:ascii="Segoe UI" w:hAnsi="Segoe UI" w:cs="Segoe UI"/>
          <w:sz w:val="24"/>
          <w:szCs w:val="24"/>
          <w:lang w:val="el-GR"/>
        </w:rPr>
        <w:t>ιεθνείς δραστηριότητες</w:t>
      </w:r>
      <w:r w:rsidR="00EE40A0" w:rsidRPr="00D17BD1">
        <w:rPr>
          <w:rFonts w:ascii="Segoe UI" w:hAnsi="Segoe UI" w:cs="Segoe UI"/>
          <w:sz w:val="24"/>
          <w:szCs w:val="24"/>
          <w:lang w:val="el-GR"/>
        </w:rPr>
        <w:t>:</w:t>
      </w:r>
      <w:r w:rsidR="00EE40A0" w:rsidRPr="004531D1">
        <w:rPr>
          <w:rFonts w:ascii="Segoe UI" w:hAnsi="Segoe UI" w:cs="Segoe UI"/>
          <w:sz w:val="24"/>
          <w:szCs w:val="24"/>
          <w:vertAlign w:val="superscript"/>
          <w:lang w:val="el-GR"/>
        </w:rPr>
        <w:footnoteReference w:id="1"/>
      </w:r>
    </w:p>
    <w:p w:rsidR="00926BB2" w:rsidRDefault="00D17BD1" w:rsidP="00E55AED">
      <w:pPr>
        <w:autoSpaceDE w:val="0"/>
        <w:autoSpaceDN w:val="0"/>
        <w:adjustRightInd w:val="0"/>
        <w:spacing w:after="160" w:line="320" w:lineRule="atLeast"/>
        <w:jc w:val="both"/>
        <w:rPr>
          <w:rFonts w:ascii="Segoe UI" w:hAnsi="Segoe UI" w:cs="Segoe UI"/>
          <w:sz w:val="20"/>
        </w:rPr>
      </w:pPr>
      <w:r w:rsidRPr="00995BE7">
        <w:rPr>
          <w:rFonts w:ascii="Segoe UI" w:hAnsi="Segoe UI" w:cs="Segoe UI"/>
          <w:sz w:val="20"/>
        </w:rPr>
        <w:t>Στις διεθνείς δραστηριότητες</w:t>
      </w:r>
      <w:r w:rsidR="00F26F3A" w:rsidRPr="00995BE7">
        <w:rPr>
          <w:rFonts w:ascii="Segoe UI" w:hAnsi="Segoe UI" w:cs="Segoe UI"/>
          <w:sz w:val="20"/>
          <w:vertAlign w:val="superscript"/>
        </w:rPr>
        <w:t>1</w:t>
      </w:r>
      <w:r w:rsidRPr="00995BE7">
        <w:rPr>
          <w:rFonts w:ascii="Segoe UI" w:hAnsi="Segoe UI" w:cs="Segoe UI"/>
          <w:sz w:val="20"/>
        </w:rPr>
        <w:t xml:space="preserve">, ο Όμιλος παρουσίασε </w:t>
      </w:r>
      <w:r w:rsidRPr="00995BE7">
        <w:rPr>
          <w:rFonts w:ascii="Segoe UI" w:hAnsi="Segoe UI" w:cs="Segoe UI"/>
          <w:b/>
          <w:sz w:val="20"/>
        </w:rPr>
        <w:t>κέρδη μετά από φόρους</w:t>
      </w:r>
      <w:r w:rsidR="00E80549" w:rsidRPr="00995BE7">
        <w:rPr>
          <w:rFonts w:ascii="Segoe UI" w:hAnsi="Segoe UI" w:cs="Segoe UI"/>
          <w:b/>
          <w:sz w:val="20"/>
        </w:rPr>
        <w:t xml:space="preserve"> </w:t>
      </w:r>
      <w:r w:rsidRPr="00995BE7">
        <w:rPr>
          <w:rFonts w:ascii="Segoe UI" w:hAnsi="Segoe UI" w:cs="Segoe UI"/>
          <w:b/>
          <w:sz w:val="20"/>
        </w:rPr>
        <w:t>από συνεχιζόμενες δραστηριότητες</w:t>
      </w:r>
      <w:r w:rsidRPr="00995BE7">
        <w:rPr>
          <w:rFonts w:ascii="Segoe UI" w:hAnsi="Segoe UI" w:cs="Segoe UI"/>
          <w:sz w:val="20"/>
        </w:rPr>
        <w:t xml:space="preserve"> ύψους €</w:t>
      </w:r>
      <w:r w:rsidR="00995BE7" w:rsidRPr="00995BE7">
        <w:rPr>
          <w:rFonts w:ascii="Segoe UI" w:hAnsi="Segoe UI" w:cs="Segoe UI"/>
          <w:sz w:val="20"/>
        </w:rPr>
        <w:t>8</w:t>
      </w:r>
      <w:r w:rsidRPr="00995BE7">
        <w:rPr>
          <w:rFonts w:ascii="Segoe UI" w:hAnsi="Segoe UI" w:cs="Segoe UI"/>
          <w:sz w:val="20"/>
        </w:rPr>
        <w:t xml:space="preserve"> εκατ. το </w:t>
      </w:r>
      <w:r w:rsidR="000B137E" w:rsidRPr="00995BE7">
        <w:rPr>
          <w:rFonts w:ascii="Segoe UI" w:hAnsi="Segoe UI" w:cs="Segoe UI"/>
          <w:sz w:val="20"/>
        </w:rPr>
        <w:t xml:space="preserve">Α’ </w:t>
      </w:r>
      <w:r w:rsidR="00995BE7" w:rsidRPr="00995BE7">
        <w:rPr>
          <w:rFonts w:ascii="Segoe UI" w:hAnsi="Segoe UI" w:cs="Segoe UI"/>
          <w:sz w:val="20"/>
        </w:rPr>
        <w:t>εξάμηνο 2</w:t>
      </w:r>
      <w:r w:rsidR="000B137E" w:rsidRPr="00995BE7">
        <w:rPr>
          <w:rFonts w:ascii="Segoe UI" w:hAnsi="Segoe UI" w:cs="Segoe UI"/>
          <w:sz w:val="20"/>
        </w:rPr>
        <w:t>021</w:t>
      </w:r>
      <w:r w:rsidR="00995BE7" w:rsidRPr="00995BE7">
        <w:rPr>
          <w:rFonts w:ascii="Segoe UI" w:hAnsi="Segoe UI" w:cs="Segoe UI"/>
          <w:sz w:val="20"/>
        </w:rPr>
        <w:t>, ενισχυμέν</w:t>
      </w:r>
      <w:r w:rsidR="003202CA">
        <w:rPr>
          <w:rFonts w:ascii="Segoe UI" w:hAnsi="Segoe UI" w:cs="Segoe UI"/>
          <w:sz w:val="20"/>
        </w:rPr>
        <w:t>α</w:t>
      </w:r>
      <w:r w:rsidR="00995BE7" w:rsidRPr="00995BE7">
        <w:rPr>
          <w:rFonts w:ascii="Segoe UI" w:hAnsi="Segoe UI" w:cs="Segoe UI"/>
          <w:sz w:val="20"/>
        </w:rPr>
        <w:t xml:space="preserve"> κατά 7,8% σε σχέση με το Α’ εξάμηνο 2020</w:t>
      </w:r>
      <w:r w:rsidR="00415C6A" w:rsidRPr="00995BE7">
        <w:rPr>
          <w:rFonts w:ascii="Segoe UI" w:hAnsi="Segoe UI" w:cs="Segoe UI"/>
          <w:sz w:val="20"/>
        </w:rPr>
        <w:t>, αντανακλώντας τη</w:t>
      </w:r>
      <w:r w:rsidR="000B137E" w:rsidRPr="00995BE7">
        <w:rPr>
          <w:rFonts w:ascii="Segoe UI" w:hAnsi="Segoe UI" w:cs="Segoe UI"/>
          <w:sz w:val="20"/>
        </w:rPr>
        <w:t xml:space="preserve"> μείωση </w:t>
      </w:r>
      <w:r w:rsidR="00995BE7" w:rsidRPr="00995BE7">
        <w:rPr>
          <w:rFonts w:ascii="Segoe UI" w:hAnsi="Segoe UI" w:cs="Segoe UI"/>
          <w:sz w:val="20"/>
        </w:rPr>
        <w:t xml:space="preserve">των λειτουργικών δαπανών (-14,4% σε ετήσια βάση) και </w:t>
      </w:r>
      <w:r w:rsidR="000B137E" w:rsidRPr="00995BE7">
        <w:rPr>
          <w:rFonts w:ascii="Segoe UI" w:hAnsi="Segoe UI" w:cs="Segoe UI"/>
          <w:sz w:val="20"/>
        </w:rPr>
        <w:t xml:space="preserve">των </w:t>
      </w:r>
      <w:r w:rsidR="00E40A02" w:rsidRPr="00995BE7">
        <w:rPr>
          <w:rFonts w:ascii="Segoe UI" w:hAnsi="Segoe UI" w:cs="Segoe UI"/>
          <w:sz w:val="20"/>
        </w:rPr>
        <w:t>φόρων</w:t>
      </w:r>
      <w:r w:rsidR="006861B8">
        <w:rPr>
          <w:rFonts w:ascii="Segoe UI" w:hAnsi="Segoe UI" w:cs="Segoe UI"/>
          <w:sz w:val="20"/>
        </w:rPr>
        <w:t>.</w:t>
      </w:r>
      <w:r w:rsidR="00415C6A" w:rsidRPr="00995BE7">
        <w:rPr>
          <w:rFonts w:ascii="Segoe UI" w:hAnsi="Segoe UI" w:cs="Segoe UI"/>
          <w:sz w:val="20"/>
        </w:rPr>
        <w:t xml:space="preserve"> </w:t>
      </w:r>
    </w:p>
    <w:p w:rsidR="00926BB2" w:rsidRDefault="00926BB2">
      <w:pPr>
        <w:rPr>
          <w:rFonts w:ascii="Segoe UI" w:hAnsi="Segoe UI" w:cs="Segoe UI"/>
          <w:sz w:val="20"/>
        </w:rPr>
      </w:pPr>
    </w:p>
    <w:p w:rsidR="00EE40A0" w:rsidRPr="00C56A58" w:rsidRDefault="008E3951" w:rsidP="00EE40A0">
      <w:pPr>
        <w:pStyle w:val="TITLEINBODY"/>
        <w:rPr>
          <w:rFonts w:ascii="Segoe UI" w:hAnsi="Segoe UI" w:cs="Segoe UI"/>
          <w:lang w:val="el-GR"/>
        </w:rPr>
      </w:pPr>
      <w:r w:rsidRPr="000F701B">
        <w:rPr>
          <w:rFonts w:ascii="Segoe UI" w:hAnsi="Segoe UI" w:cs="Segoe UI"/>
          <w:lang w:val="el-GR"/>
        </w:rPr>
        <w:t>Ποιότητα Δανειακού Χαρτοφυλακίου</w:t>
      </w:r>
    </w:p>
    <w:p w:rsidR="00635903" w:rsidRPr="00635903" w:rsidRDefault="0012024E" w:rsidP="00635903">
      <w:pPr>
        <w:autoSpaceDE w:val="0"/>
        <w:autoSpaceDN w:val="0"/>
        <w:adjustRightInd w:val="0"/>
        <w:spacing w:before="240" w:after="160" w:line="320" w:lineRule="atLeast"/>
        <w:jc w:val="both"/>
        <w:rPr>
          <w:rFonts w:ascii="Segoe UI" w:hAnsi="Segoe UI" w:cs="Segoe UI"/>
          <w:sz w:val="20"/>
        </w:rPr>
      </w:pPr>
      <w:r w:rsidRPr="0098645A">
        <w:rPr>
          <w:rFonts w:ascii="Segoe UI" w:hAnsi="Segoe UI" w:cs="Segoe UI"/>
          <w:sz w:val="20"/>
        </w:rPr>
        <w:t xml:space="preserve">Η </w:t>
      </w:r>
      <w:r w:rsidRPr="0098645A">
        <w:rPr>
          <w:rFonts w:ascii="Segoe UI" w:hAnsi="Segoe UI" w:cs="Segoe UI"/>
          <w:b/>
          <w:sz w:val="20"/>
        </w:rPr>
        <w:t>μείωση των ΜΕΑ</w:t>
      </w:r>
      <w:r w:rsidR="00076A0A" w:rsidRPr="0098645A">
        <w:rPr>
          <w:rFonts w:ascii="Segoe UI" w:hAnsi="Segoe UI" w:cs="Segoe UI"/>
          <w:b/>
          <w:sz w:val="20"/>
        </w:rPr>
        <w:t xml:space="preserve"> </w:t>
      </w:r>
      <w:r w:rsidR="00330216" w:rsidRPr="0098645A">
        <w:rPr>
          <w:rFonts w:ascii="Segoe UI" w:hAnsi="Segoe UI" w:cs="Segoe UI"/>
          <w:sz w:val="20"/>
        </w:rPr>
        <w:t>διατηρήθηκε</w:t>
      </w:r>
      <w:r w:rsidR="00193511" w:rsidRPr="0098645A">
        <w:rPr>
          <w:rFonts w:ascii="Segoe UI" w:hAnsi="Segoe UI" w:cs="Segoe UI"/>
          <w:sz w:val="20"/>
        </w:rPr>
        <w:t xml:space="preserve"> </w:t>
      </w:r>
      <w:r w:rsidR="005E4BB2" w:rsidRPr="0098645A">
        <w:rPr>
          <w:rFonts w:ascii="Segoe UI" w:hAnsi="Segoe UI" w:cs="Segoe UI"/>
          <w:sz w:val="20"/>
        </w:rPr>
        <w:t xml:space="preserve">κατά </w:t>
      </w:r>
      <w:r w:rsidRPr="0098645A">
        <w:rPr>
          <w:rFonts w:ascii="Segoe UI" w:hAnsi="Segoe UI" w:cs="Segoe UI"/>
          <w:sz w:val="20"/>
        </w:rPr>
        <w:t xml:space="preserve">το </w:t>
      </w:r>
      <w:r w:rsidR="00635903" w:rsidRPr="0098645A">
        <w:rPr>
          <w:rFonts w:ascii="Segoe UI" w:hAnsi="Segoe UI" w:cs="Segoe UI"/>
          <w:sz w:val="20"/>
        </w:rPr>
        <w:t>Β</w:t>
      </w:r>
      <w:r w:rsidRPr="0098645A">
        <w:rPr>
          <w:rFonts w:ascii="Segoe UI" w:hAnsi="Segoe UI" w:cs="Segoe UI"/>
          <w:sz w:val="20"/>
        </w:rPr>
        <w:t>’ τρίμηνο 20</w:t>
      </w:r>
      <w:r w:rsidR="007F28B8" w:rsidRPr="0098645A">
        <w:rPr>
          <w:rFonts w:ascii="Segoe UI" w:hAnsi="Segoe UI" w:cs="Segoe UI"/>
          <w:sz w:val="20"/>
        </w:rPr>
        <w:t>2</w:t>
      </w:r>
      <w:r w:rsidR="00966677" w:rsidRPr="0098645A">
        <w:rPr>
          <w:rFonts w:ascii="Segoe UI" w:hAnsi="Segoe UI" w:cs="Segoe UI"/>
          <w:sz w:val="20"/>
        </w:rPr>
        <w:t>1</w:t>
      </w:r>
      <w:r w:rsidR="007F28B8" w:rsidRPr="0098645A">
        <w:rPr>
          <w:rFonts w:ascii="Segoe UI" w:hAnsi="Segoe UI" w:cs="Segoe UI"/>
          <w:sz w:val="20"/>
        </w:rPr>
        <w:t xml:space="preserve">, με τα ΜΕΑ </w:t>
      </w:r>
      <w:r w:rsidR="00193511" w:rsidRPr="0098645A">
        <w:rPr>
          <w:rFonts w:ascii="Segoe UI" w:hAnsi="Segoe UI" w:cs="Segoe UI"/>
          <w:sz w:val="20"/>
        </w:rPr>
        <w:t>στην Ελλάδα</w:t>
      </w:r>
      <w:r w:rsidR="007F28B8" w:rsidRPr="0098645A">
        <w:rPr>
          <w:rFonts w:ascii="Segoe UI" w:hAnsi="Segoe UI" w:cs="Segoe UI"/>
          <w:sz w:val="20"/>
        </w:rPr>
        <w:t xml:space="preserve"> να μειώνονται </w:t>
      </w:r>
      <w:r w:rsidR="00966677" w:rsidRPr="0098645A">
        <w:rPr>
          <w:rFonts w:ascii="Segoe UI" w:hAnsi="Segoe UI" w:cs="Segoe UI"/>
          <w:sz w:val="20"/>
        </w:rPr>
        <w:t>κατά €0,</w:t>
      </w:r>
      <w:r w:rsidR="00635903" w:rsidRPr="0098645A">
        <w:rPr>
          <w:rFonts w:ascii="Segoe UI" w:hAnsi="Segoe UI" w:cs="Segoe UI"/>
          <w:sz w:val="20"/>
        </w:rPr>
        <w:t>1</w:t>
      </w:r>
      <w:r w:rsidR="00966677" w:rsidRPr="0098645A">
        <w:rPr>
          <w:rFonts w:ascii="Segoe UI" w:hAnsi="Segoe UI" w:cs="Segoe UI"/>
          <w:sz w:val="20"/>
        </w:rPr>
        <w:t xml:space="preserve"> δισ. σε σχέση με το προηγούμενο τρίμηνο, </w:t>
      </w:r>
      <w:r w:rsidR="007F28B8" w:rsidRPr="0098645A">
        <w:rPr>
          <w:rFonts w:ascii="Segoe UI" w:hAnsi="Segoe UI" w:cs="Segoe UI"/>
          <w:sz w:val="20"/>
        </w:rPr>
        <w:t>σε €</w:t>
      </w:r>
      <w:r w:rsidR="00193511" w:rsidRPr="0098645A">
        <w:rPr>
          <w:rFonts w:ascii="Segoe UI" w:hAnsi="Segoe UI" w:cs="Segoe UI"/>
          <w:sz w:val="20"/>
        </w:rPr>
        <w:t>4,</w:t>
      </w:r>
      <w:r w:rsidR="00635903" w:rsidRPr="0098645A">
        <w:rPr>
          <w:rFonts w:ascii="Segoe UI" w:hAnsi="Segoe UI" w:cs="Segoe UI"/>
          <w:sz w:val="20"/>
        </w:rPr>
        <w:t>0</w:t>
      </w:r>
      <w:r w:rsidR="007F28B8" w:rsidRPr="0098645A">
        <w:rPr>
          <w:rFonts w:ascii="Segoe UI" w:hAnsi="Segoe UI" w:cs="Segoe UI"/>
          <w:sz w:val="20"/>
        </w:rPr>
        <w:t xml:space="preserve"> δισ., </w:t>
      </w:r>
      <w:r w:rsidRPr="0098645A">
        <w:rPr>
          <w:rFonts w:ascii="Segoe UI" w:hAnsi="Segoe UI" w:cs="Segoe UI"/>
          <w:sz w:val="20"/>
        </w:rPr>
        <w:t xml:space="preserve">αντανακλώντας </w:t>
      </w:r>
      <w:r w:rsidR="00966677" w:rsidRPr="0098645A">
        <w:rPr>
          <w:rFonts w:ascii="Segoe UI" w:hAnsi="Segoe UI" w:cs="Segoe UI"/>
          <w:sz w:val="20"/>
        </w:rPr>
        <w:t>οργανικές ενέργειες</w:t>
      </w:r>
      <w:r w:rsidR="00A2317C" w:rsidRPr="0098645A">
        <w:rPr>
          <w:rFonts w:ascii="Segoe UI" w:hAnsi="Segoe UI" w:cs="Segoe UI"/>
          <w:sz w:val="20"/>
        </w:rPr>
        <w:t>.</w:t>
      </w:r>
      <w:r w:rsidR="00966677" w:rsidRPr="0098645A">
        <w:rPr>
          <w:rFonts w:ascii="Segoe UI" w:hAnsi="Segoe UI" w:cs="Segoe UI"/>
          <w:sz w:val="20"/>
        </w:rPr>
        <w:t xml:space="preserve"> </w:t>
      </w:r>
      <w:r w:rsidR="00635903" w:rsidRPr="0098645A">
        <w:rPr>
          <w:rFonts w:ascii="Segoe UI" w:hAnsi="Segoe UI" w:cs="Segoe UI"/>
          <w:sz w:val="20"/>
        </w:rPr>
        <w:t xml:space="preserve">Η συνολική οργανική μείωση ΜΕΑ </w:t>
      </w:r>
      <w:r w:rsidR="0098645A" w:rsidRPr="0098645A">
        <w:rPr>
          <w:rFonts w:ascii="Segoe UI" w:hAnsi="Segoe UI" w:cs="Segoe UI"/>
          <w:sz w:val="20"/>
        </w:rPr>
        <w:t xml:space="preserve">στην Ελλάδα </w:t>
      </w:r>
      <w:r w:rsidR="00635903" w:rsidRPr="0098645A">
        <w:rPr>
          <w:rFonts w:ascii="Segoe UI" w:hAnsi="Segoe UI" w:cs="Segoe UI"/>
          <w:sz w:val="20"/>
        </w:rPr>
        <w:t>διαμορφώθηκε σε €0,2 δισ. το</w:t>
      </w:r>
      <w:r w:rsidR="00635903" w:rsidRPr="00635903">
        <w:rPr>
          <w:rFonts w:ascii="Segoe UI" w:hAnsi="Segoe UI" w:cs="Segoe UI"/>
          <w:sz w:val="20"/>
        </w:rPr>
        <w:t xml:space="preserve"> Α’ εξάμηνο 2021 έναντι του στόχου που έχει θέσει η Τράπεζα για </w:t>
      </w:r>
      <w:r w:rsidR="00424858">
        <w:rPr>
          <w:rFonts w:ascii="Segoe UI" w:hAnsi="Segoe UI" w:cs="Segoe UI"/>
          <w:sz w:val="20"/>
        </w:rPr>
        <w:t>σωρευτική</w:t>
      </w:r>
      <w:r w:rsidR="00A165F0">
        <w:rPr>
          <w:rFonts w:ascii="Segoe UI" w:hAnsi="Segoe UI" w:cs="Segoe UI"/>
          <w:sz w:val="20"/>
        </w:rPr>
        <w:t xml:space="preserve"> οργανική</w:t>
      </w:r>
      <w:r w:rsidR="00635903" w:rsidRPr="00635903">
        <w:rPr>
          <w:rFonts w:ascii="Segoe UI" w:hAnsi="Segoe UI" w:cs="Segoe UI"/>
          <w:sz w:val="20"/>
        </w:rPr>
        <w:t xml:space="preserve"> μείωση ΜΕΑ ύψους €0,8 δισ. το 2021-2022</w:t>
      </w:r>
      <w:r w:rsidR="00635903">
        <w:rPr>
          <w:rFonts w:ascii="Segoe UI" w:hAnsi="Segoe UI" w:cs="Segoe UI"/>
          <w:sz w:val="20"/>
        </w:rPr>
        <w:t xml:space="preserve">. </w:t>
      </w:r>
    </w:p>
    <w:p w:rsidR="00635903" w:rsidRDefault="00635903" w:rsidP="00635903">
      <w:pPr>
        <w:autoSpaceDE w:val="0"/>
        <w:autoSpaceDN w:val="0"/>
        <w:adjustRightInd w:val="0"/>
        <w:spacing w:before="240" w:after="160" w:line="320" w:lineRule="atLeast"/>
        <w:jc w:val="both"/>
        <w:rPr>
          <w:rFonts w:ascii="Segoe UI" w:hAnsi="Segoe UI" w:cs="Segoe UI"/>
          <w:sz w:val="20"/>
          <w:highlight w:val="yellow"/>
        </w:rPr>
      </w:pPr>
      <w:r w:rsidRPr="00635903">
        <w:rPr>
          <w:rFonts w:ascii="Segoe UI" w:hAnsi="Segoe UI" w:cs="Segoe UI"/>
          <w:sz w:val="20"/>
        </w:rPr>
        <w:t xml:space="preserve">Η κατάσταση πληρωμών των </w:t>
      </w:r>
      <w:r w:rsidR="00D837FB">
        <w:rPr>
          <w:rFonts w:ascii="Segoe UI" w:hAnsi="Segoe UI" w:cs="Segoe UI"/>
          <w:sz w:val="20"/>
        </w:rPr>
        <w:t xml:space="preserve">ενήμερων </w:t>
      </w:r>
      <w:r w:rsidRPr="00635903">
        <w:rPr>
          <w:rFonts w:ascii="Segoe UI" w:hAnsi="Segoe UI" w:cs="Segoe UI"/>
          <w:sz w:val="20"/>
        </w:rPr>
        <w:t>πελατών που είχαν ενταχθεί σε προγράμματα διευκόλυνσης καταβολής οφειλών συνεχίζει να ξεπερνά τις προσδοκίες της Τράπεζας, καθώς μόνο το 3% βρίσκεται σε καθεστώς αθέτησης πληρωμών (άνω των 90 ημερών) τον Ιού</w:t>
      </w:r>
      <w:r w:rsidR="00D33884">
        <w:rPr>
          <w:rFonts w:ascii="Segoe UI" w:hAnsi="Segoe UI" w:cs="Segoe UI"/>
          <w:sz w:val="20"/>
        </w:rPr>
        <w:t>λ</w:t>
      </w:r>
      <w:r w:rsidRPr="00635903">
        <w:rPr>
          <w:rFonts w:ascii="Segoe UI" w:hAnsi="Segoe UI" w:cs="Segoe UI"/>
          <w:sz w:val="20"/>
        </w:rPr>
        <w:t>ιο 2021, ενώ μόλις το 1% παρουσιάζει μικρή καθυστέρηση (άνω των</w:t>
      </w:r>
      <w:r>
        <w:rPr>
          <w:rFonts w:ascii="Segoe UI" w:hAnsi="Segoe UI" w:cs="Segoe UI"/>
          <w:sz w:val="20"/>
        </w:rPr>
        <w:t xml:space="preserve"> 30 ημερών). Επιπλέον, τ</w:t>
      </w:r>
      <w:r w:rsidRPr="00635903">
        <w:rPr>
          <w:rFonts w:ascii="Segoe UI" w:hAnsi="Segoe UI" w:cs="Segoe UI"/>
          <w:sz w:val="20"/>
        </w:rPr>
        <w:t xml:space="preserve">ο 60% περίπου των </w:t>
      </w:r>
      <w:r w:rsidR="00D33884">
        <w:rPr>
          <w:rFonts w:ascii="Segoe UI" w:hAnsi="Segoe UI" w:cs="Segoe UI"/>
          <w:sz w:val="20"/>
        </w:rPr>
        <w:t>εν λόγω</w:t>
      </w:r>
      <w:r w:rsidRPr="00635903">
        <w:rPr>
          <w:rFonts w:ascii="Segoe UI" w:hAnsi="Segoe UI" w:cs="Segoe UI"/>
          <w:sz w:val="20"/>
        </w:rPr>
        <w:t xml:space="preserve"> πελατών είναι χαμηλού ρίσκου και δεν έχει ζητήσει περαιτέρω διευκολύνσεις πληρωμών μετά τη λήξη των προγραμμάτων</w:t>
      </w:r>
      <w:r w:rsidR="001F3C38">
        <w:rPr>
          <w:rFonts w:ascii="Segoe UI" w:hAnsi="Segoe UI" w:cs="Segoe UI"/>
          <w:sz w:val="20"/>
        </w:rPr>
        <w:t xml:space="preserve"> </w:t>
      </w:r>
      <w:r w:rsidR="001F3C38" w:rsidRPr="00635903">
        <w:rPr>
          <w:rFonts w:ascii="Segoe UI" w:hAnsi="Segoe UI" w:cs="Segoe UI"/>
          <w:sz w:val="20"/>
        </w:rPr>
        <w:t xml:space="preserve">διευκόλυνσης </w:t>
      </w:r>
      <w:r w:rsidR="001F3C38" w:rsidRPr="001F3C38">
        <w:rPr>
          <w:rFonts w:ascii="Segoe UI" w:hAnsi="Segoe UI" w:cs="Segoe UI"/>
          <w:sz w:val="20"/>
        </w:rPr>
        <w:t>καταβολής οφειλών</w:t>
      </w:r>
      <w:r w:rsidR="00DC5FE7">
        <w:rPr>
          <w:rFonts w:ascii="Segoe UI" w:hAnsi="Segoe UI" w:cs="Segoe UI"/>
          <w:sz w:val="20"/>
        </w:rPr>
        <w:t>.</w:t>
      </w:r>
    </w:p>
    <w:p w:rsidR="00926BB2" w:rsidRPr="00DC5FE7" w:rsidRDefault="00DC5FE7" w:rsidP="001C4829">
      <w:pPr>
        <w:autoSpaceDE w:val="0"/>
        <w:autoSpaceDN w:val="0"/>
        <w:adjustRightInd w:val="0"/>
        <w:spacing w:after="160" w:line="320" w:lineRule="atLeast"/>
        <w:jc w:val="both"/>
        <w:rPr>
          <w:rFonts w:ascii="Segoe UI" w:hAnsi="Segoe UI" w:cs="Segoe UI"/>
          <w:sz w:val="20"/>
        </w:rPr>
      </w:pPr>
      <w:r w:rsidRPr="00DC5FE7">
        <w:rPr>
          <w:rFonts w:ascii="Segoe UI" w:hAnsi="Segoe UI" w:cs="Segoe UI"/>
          <w:sz w:val="20"/>
        </w:rPr>
        <w:t>Ο</w:t>
      </w:r>
      <w:r w:rsidR="007F28B8" w:rsidRPr="00DC5FE7">
        <w:rPr>
          <w:rFonts w:ascii="Segoe UI" w:hAnsi="Segoe UI" w:cs="Segoe UI"/>
          <w:sz w:val="20"/>
        </w:rPr>
        <w:t xml:space="preserve"> </w:t>
      </w:r>
      <w:r w:rsidR="007F28B8" w:rsidRPr="00DC5FE7">
        <w:rPr>
          <w:rFonts w:ascii="Segoe UI" w:hAnsi="Segoe UI" w:cs="Segoe UI"/>
          <w:b/>
          <w:sz w:val="20"/>
        </w:rPr>
        <w:t>δείκτης ΜΕΑ</w:t>
      </w:r>
      <w:r w:rsidR="007F28B8" w:rsidRPr="00DC5FE7">
        <w:rPr>
          <w:rFonts w:ascii="Segoe UI" w:hAnsi="Segoe UI" w:cs="Segoe UI"/>
          <w:sz w:val="20"/>
        </w:rPr>
        <w:t xml:space="preserve"> στην Ελλάδα μειώθηκε κατά περίπου </w:t>
      </w:r>
      <w:r w:rsidR="00423FF1" w:rsidRPr="00DC5FE7">
        <w:rPr>
          <w:rFonts w:ascii="Segoe UI" w:hAnsi="Segoe UI" w:cs="Segoe UI"/>
          <w:sz w:val="20"/>
        </w:rPr>
        <w:t>5</w:t>
      </w:r>
      <w:r w:rsidR="00B13B10" w:rsidRPr="00DC5FE7">
        <w:rPr>
          <w:rFonts w:ascii="Segoe UI" w:hAnsi="Segoe UI" w:cs="Segoe UI"/>
          <w:sz w:val="20"/>
        </w:rPr>
        <w:t>0</w:t>
      </w:r>
      <w:r w:rsidR="00B41952" w:rsidRPr="00DC5FE7">
        <w:rPr>
          <w:rFonts w:ascii="Segoe UI" w:hAnsi="Segoe UI" w:cs="Segoe UI"/>
          <w:sz w:val="20"/>
        </w:rPr>
        <w:t>μ.</w:t>
      </w:r>
      <w:r w:rsidR="00B13B10" w:rsidRPr="00DC5FE7">
        <w:rPr>
          <w:rFonts w:ascii="Segoe UI" w:hAnsi="Segoe UI" w:cs="Segoe UI"/>
          <w:sz w:val="20"/>
        </w:rPr>
        <w:t>β.</w:t>
      </w:r>
      <w:r w:rsidR="007F28B8" w:rsidRPr="00DC5FE7">
        <w:rPr>
          <w:rFonts w:ascii="Segoe UI" w:hAnsi="Segoe UI" w:cs="Segoe UI"/>
          <w:sz w:val="20"/>
        </w:rPr>
        <w:t xml:space="preserve"> </w:t>
      </w:r>
      <w:r w:rsidR="007B2A11" w:rsidRPr="00DC5FE7">
        <w:rPr>
          <w:rFonts w:ascii="Segoe UI" w:hAnsi="Segoe UI" w:cs="Segoe UI"/>
          <w:sz w:val="20"/>
        </w:rPr>
        <w:t xml:space="preserve">σε τριμηνιαία βάση, </w:t>
      </w:r>
      <w:r w:rsidR="001B5318" w:rsidRPr="00DC5FE7">
        <w:rPr>
          <w:rFonts w:ascii="Segoe UI" w:hAnsi="Segoe UI" w:cs="Segoe UI"/>
          <w:sz w:val="20"/>
        </w:rPr>
        <w:t>σε</w:t>
      </w:r>
      <w:r w:rsidR="007F28B8" w:rsidRPr="00DC5FE7">
        <w:rPr>
          <w:rFonts w:ascii="Segoe UI" w:hAnsi="Segoe UI" w:cs="Segoe UI"/>
          <w:sz w:val="20"/>
        </w:rPr>
        <w:t xml:space="preserve"> </w:t>
      </w:r>
      <w:r w:rsidR="00B41952" w:rsidRPr="00DC5FE7">
        <w:rPr>
          <w:rFonts w:ascii="Segoe UI" w:hAnsi="Segoe UI" w:cs="Segoe UI"/>
          <w:sz w:val="20"/>
        </w:rPr>
        <w:t>1</w:t>
      </w:r>
      <w:r w:rsidR="006C1DBB">
        <w:rPr>
          <w:rFonts w:ascii="Segoe UI" w:hAnsi="Segoe UI" w:cs="Segoe UI"/>
          <w:sz w:val="20"/>
        </w:rPr>
        <w:t>2</w:t>
      </w:r>
      <w:r w:rsidR="00B41952" w:rsidRPr="00DC5FE7">
        <w:rPr>
          <w:rFonts w:ascii="Segoe UI" w:hAnsi="Segoe UI" w:cs="Segoe UI"/>
          <w:sz w:val="20"/>
        </w:rPr>
        <w:t>,</w:t>
      </w:r>
      <w:r w:rsidR="006C1DBB">
        <w:rPr>
          <w:rFonts w:ascii="Segoe UI" w:hAnsi="Segoe UI" w:cs="Segoe UI"/>
          <w:sz w:val="20"/>
        </w:rPr>
        <w:t>8</w:t>
      </w:r>
      <w:r w:rsidR="007F28B8" w:rsidRPr="00DC5FE7">
        <w:rPr>
          <w:rFonts w:ascii="Segoe UI" w:hAnsi="Segoe UI" w:cs="Segoe UI"/>
          <w:sz w:val="20"/>
        </w:rPr>
        <w:t>%</w:t>
      </w:r>
      <w:r w:rsidR="00E76A9D" w:rsidRPr="00DC5FE7">
        <w:rPr>
          <w:rFonts w:ascii="Segoe UI" w:hAnsi="Segoe UI" w:cs="Segoe UI"/>
          <w:vertAlign w:val="superscript"/>
        </w:rPr>
        <w:footnoteReference w:id="2"/>
      </w:r>
      <w:r w:rsidR="007F28B8" w:rsidRPr="00DC5FE7">
        <w:rPr>
          <w:rFonts w:ascii="Segoe UI" w:hAnsi="Segoe UI" w:cs="Segoe UI"/>
          <w:sz w:val="20"/>
        </w:rPr>
        <w:t xml:space="preserve"> το </w:t>
      </w:r>
      <w:r w:rsidR="006C1DBB">
        <w:rPr>
          <w:rFonts w:ascii="Segoe UI" w:hAnsi="Segoe UI" w:cs="Segoe UI"/>
          <w:sz w:val="20"/>
        </w:rPr>
        <w:t>Β</w:t>
      </w:r>
      <w:r w:rsidR="007F28B8" w:rsidRPr="00DC5FE7">
        <w:rPr>
          <w:rFonts w:ascii="Segoe UI" w:hAnsi="Segoe UI" w:cs="Segoe UI"/>
          <w:sz w:val="20"/>
        </w:rPr>
        <w:t>’ τρίμηνο 202</w:t>
      </w:r>
      <w:r w:rsidR="00B13B10" w:rsidRPr="00DC5FE7">
        <w:rPr>
          <w:rFonts w:ascii="Segoe UI" w:hAnsi="Segoe UI" w:cs="Segoe UI"/>
          <w:sz w:val="20"/>
        </w:rPr>
        <w:t>1</w:t>
      </w:r>
      <w:r w:rsidR="007F28B8" w:rsidRPr="00DC5FE7">
        <w:rPr>
          <w:rFonts w:ascii="Segoe UI" w:hAnsi="Segoe UI" w:cs="Segoe UI"/>
          <w:sz w:val="20"/>
        </w:rPr>
        <w:t xml:space="preserve">. Ο </w:t>
      </w:r>
      <w:r w:rsidR="007F28B8" w:rsidRPr="00DC5FE7">
        <w:rPr>
          <w:rFonts w:ascii="Segoe UI" w:hAnsi="Segoe UI" w:cs="Segoe UI"/>
          <w:b/>
          <w:sz w:val="20"/>
        </w:rPr>
        <w:t>δείκτη</w:t>
      </w:r>
      <w:r w:rsidR="008222C3" w:rsidRPr="00DC5FE7">
        <w:rPr>
          <w:rFonts w:ascii="Segoe UI" w:hAnsi="Segoe UI" w:cs="Segoe UI"/>
          <w:b/>
          <w:sz w:val="20"/>
        </w:rPr>
        <w:t>ς</w:t>
      </w:r>
      <w:r w:rsidR="007F28B8" w:rsidRPr="00DC5FE7">
        <w:rPr>
          <w:rFonts w:ascii="Segoe UI" w:hAnsi="Segoe UI" w:cs="Segoe UI"/>
          <w:b/>
          <w:sz w:val="20"/>
        </w:rPr>
        <w:t xml:space="preserve"> κάλυψης ΜΕΑ </w:t>
      </w:r>
      <w:r w:rsidR="007F28B8" w:rsidRPr="00DC5FE7">
        <w:rPr>
          <w:rFonts w:ascii="Segoe UI" w:hAnsi="Segoe UI" w:cs="Segoe UI"/>
          <w:sz w:val="20"/>
        </w:rPr>
        <w:t xml:space="preserve">από σωρευμένες προβλέψεις </w:t>
      </w:r>
      <w:r w:rsidR="00D229E3" w:rsidRPr="00DC5FE7">
        <w:rPr>
          <w:rFonts w:ascii="Segoe UI" w:hAnsi="Segoe UI" w:cs="Segoe UI"/>
          <w:sz w:val="20"/>
        </w:rPr>
        <w:t xml:space="preserve">ανήλθε </w:t>
      </w:r>
      <w:r w:rsidR="007F28B8" w:rsidRPr="00DC5FE7">
        <w:rPr>
          <w:rFonts w:ascii="Segoe UI" w:hAnsi="Segoe UI" w:cs="Segoe UI"/>
          <w:sz w:val="20"/>
        </w:rPr>
        <w:t xml:space="preserve">σε </w:t>
      </w:r>
      <w:r w:rsidR="00D229E3" w:rsidRPr="00DC5FE7">
        <w:rPr>
          <w:rFonts w:ascii="Segoe UI" w:hAnsi="Segoe UI" w:cs="Segoe UI"/>
          <w:sz w:val="20"/>
        </w:rPr>
        <w:t>6</w:t>
      </w:r>
      <w:r w:rsidR="006C1DBB">
        <w:rPr>
          <w:rFonts w:ascii="Segoe UI" w:hAnsi="Segoe UI" w:cs="Segoe UI"/>
          <w:sz w:val="20"/>
        </w:rPr>
        <w:t>6,4</w:t>
      </w:r>
      <w:r w:rsidR="00D229E3" w:rsidRPr="00DC5FE7">
        <w:rPr>
          <w:rFonts w:ascii="Segoe UI" w:hAnsi="Segoe UI" w:cs="Segoe UI"/>
          <w:sz w:val="20"/>
        </w:rPr>
        <w:t xml:space="preserve">% από </w:t>
      </w:r>
      <w:r w:rsidR="00B13B10" w:rsidRPr="00DC5FE7">
        <w:rPr>
          <w:rFonts w:ascii="Segoe UI" w:hAnsi="Segoe UI" w:cs="Segoe UI"/>
          <w:sz w:val="20"/>
        </w:rPr>
        <w:t>6</w:t>
      </w:r>
      <w:r w:rsidR="006C1DBB">
        <w:rPr>
          <w:rFonts w:ascii="Segoe UI" w:hAnsi="Segoe UI" w:cs="Segoe UI"/>
          <w:sz w:val="20"/>
        </w:rPr>
        <w:t>4</w:t>
      </w:r>
      <w:r w:rsidR="00B13B10" w:rsidRPr="00DC5FE7">
        <w:rPr>
          <w:rFonts w:ascii="Segoe UI" w:hAnsi="Segoe UI" w:cs="Segoe UI"/>
          <w:sz w:val="20"/>
        </w:rPr>
        <w:t>,8</w:t>
      </w:r>
      <w:r w:rsidR="007F28B8" w:rsidRPr="00DC5FE7">
        <w:rPr>
          <w:rFonts w:ascii="Segoe UI" w:hAnsi="Segoe UI" w:cs="Segoe UI"/>
          <w:sz w:val="20"/>
        </w:rPr>
        <w:t xml:space="preserve">% </w:t>
      </w:r>
      <w:r w:rsidR="00A735A1" w:rsidRPr="00DC5FE7">
        <w:rPr>
          <w:rFonts w:ascii="Segoe UI" w:hAnsi="Segoe UI" w:cs="Segoe UI"/>
          <w:sz w:val="20"/>
        </w:rPr>
        <w:t xml:space="preserve">το </w:t>
      </w:r>
      <w:r w:rsidR="001C2F52" w:rsidRPr="00DC5FE7">
        <w:rPr>
          <w:rFonts w:ascii="Segoe UI" w:hAnsi="Segoe UI" w:cs="Segoe UI"/>
          <w:sz w:val="20"/>
        </w:rPr>
        <w:t>προηγούμενο</w:t>
      </w:r>
      <w:r w:rsidR="00A735A1" w:rsidRPr="00DC5FE7">
        <w:rPr>
          <w:rFonts w:ascii="Segoe UI" w:hAnsi="Segoe UI" w:cs="Segoe UI"/>
          <w:sz w:val="20"/>
        </w:rPr>
        <w:t xml:space="preserve"> τρίμηνο</w:t>
      </w:r>
      <w:r w:rsidR="00EB3983" w:rsidRPr="00DC5FE7">
        <w:rPr>
          <w:rFonts w:ascii="Segoe UI" w:hAnsi="Segoe UI" w:cs="Segoe UI"/>
          <w:sz w:val="20"/>
        </w:rPr>
        <w:t xml:space="preserve">. </w:t>
      </w:r>
      <w:r w:rsidR="00926BB2" w:rsidRPr="00DC5FE7">
        <w:rPr>
          <w:rFonts w:ascii="Segoe UI" w:hAnsi="Segoe UI" w:cs="Segoe UI"/>
          <w:sz w:val="20"/>
        </w:rPr>
        <w:t>Στις διεθνείς δραστηριότητες</w:t>
      </w:r>
      <w:r w:rsidR="00EE054F" w:rsidRPr="00EE054F">
        <w:rPr>
          <w:rFonts w:ascii="Segoe UI" w:hAnsi="Segoe UI" w:cs="Segoe UI"/>
          <w:sz w:val="20"/>
          <w:vertAlign w:val="superscript"/>
        </w:rPr>
        <w:t>1</w:t>
      </w:r>
      <w:r w:rsidR="00926BB2" w:rsidRPr="00DC5FE7">
        <w:rPr>
          <w:rFonts w:ascii="Segoe UI" w:hAnsi="Segoe UI" w:cs="Segoe UI"/>
          <w:sz w:val="20"/>
        </w:rPr>
        <w:t>, ο δείκτης ΜΕΑ διαμορφώθηκε σε 8,</w:t>
      </w:r>
      <w:r w:rsidR="00926BB2">
        <w:rPr>
          <w:rFonts w:ascii="Segoe UI" w:hAnsi="Segoe UI" w:cs="Segoe UI"/>
          <w:sz w:val="20"/>
        </w:rPr>
        <w:t>5</w:t>
      </w:r>
      <w:r w:rsidR="00926BB2" w:rsidRPr="00DC5FE7">
        <w:rPr>
          <w:rFonts w:ascii="Segoe UI" w:hAnsi="Segoe UI" w:cs="Segoe UI"/>
          <w:sz w:val="20"/>
        </w:rPr>
        <w:t xml:space="preserve">% το </w:t>
      </w:r>
      <w:r w:rsidR="00926BB2">
        <w:rPr>
          <w:rFonts w:ascii="Segoe UI" w:hAnsi="Segoe UI" w:cs="Segoe UI"/>
          <w:sz w:val="20"/>
        </w:rPr>
        <w:t>Β</w:t>
      </w:r>
      <w:r w:rsidR="00926BB2" w:rsidRPr="00DC5FE7">
        <w:rPr>
          <w:rFonts w:ascii="Segoe UI" w:hAnsi="Segoe UI" w:cs="Segoe UI"/>
          <w:sz w:val="20"/>
        </w:rPr>
        <w:t>’ τρίμηνο 2021, με τον αντίστοιχο δείκτη κάλυψης από σωρευμένες προβλέψεις να ανέρχεται σε 7</w:t>
      </w:r>
      <w:r w:rsidR="00926BB2">
        <w:rPr>
          <w:rFonts w:ascii="Segoe UI" w:hAnsi="Segoe UI" w:cs="Segoe UI"/>
          <w:sz w:val="20"/>
        </w:rPr>
        <w:t>8,8</w:t>
      </w:r>
      <w:r w:rsidR="00926BB2" w:rsidRPr="00DC5FE7">
        <w:rPr>
          <w:rFonts w:ascii="Segoe UI" w:hAnsi="Segoe UI" w:cs="Segoe UI"/>
          <w:sz w:val="20"/>
        </w:rPr>
        <w:t>%</w:t>
      </w:r>
      <w:r w:rsidR="0057457B">
        <w:rPr>
          <w:rFonts w:ascii="Segoe UI" w:hAnsi="Segoe UI" w:cs="Segoe UI"/>
          <w:sz w:val="20"/>
        </w:rPr>
        <w:t>.</w:t>
      </w:r>
    </w:p>
    <w:tbl>
      <w:tblPr>
        <w:tblStyle w:val="1"/>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5103"/>
      </w:tblGrid>
      <w:tr w:rsidR="00E55AED" w:rsidRPr="00EE40A0" w:rsidTr="00D17AB5">
        <w:trPr>
          <w:trHeight w:val="2098"/>
          <w:jc w:val="center"/>
        </w:trPr>
        <w:tc>
          <w:tcPr>
            <w:tcW w:w="5103" w:type="dxa"/>
            <w:vAlign w:val="bottom"/>
          </w:tcPr>
          <w:p w:rsidR="00DA6F59" w:rsidRPr="00386B2F" w:rsidRDefault="00DA6F59" w:rsidP="00DA6F59">
            <w:pPr>
              <w:kinsoku w:val="0"/>
              <w:overflowPunct w:val="0"/>
              <w:spacing w:before="40"/>
              <w:ind w:left="38"/>
              <w:textAlignment w:val="baseline"/>
              <w:rPr>
                <w:rFonts w:ascii="Segoe UI" w:eastAsia="Segoe UI" w:hAnsi="Segoe UI" w:cs="Segoe UI"/>
                <w:b/>
                <w:color w:val="008080"/>
                <w:kern w:val="24"/>
                <w:sz w:val="18"/>
              </w:rPr>
            </w:pPr>
            <w:r w:rsidRPr="00386B2F">
              <w:rPr>
                <w:rFonts w:ascii="Segoe UI" w:eastAsia="Segoe UI" w:hAnsi="Segoe UI" w:cs="Segoe UI"/>
                <w:b/>
                <w:color w:val="008080"/>
                <w:kern w:val="24"/>
                <w:sz w:val="18"/>
              </w:rPr>
              <w:t>Δείκτες</w:t>
            </w:r>
            <w:r w:rsidR="001F6FD5" w:rsidRPr="00386B2F">
              <w:rPr>
                <w:rFonts w:ascii="Segoe UI" w:eastAsia="Segoe UI" w:hAnsi="Segoe UI" w:cs="Segoe UI"/>
                <w:b/>
                <w:color w:val="008080"/>
                <w:kern w:val="24"/>
                <w:sz w:val="18"/>
                <w:vertAlign w:val="superscript"/>
              </w:rPr>
              <w:t>2</w:t>
            </w:r>
            <w:r w:rsidRPr="00386B2F">
              <w:rPr>
                <w:rFonts w:ascii="Segoe UI" w:eastAsia="Segoe UI" w:hAnsi="Segoe UI" w:cs="Segoe UI"/>
                <w:b/>
                <w:color w:val="008080"/>
                <w:kern w:val="24"/>
                <w:sz w:val="18"/>
              </w:rPr>
              <w:t xml:space="preserve"> και ποσοστά κάλυψης δανείων σε</w:t>
            </w:r>
            <w:r w:rsidR="000D2509" w:rsidRPr="00386B2F">
              <w:rPr>
                <w:rFonts w:ascii="Segoe UI" w:eastAsia="Segoe UI" w:hAnsi="Segoe UI" w:cs="Segoe UI"/>
                <w:b/>
                <w:color w:val="008080"/>
                <w:kern w:val="24"/>
                <w:sz w:val="18"/>
              </w:rPr>
              <w:t xml:space="preserve"> </w:t>
            </w:r>
            <w:r w:rsidRPr="00386B2F">
              <w:rPr>
                <w:rFonts w:ascii="Segoe UI" w:eastAsia="Segoe UI" w:hAnsi="Segoe UI" w:cs="Segoe UI"/>
                <w:b/>
                <w:color w:val="008080"/>
                <w:kern w:val="24"/>
                <w:sz w:val="18"/>
              </w:rPr>
              <w:t xml:space="preserve">καθυστέρηση </w:t>
            </w:r>
            <w:r w:rsidR="00386B2F">
              <w:rPr>
                <w:rFonts w:ascii="Segoe UI" w:eastAsia="Segoe UI" w:hAnsi="Segoe UI" w:cs="Segoe UI"/>
                <w:b/>
                <w:color w:val="008080"/>
                <w:kern w:val="24"/>
                <w:sz w:val="18"/>
              </w:rPr>
              <w:t>&gt;</w:t>
            </w:r>
            <w:r w:rsidRPr="00386B2F">
              <w:rPr>
                <w:rFonts w:ascii="Segoe UI" w:eastAsia="Segoe UI" w:hAnsi="Segoe UI" w:cs="Segoe UI"/>
                <w:b/>
                <w:color w:val="008080"/>
                <w:kern w:val="24"/>
                <w:sz w:val="18"/>
              </w:rPr>
              <w:t>90 ημερών</w:t>
            </w:r>
            <w:r w:rsidR="00541398" w:rsidRPr="00386B2F">
              <w:rPr>
                <w:rFonts w:ascii="Segoe UI" w:eastAsia="Segoe UI" w:hAnsi="Segoe UI" w:cs="Segoe UI"/>
                <w:b/>
                <w:color w:val="008080"/>
                <w:kern w:val="24"/>
                <w:sz w:val="18"/>
              </w:rPr>
              <w:t xml:space="preserve"> </w:t>
            </w:r>
            <w:r w:rsidR="00386B2F">
              <w:rPr>
                <w:rFonts w:ascii="Segoe UI" w:eastAsia="Segoe UI" w:hAnsi="Segoe UI" w:cs="Segoe UI"/>
                <w:b/>
                <w:color w:val="008080"/>
                <w:kern w:val="24"/>
                <w:sz w:val="18"/>
              </w:rPr>
              <w:t>(</w:t>
            </w:r>
            <w:r w:rsidR="00386B2F" w:rsidRPr="00386B2F">
              <w:rPr>
                <w:rFonts w:ascii="Segoe UI" w:eastAsia="Segoe UI" w:hAnsi="Segoe UI" w:cs="Segoe UI"/>
                <w:b/>
                <w:color w:val="008080"/>
                <w:kern w:val="24"/>
                <w:sz w:val="18"/>
              </w:rPr>
              <w:t>Ελλάδα</w:t>
            </w:r>
            <w:r w:rsidR="00386B2F">
              <w:rPr>
                <w:rFonts w:ascii="Segoe UI" w:eastAsia="Segoe UI" w:hAnsi="Segoe UI" w:cs="Segoe UI"/>
                <w:b/>
                <w:color w:val="008080"/>
                <w:kern w:val="24"/>
                <w:sz w:val="18"/>
              </w:rPr>
              <w:t>)</w:t>
            </w:r>
            <w:r w:rsidR="00386B2F" w:rsidRPr="00386B2F">
              <w:rPr>
                <w:rFonts w:ascii="Segoe UI" w:eastAsia="Segoe UI" w:hAnsi="Segoe UI" w:cs="Segoe UI"/>
                <w:b/>
                <w:color w:val="008080"/>
                <w:kern w:val="24"/>
                <w:sz w:val="18"/>
              </w:rPr>
              <w:t xml:space="preserve"> </w:t>
            </w:r>
            <w:r w:rsidR="00541398" w:rsidRPr="00386B2F">
              <w:rPr>
                <w:rFonts w:ascii="Segoe UI" w:eastAsia="Segoe UI" w:hAnsi="Segoe UI" w:cs="Segoe UI"/>
                <w:b/>
                <w:color w:val="008080"/>
                <w:kern w:val="24"/>
                <w:sz w:val="18"/>
              </w:rPr>
              <w:t xml:space="preserve">| </w:t>
            </w:r>
            <w:r w:rsidR="00386B2F" w:rsidRPr="00386B2F">
              <w:rPr>
                <w:rFonts w:ascii="Segoe UI" w:eastAsia="Segoe UI" w:hAnsi="Segoe UI" w:cs="Segoe UI"/>
                <w:b/>
                <w:color w:val="008080"/>
                <w:kern w:val="24"/>
                <w:sz w:val="18"/>
              </w:rPr>
              <w:t>Β’ τρίμηνο 2021</w:t>
            </w:r>
          </w:p>
          <w:p w:rsidR="00DA6F59" w:rsidRPr="001F6FD5" w:rsidRDefault="00E55AED" w:rsidP="00DA6F59">
            <w:pPr>
              <w:kinsoku w:val="0"/>
              <w:overflowPunct w:val="0"/>
              <w:spacing w:before="40"/>
              <w:ind w:left="547" w:hanging="547"/>
              <w:textAlignment w:val="baseline"/>
              <w:rPr>
                <w:rFonts w:ascii="Segoe UI" w:eastAsia="Times New Roman" w:hAnsi="Segoe UI" w:cs="Segoe UI"/>
              </w:rPr>
            </w:pPr>
            <w:r w:rsidRPr="001F6FD5">
              <w:rPr>
                <w:rFonts w:ascii="Segoe UI" w:eastAsia="Times New Roman" w:hAnsi="Segoe UI" w:cs="Segoe UI"/>
                <w:noProof/>
              </w:rPr>
              <w:drawing>
                <wp:inline distT="0" distB="0" distL="0" distR="0" wp14:anchorId="27F6B72A" wp14:editId="3EDD9994">
                  <wp:extent cx="2997200" cy="1579418"/>
                  <wp:effectExtent l="0" t="0" r="12700" b="1905"/>
                  <wp:docPr id="750847111"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5103" w:type="dxa"/>
            <w:vAlign w:val="bottom"/>
          </w:tcPr>
          <w:p w:rsidR="00E55AED" w:rsidRPr="00386B2F" w:rsidRDefault="00DA6F59" w:rsidP="00DA6F59">
            <w:pPr>
              <w:kinsoku w:val="0"/>
              <w:overflowPunct w:val="0"/>
              <w:spacing w:before="40"/>
              <w:ind w:left="38"/>
              <w:textAlignment w:val="baseline"/>
              <w:rPr>
                <w:rFonts w:ascii="Segoe UI" w:eastAsia="Segoe UI" w:hAnsi="Segoe UI" w:cs="Segoe UI"/>
                <w:b/>
                <w:color w:val="008080"/>
                <w:kern w:val="24"/>
                <w:sz w:val="18"/>
                <w:szCs w:val="18"/>
              </w:rPr>
            </w:pPr>
            <w:r w:rsidRPr="00386B2F">
              <w:rPr>
                <w:rFonts w:ascii="Segoe UI" w:eastAsia="Segoe UI" w:hAnsi="Segoe UI" w:cs="Segoe UI"/>
                <w:b/>
                <w:color w:val="008080"/>
                <w:kern w:val="24"/>
                <w:sz w:val="18"/>
                <w:szCs w:val="18"/>
              </w:rPr>
              <w:t>Δείκτες</w:t>
            </w:r>
            <w:r w:rsidR="001F6FD5" w:rsidRPr="00386B2F">
              <w:rPr>
                <w:rFonts w:ascii="Segoe UI" w:eastAsia="Segoe UI" w:hAnsi="Segoe UI" w:cs="Segoe UI"/>
                <w:b/>
                <w:color w:val="008080"/>
                <w:kern w:val="24"/>
                <w:sz w:val="18"/>
                <w:szCs w:val="18"/>
                <w:vertAlign w:val="superscript"/>
              </w:rPr>
              <w:t>2</w:t>
            </w:r>
            <w:r w:rsidRPr="00386B2F">
              <w:rPr>
                <w:rFonts w:ascii="Segoe UI" w:eastAsia="Segoe UI" w:hAnsi="Segoe UI" w:cs="Segoe UI"/>
                <w:b/>
                <w:color w:val="008080"/>
                <w:kern w:val="24"/>
                <w:sz w:val="18"/>
                <w:szCs w:val="18"/>
              </w:rPr>
              <w:t xml:space="preserve"> και ποσοστά κάλυψης </w:t>
            </w:r>
            <w:r w:rsidR="00386B2F" w:rsidRPr="00386B2F">
              <w:rPr>
                <w:rFonts w:ascii="Segoe UI" w:eastAsia="Segoe UI" w:hAnsi="Segoe UI" w:cs="Segoe UI"/>
                <w:b/>
                <w:color w:val="008080"/>
                <w:kern w:val="24"/>
                <w:sz w:val="18"/>
                <w:szCs w:val="18"/>
              </w:rPr>
              <w:t>(Ελλάδα</w:t>
            </w:r>
            <w:r w:rsidRPr="00386B2F">
              <w:rPr>
                <w:rFonts w:ascii="Segoe UI" w:eastAsia="Segoe UI" w:hAnsi="Segoe UI" w:cs="Segoe UI"/>
                <w:b/>
                <w:color w:val="008080"/>
                <w:kern w:val="24"/>
                <w:sz w:val="18"/>
                <w:szCs w:val="18"/>
              </w:rPr>
              <w:t>)</w:t>
            </w:r>
            <w:r w:rsidR="00541398" w:rsidRPr="00386B2F">
              <w:rPr>
                <w:sz w:val="18"/>
                <w:szCs w:val="18"/>
              </w:rPr>
              <w:t xml:space="preserve"> </w:t>
            </w:r>
            <w:r w:rsidR="00541398" w:rsidRPr="00386B2F">
              <w:rPr>
                <w:rFonts w:ascii="Segoe UI" w:eastAsia="Segoe UI" w:hAnsi="Segoe UI" w:cs="Segoe UI"/>
                <w:b/>
                <w:color w:val="008080"/>
                <w:kern w:val="24"/>
                <w:sz w:val="18"/>
                <w:szCs w:val="18"/>
              </w:rPr>
              <w:t xml:space="preserve">| </w:t>
            </w:r>
            <w:r w:rsidR="00386B2F" w:rsidRPr="00386B2F">
              <w:rPr>
                <w:rFonts w:ascii="Segoe UI" w:eastAsia="Segoe UI" w:hAnsi="Segoe UI" w:cs="Segoe UI"/>
                <w:b/>
                <w:color w:val="008080"/>
                <w:kern w:val="24"/>
                <w:sz w:val="18"/>
                <w:szCs w:val="18"/>
              </w:rPr>
              <w:t>Β’ τρίμηνο 2021</w:t>
            </w:r>
          </w:p>
          <w:p w:rsidR="00E55AED" w:rsidRPr="001F6FD5" w:rsidRDefault="00E55AED" w:rsidP="00D12150">
            <w:pPr>
              <w:kinsoku w:val="0"/>
              <w:overflowPunct w:val="0"/>
              <w:spacing w:before="40"/>
              <w:ind w:left="547" w:hanging="547"/>
              <w:jc w:val="right"/>
              <w:textAlignment w:val="baseline"/>
              <w:rPr>
                <w:rFonts w:ascii="Segoe UI" w:eastAsia="Times New Roman" w:hAnsi="Segoe UI" w:cs="Segoe UI"/>
              </w:rPr>
            </w:pPr>
            <w:r w:rsidRPr="001F6FD5">
              <w:rPr>
                <w:rFonts w:ascii="Segoe UI" w:eastAsia="Times New Roman" w:hAnsi="Segoe UI" w:cs="Segoe UI"/>
                <w:noProof/>
              </w:rPr>
              <w:drawing>
                <wp:inline distT="0" distB="0" distL="0" distR="0" wp14:anchorId="56599C01" wp14:editId="46C2B904">
                  <wp:extent cx="3130550" cy="1578866"/>
                  <wp:effectExtent l="0" t="0" r="12700" b="2540"/>
                  <wp:docPr id="750847112"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E55AED" w:rsidRPr="00FA243D" w:rsidRDefault="00E55AED" w:rsidP="00E55AED">
      <w:pPr>
        <w:kinsoku w:val="0"/>
        <w:overflowPunct w:val="0"/>
        <w:spacing w:before="40"/>
        <w:ind w:left="547" w:hanging="547"/>
        <w:textAlignment w:val="baseline"/>
        <w:rPr>
          <w:rFonts w:ascii="Segoe UI" w:eastAsia="Segoe UI" w:hAnsi="Segoe UI" w:cs="Segoe UI"/>
          <w:b/>
          <w:color w:val="008080"/>
          <w:kern w:val="24"/>
          <w:sz w:val="16"/>
          <w:szCs w:val="16"/>
          <w:lang w:val="en-US" w:eastAsia="el-GR"/>
        </w:rPr>
      </w:pPr>
    </w:p>
    <w:p w:rsidR="00E55AED" w:rsidRPr="00172554" w:rsidRDefault="00DA6F59" w:rsidP="00E55AED">
      <w:pPr>
        <w:kinsoku w:val="0"/>
        <w:overflowPunct w:val="0"/>
        <w:spacing w:before="40"/>
        <w:ind w:left="547" w:hanging="547"/>
        <w:textAlignment w:val="baseline"/>
        <w:rPr>
          <w:rFonts w:ascii="Segoe UI" w:eastAsia="Segoe UI" w:hAnsi="Segoe UI" w:cs="Segoe UI"/>
          <w:b/>
          <w:color w:val="008080"/>
          <w:kern w:val="24"/>
          <w:sz w:val="18"/>
          <w:lang w:eastAsia="el-GR"/>
        </w:rPr>
      </w:pPr>
      <w:r w:rsidRPr="00172554">
        <w:rPr>
          <w:rFonts w:ascii="Segoe UI" w:eastAsia="Segoe UI" w:hAnsi="Segoe UI" w:cs="Segoe UI"/>
          <w:b/>
          <w:color w:val="008080"/>
          <w:kern w:val="24"/>
          <w:sz w:val="18"/>
          <w:lang w:eastAsia="el-GR"/>
        </w:rPr>
        <w:t xml:space="preserve">Μεταβολή ΜΕΑ </w:t>
      </w:r>
      <w:r w:rsidR="00B2082C" w:rsidRPr="00172554">
        <w:rPr>
          <w:rFonts w:ascii="Segoe UI" w:eastAsia="Segoe UI" w:hAnsi="Segoe UI" w:cs="Segoe UI"/>
          <w:b/>
          <w:color w:val="008080"/>
          <w:kern w:val="24"/>
          <w:sz w:val="18"/>
          <w:lang w:eastAsia="el-GR"/>
        </w:rPr>
        <w:t>(€ δισ.) | Ελλάδα</w:t>
      </w:r>
    </w:p>
    <w:p w:rsidR="00E55AED" w:rsidRDefault="009D037E" w:rsidP="00D12150">
      <w:pPr>
        <w:kinsoku w:val="0"/>
        <w:overflowPunct w:val="0"/>
        <w:spacing w:before="40"/>
        <w:ind w:left="547" w:hanging="547"/>
        <w:textAlignment w:val="baseline"/>
        <w:rPr>
          <w:rFonts w:ascii="Segoe UI" w:eastAsia="Segoe UI" w:hAnsi="Segoe UI" w:cs="Segoe UI"/>
          <w:b/>
          <w:color w:val="008080"/>
          <w:kern w:val="24"/>
          <w:sz w:val="18"/>
          <w:lang w:val="en-US" w:eastAsia="el-GR"/>
        </w:rPr>
      </w:pPr>
      <w:r w:rsidRPr="004578EA">
        <w:rPr>
          <w:noProof/>
          <w:lang w:eastAsia="el-GR"/>
        </w:rPr>
        <mc:AlternateContent>
          <mc:Choice Requires="wps">
            <w:drawing>
              <wp:anchor distT="0" distB="0" distL="114300" distR="114300" simplePos="0" relativeHeight="251726336" behindDoc="0" locked="0" layoutInCell="1" allowOverlap="1" wp14:anchorId="15BB2EE9" wp14:editId="49035432">
                <wp:simplePos x="0" y="0"/>
                <wp:positionH relativeFrom="page">
                  <wp:posOffset>5903959</wp:posOffset>
                </wp:positionH>
                <wp:positionV relativeFrom="paragraph">
                  <wp:posOffset>153593</wp:posOffset>
                </wp:positionV>
                <wp:extent cx="1001586" cy="427355"/>
                <wp:effectExtent l="0" t="0" r="27305" b="125095"/>
                <wp:wrapNone/>
                <wp:docPr id="11" name="Rectangular Callout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1586" cy="427355"/>
                        </a:xfrm>
                        <a:prstGeom prst="wedgeRectCallout">
                          <a:avLst>
                            <a:gd name="adj1" fmla="val 38113"/>
                            <a:gd name="adj2" fmla="val 75911"/>
                          </a:avLst>
                        </a:prstGeom>
                        <a:solidFill>
                          <a:sysClr val="window" lastClr="FFFFFF"/>
                        </a:solidFill>
                        <a:ln w="9525" cap="flat" cmpd="sng" algn="ctr">
                          <a:solidFill>
                            <a:sysClr val="window" lastClr="FFFFFF">
                              <a:lumMod val="50000"/>
                            </a:sysClr>
                          </a:solidFill>
                          <a:prstDash val="solid"/>
                        </a:ln>
                        <a:effectLst/>
                      </wps:spPr>
                      <wps:txbx>
                        <w:txbxContent>
                          <w:p w:rsidR="00DA0337" w:rsidRPr="009D037E" w:rsidRDefault="00DA0337" w:rsidP="009D037E">
                            <w:pPr>
                              <w:pStyle w:val="NormalWeb"/>
                              <w:spacing w:before="0" w:beforeAutospacing="0" w:after="0" w:afterAutospacing="0"/>
                              <w:jc w:val="center"/>
                              <w:rPr>
                                <w:rFonts w:ascii="Segoe UI" w:hAnsi="Segoe UI" w:cs="Segoe UI"/>
                                <w:sz w:val="10"/>
                                <w:szCs w:val="14"/>
                              </w:rPr>
                            </w:pPr>
                            <w:r>
                              <w:rPr>
                                <w:rFonts w:ascii="Segoe UI" w:hAnsi="Segoe UI" w:cs="Segoe UI"/>
                                <w:color w:val="000000"/>
                                <w:sz w:val="10"/>
                                <w:szCs w:val="14"/>
                              </w:rPr>
                              <w:t xml:space="preserve">Μείωση ύψους </w:t>
                            </w:r>
                            <w:r w:rsidRPr="009D037E">
                              <w:rPr>
                                <w:rFonts w:ascii="Segoe UI" w:hAnsi="Segoe UI" w:cs="Segoe UI"/>
                                <w:color w:val="000000"/>
                                <w:sz w:val="10"/>
                                <w:szCs w:val="14"/>
                              </w:rPr>
                              <w:t>€0,3</w:t>
                            </w:r>
                            <w:r>
                              <w:rPr>
                                <w:rFonts w:ascii="Segoe UI" w:hAnsi="Segoe UI" w:cs="Segoe UI"/>
                                <w:color w:val="000000"/>
                                <w:sz w:val="10"/>
                                <w:szCs w:val="14"/>
                              </w:rPr>
                              <w:t xml:space="preserve"> δισ. από την αρχή του έτους και </w:t>
                            </w:r>
                            <w:r w:rsidRPr="009D037E">
                              <w:rPr>
                                <w:rFonts w:ascii="Segoe UI" w:hAnsi="Segoe UI" w:cs="Segoe UI"/>
                                <w:color w:val="000000"/>
                                <w:sz w:val="10"/>
                                <w:szCs w:val="14"/>
                              </w:rPr>
                              <w:t>€6.3</w:t>
                            </w:r>
                            <w:r>
                              <w:rPr>
                                <w:rFonts w:ascii="Segoe UI" w:hAnsi="Segoe UI" w:cs="Segoe UI"/>
                                <w:color w:val="000000"/>
                                <w:sz w:val="10"/>
                                <w:szCs w:val="14"/>
                              </w:rPr>
                              <w:t xml:space="preserve"> δισ. σε σχέση με το Β’ τρίμηνο 2020</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type w14:anchorId="15BB2EE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18" o:spid="_x0000_s1036" type="#_x0000_t61" style="position:absolute;left:0;text-align:left;margin-left:464.9pt;margin-top:12.1pt;width:78.85pt;height:33.65pt;z-index:251726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" adj="19032,27197" fillcolor="window" strokecolor="#7f7f7f">
                <v:path arrowok="t"/>
                <v:textbox>
                  <w:txbxContent>
                    <w:p w:rsidR="00DA0337" w:rsidRPr="009D037E" w:rsidRDefault="00DA0337" w:rsidP="009D037E">
                      <w:pPr>
                        <w:pStyle w:val="Web"/>
                        <w:spacing w:before="0" w:beforeAutospacing="0" w:after="0" w:afterAutospacing="0"/>
                        <w:jc w:val="center"/>
                        <w:rPr>
                          <w:rFonts w:ascii="Segoe UI" w:hAnsi="Segoe UI" w:cs="Segoe UI"/>
                          <w:sz w:val="10"/>
                          <w:szCs w:val="14"/>
                        </w:rPr>
                      </w:pPr>
                      <w:r>
                        <w:rPr>
                          <w:rFonts w:ascii="Segoe UI" w:hAnsi="Segoe UI" w:cs="Segoe UI"/>
                          <w:color w:val="000000"/>
                          <w:sz w:val="10"/>
                          <w:szCs w:val="14"/>
                        </w:rPr>
                        <w:t xml:space="preserve">Μείωση ύψους </w:t>
                      </w:r>
                      <w:r w:rsidRPr="009D037E">
                        <w:rPr>
                          <w:rFonts w:ascii="Segoe UI" w:hAnsi="Segoe UI" w:cs="Segoe UI"/>
                          <w:color w:val="000000"/>
                          <w:sz w:val="10"/>
                          <w:szCs w:val="14"/>
                        </w:rPr>
                        <w:t>€0,3</w:t>
                      </w:r>
                      <w:r>
                        <w:rPr>
                          <w:rFonts w:ascii="Segoe UI" w:hAnsi="Segoe UI" w:cs="Segoe UI"/>
                          <w:color w:val="000000"/>
                          <w:sz w:val="10"/>
                          <w:szCs w:val="14"/>
                        </w:rPr>
                        <w:t xml:space="preserve"> δισ. από την αρχή του έτους και </w:t>
                      </w:r>
                      <w:r w:rsidRPr="009D037E">
                        <w:rPr>
                          <w:rFonts w:ascii="Segoe UI" w:hAnsi="Segoe UI" w:cs="Segoe UI"/>
                          <w:color w:val="000000"/>
                          <w:sz w:val="10"/>
                          <w:szCs w:val="14"/>
                        </w:rPr>
                        <w:t>€6.3</w:t>
                      </w:r>
                      <w:r>
                        <w:rPr>
                          <w:rFonts w:ascii="Segoe UI" w:hAnsi="Segoe UI" w:cs="Segoe UI"/>
                          <w:color w:val="000000"/>
                          <w:sz w:val="10"/>
                          <w:szCs w:val="14"/>
                        </w:rPr>
                        <w:t xml:space="preserve"> δισ. σε σχέση με το Β’ τρίμηνο 2020</w:t>
                      </w:r>
                    </w:p>
                  </w:txbxContent>
                </v:textbox>
                <w10:wrap anchorx="page"/>
              </v:shape>
            </w:pict>
          </mc:Fallback>
        </mc:AlternateContent>
      </w:r>
      <w:r w:rsidR="002E2675" w:rsidRPr="007D52E2">
        <w:rPr>
          <w:rFonts w:ascii="Segoe UI" w:hAnsi="Segoe UI" w:cs="Segoe UI"/>
          <w:noProof/>
          <w:lang w:eastAsia="el-GR"/>
        </w:rPr>
        <mc:AlternateContent>
          <mc:Choice Requires="wps">
            <w:drawing>
              <wp:anchor distT="0" distB="0" distL="114300" distR="114300" simplePos="0" relativeHeight="251705856" behindDoc="0" locked="0" layoutInCell="1" allowOverlap="1" wp14:anchorId="29F3171E" wp14:editId="6DCAB4C9">
                <wp:simplePos x="0" y="0"/>
                <wp:positionH relativeFrom="column">
                  <wp:posOffset>3823541</wp:posOffset>
                </wp:positionH>
                <wp:positionV relativeFrom="paragraph">
                  <wp:posOffset>36195</wp:posOffset>
                </wp:positionV>
                <wp:extent cx="575945" cy="289560"/>
                <wp:effectExtent l="0" t="0" r="0" b="0"/>
                <wp:wrapNone/>
                <wp:docPr id="6" name="Rectangular Callout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 cy="289560"/>
                        </a:xfrm>
                        <a:prstGeom prst="wedgeRectCallout">
                          <a:avLst>
                            <a:gd name="adj1" fmla="val -47983"/>
                            <a:gd name="adj2" fmla="val -13961"/>
                          </a:avLst>
                        </a:prstGeom>
                        <a:noFill/>
                        <a:ln w="12700" cap="flat" cmpd="sng" algn="ctr">
                          <a:noFill/>
                          <a:prstDash val="solid"/>
                          <a:miter lim="800000"/>
                        </a:ln>
                        <a:effectLst/>
                      </wps:spPr>
                      <wps:txbx>
                        <w:txbxContent>
                          <w:p w:rsidR="00DA0337" w:rsidRPr="007D52E2" w:rsidRDefault="00DA0337" w:rsidP="007D52E2">
                            <w:pPr>
                              <w:pStyle w:val="Calibri9IFRS"/>
                              <w:spacing w:before="0" w:after="0"/>
                              <w:textAlignment w:val="baseline"/>
                              <w:rPr>
                                <w:rFonts w:ascii="Segoe UI" w:hAnsi="Segoe UI" w:cs="Segoe UI"/>
                                <w:b w:val="0"/>
                                <w:bCs/>
                                <w:color w:val="000000" w:themeColor="text1"/>
                                <w:kern w:val="24"/>
                                <w:sz w:val="10"/>
                                <w:szCs w:val="20"/>
                              </w:rPr>
                            </w:pPr>
                            <w:r w:rsidRPr="007D52E2">
                              <w:rPr>
                                <w:rFonts w:ascii="Segoe UI" w:hAnsi="Segoe UI" w:cs="Segoe UI"/>
                                <w:bCs/>
                                <w:color w:val="000000" w:themeColor="text1"/>
                                <w:kern w:val="24"/>
                                <w:sz w:val="10"/>
                                <w:szCs w:val="20"/>
                              </w:rPr>
                              <w:t>-€6</w:t>
                            </w:r>
                            <w:r>
                              <w:rPr>
                                <w:rFonts w:ascii="Segoe UI" w:hAnsi="Segoe UI" w:cs="Segoe UI"/>
                                <w:bCs/>
                                <w:color w:val="000000" w:themeColor="text1"/>
                                <w:kern w:val="24"/>
                                <w:sz w:val="10"/>
                                <w:szCs w:val="20"/>
                                <w:lang w:val="el-GR"/>
                              </w:rPr>
                              <w:t>,</w:t>
                            </w:r>
                            <w:r w:rsidRPr="007D52E2">
                              <w:rPr>
                                <w:rFonts w:ascii="Segoe UI" w:hAnsi="Segoe UI" w:cs="Segoe UI"/>
                                <w:bCs/>
                                <w:color w:val="000000" w:themeColor="text1"/>
                                <w:kern w:val="24"/>
                                <w:sz w:val="10"/>
                                <w:szCs w:val="20"/>
                              </w:rPr>
                              <w:t>5</w:t>
                            </w:r>
                            <w:r w:rsidRPr="007D52E2">
                              <w:rPr>
                                <w:rFonts w:ascii="Segoe UI" w:hAnsi="Segoe UI" w:cs="Segoe UI"/>
                                <w:bCs/>
                                <w:color w:val="000000" w:themeColor="text1"/>
                                <w:kern w:val="24"/>
                                <w:sz w:val="10"/>
                                <w:szCs w:val="20"/>
                                <w:lang w:val="el-GR"/>
                              </w:rPr>
                              <w:t xml:space="preserve"> δι</w:t>
                            </w:r>
                            <w:r>
                              <w:rPr>
                                <w:rFonts w:ascii="Segoe UI" w:hAnsi="Segoe UI" w:cs="Segoe UI"/>
                                <w:bCs/>
                                <w:color w:val="000000" w:themeColor="text1"/>
                                <w:kern w:val="24"/>
                                <w:sz w:val="10"/>
                                <w:szCs w:val="20"/>
                                <w:lang w:val="el-GR"/>
                              </w:rPr>
                              <w:t>σ</w:t>
                            </w:r>
                            <w:r w:rsidRPr="007D52E2">
                              <w:rPr>
                                <w:rFonts w:ascii="Segoe UI" w:hAnsi="Segoe UI" w:cs="Segoe UI"/>
                                <w:bCs/>
                                <w:color w:val="000000" w:themeColor="text1"/>
                                <w:kern w:val="24"/>
                                <w:sz w:val="10"/>
                                <w:szCs w:val="20"/>
                                <w:lang w:val="el-GR"/>
                              </w:rPr>
                              <w:t>.</w:t>
                            </w:r>
                            <w:r>
                              <w:rPr>
                                <w:rFonts w:ascii="Segoe UI" w:hAnsi="Segoe UI" w:cs="Segoe UI"/>
                                <w:bCs/>
                                <w:color w:val="000000" w:themeColor="text1"/>
                                <w:kern w:val="24"/>
                                <w:sz w:val="10"/>
                                <w:szCs w:val="20"/>
                                <w:lang w:val="el-GR"/>
                              </w:rPr>
                              <w:t xml:space="preserve"> σε</w:t>
                            </w:r>
                            <w:r w:rsidRPr="007D52E2">
                              <w:rPr>
                                <w:rFonts w:ascii="Segoe UI" w:hAnsi="Segoe UI" w:cs="Segoe UI"/>
                                <w:bCs/>
                                <w:color w:val="000000" w:themeColor="text1"/>
                                <w:kern w:val="24"/>
                                <w:sz w:val="10"/>
                                <w:szCs w:val="20"/>
                                <w:lang w:val="el-GR"/>
                              </w:rPr>
                              <w:t xml:space="preserve"> </w:t>
                            </w:r>
                            <w:r>
                              <w:rPr>
                                <w:rFonts w:ascii="Segoe UI" w:hAnsi="Segoe UI" w:cs="Segoe UI"/>
                                <w:bCs/>
                                <w:color w:val="000000" w:themeColor="text1"/>
                                <w:kern w:val="24"/>
                                <w:sz w:val="10"/>
                                <w:szCs w:val="20"/>
                                <w:lang w:val="el-GR"/>
                              </w:rPr>
                              <w:t>ετήσια βάση</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29F3171E" id="Rectangular Callout 27" o:spid="_x0000_s1037" type="#_x0000_t61" style="position:absolute;left:0;text-align:left;margin-left:301.05pt;margin-top:2.85pt;width:45.35pt;height:22.8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" adj="436,7784" filled="f" stroked="f" strokeweight="1pt">
                <v:path arrowok="t"/>
                <v:textbox>
                  <w:txbxContent>
                    <w:p w:rsidR="00DA0337" w:rsidRPr="007D52E2" w:rsidRDefault="00DA0337" w:rsidP="007D52E2">
                      <w:pPr>
                        <w:pStyle w:val="Calibri9IFRS"/>
                        <w:spacing w:before="0" w:after="0"/>
                        <w:textAlignment w:val="baseline"/>
                        <w:rPr>
                          <w:rFonts w:ascii="Segoe UI" w:hAnsi="Segoe UI" w:cs="Segoe UI"/>
                          <w:b w:val="0"/>
                          <w:bCs/>
                          <w:color w:val="000000" w:themeColor="text1"/>
                          <w:kern w:val="24"/>
                          <w:sz w:val="10"/>
                          <w:szCs w:val="20"/>
                        </w:rPr>
                      </w:pPr>
                      <w:r w:rsidRPr="007D52E2">
                        <w:rPr>
                          <w:rFonts w:ascii="Segoe UI" w:hAnsi="Segoe UI" w:cs="Segoe UI"/>
                          <w:bCs/>
                          <w:color w:val="000000" w:themeColor="text1"/>
                          <w:kern w:val="24"/>
                          <w:sz w:val="10"/>
                          <w:szCs w:val="20"/>
                        </w:rPr>
                        <w:t>-€6</w:t>
                      </w:r>
                      <w:r>
                        <w:rPr>
                          <w:rFonts w:ascii="Segoe UI" w:hAnsi="Segoe UI" w:cs="Segoe UI"/>
                          <w:bCs/>
                          <w:color w:val="000000" w:themeColor="text1"/>
                          <w:kern w:val="24"/>
                          <w:sz w:val="10"/>
                          <w:szCs w:val="20"/>
                          <w:lang w:val="el-GR"/>
                        </w:rPr>
                        <w:t>,</w:t>
                      </w:r>
                      <w:r w:rsidRPr="007D52E2">
                        <w:rPr>
                          <w:rFonts w:ascii="Segoe UI" w:hAnsi="Segoe UI" w:cs="Segoe UI"/>
                          <w:bCs/>
                          <w:color w:val="000000" w:themeColor="text1"/>
                          <w:kern w:val="24"/>
                          <w:sz w:val="10"/>
                          <w:szCs w:val="20"/>
                        </w:rPr>
                        <w:t>5</w:t>
                      </w:r>
                      <w:r w:rsidRPr="007D52E2">
                        <w:rPr>
                          <w:rFonts w:ascii="Segoe UI" w:hAnsi="Segoe UI" w:cs="Segoe UI"/>
                          <w:bCs/>
                          <w:color w:val="000000" w:themeColor="text1"/>
                          <w:kern w:val="24"/>
                          <w:sz w:val="10"/>
                          <w:szCs w:val="20"/>
                          <w:lang w:val="el-GR"/>
                        </w:rPr>
                        <w:t xml:space="preserve"> δι</w:t>
                      </w:r>
                      <w:r>
                        <w:rPr>
                          <w:rFonts w:ascii="Segoe UI" w:hAnsi="Segoe UI" w:cs="Segoe UI"/>
                          <w:bCs/>
                          <w:color w:val="000000" w:themeColor="text1"/>
                          <w:kern w:val="24"/>
                          <w:sz w:val="10"/>
                          <w:szCs w:val="20"/>
                          <w:lang w:val="el-GR"/>
                        </w:rPr>
                        <w:t>σ</w:t>
                      </w:r>
                      <w:r w:rsidRPr="007D52E2">
                        <w:rPr>
                          <w:rFonts w:ascii="Segoe UI" w:hAnsi="Segoe UI" w:cs="Segoe UI"/>
                          <w:bCs/>
                          <w:color w:val="000000" w:themeColor="text1"/>
                          <w:kern w:val="24"/>
                          <w:sz w:val="10"/>
                          <w:szCs w:val="20"/>
                          <w:lang w:val="el-GR"/>
                        </w:rPr>
                        <w:t>.</w:t>
                      </w:r>
                      <w:r>
                        <w:rPr>
                          <w:rFonts w:ascii="Segoe UI" w:hAnsi="Segoe UI" w:cs="Segoe UI"/>
                          <w:bCs/>
                          <w:color w:val="000000" w:themeColor="text1"/>
                          <w:kern w:val="24"/>
                          <w:sz w:val="10"/>
                          <w:szCs w:val="20"/>
                          <w:lang w:val="el-GR"/>
                        </w:rPr>
                        <w:t xml:space="preserve"> σε</w:t>
                      </w:r>
                      <w:r w:rsidRPr="007D52E2">
                        <w:rPr>
                          <w:rFonts w:ascii="Segoe UI" w:hAnsi="Segoe UI" w:cs="Segoe UI"/>
                          <w:bCs/>
                          <w:color w:val="000000" w:themeColor="text1"/>
                          <w:kern w:val="24"/>
                          <w:sz w:val="10"/>
                          <w:szCs w:val="20"/>
                          <w:lang w:val="el-GR"/>
                        </w:rPr>
                        <w:t xml:space="preserve"> </w:t>
                      </w:r>
                      <w:r>
                        <w:rPr>
                          <w:rFonts w:ascii="Segoe UI" w:hAnsi="Segoe UI" w:cs="Segoe UI"/>
                          <w:bCs/>
                          <w:color w:val="000000" w:themeColor="text1"/>
                          <w:kern w:val="24"/>
                          <w:sz w:val="10"/>
                          <w:szCs w:val="20"/>
                          <w:lang w:val="el-GR"/>
                        </w:rPr>
                        <w:t>ετήσια βάση</w:t>
                      </w:r>
                    </w:p>
                  </w:txbxContent>
                </v:textbox>
              </v:shape>
            </w:pict>
          </mc:Fallback>
        </mc:AlternateContent>
      </w:r>
      <w:r w:rsidR="002E2675">
        <w:rPr>
          <w:noProof/>
          <w:lang w:eastAsia="el-GR"/>
        </w:rPr>
        <mc:AlternateContent>
          <mc:Choice Requires="wps">
            <w:drawing>
              <wp:anchor distT="0" distB="0" distL="114300" distR="114300" simplePos="0" relativeHeight="251701760" behindDoc="0" locked="0" layoutInCell="1" allowOverlap="1" wp14:anchorId="1B45CCE3" wp14:editId="5FD1E865">
                <wp:simplePos x="0" y="0"/>
                <wp:positionH relativeFrom="column">
                  <wp:posOffset>3624580</wp:posOffset>
                </wp:positionH>
                <wp:positionV relativeFrom="paragraph">
                  <wp:posOffset>181610</wp:posOffset>
                </wp:positionV>
                <wp:extent cx="107950" cy="0"/>
                <wp:effectExtent l="0" t="0" r="25400" b="19050"/>
                <wp:wrapNone/>
                <wp:docPr id="21" name="Ευθεία γραμμή σύνδεσης 2"/>
                <wp:cNvGraphicFramePr/>
                <a:graphic xmlns:a="http://schemas.openxmlformats.org/drawingml/2006/main">
                  <a:graphicData uri="http://schemas.microsoft.com/office/word/2010/wordprocessingShape">
                    <wps:wsp>
                      <wps:cNvCnPr/>
                      <wps:spPr>
                        <a:xfrm>
                          <a:off x="0" y="0"/>
                          <a:ext cx="107950" cy="0"/>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90CC64" id="Ευθεία γραμμή σύνδεσης 2"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4pt,14.3pt" to="293.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" strokecolor="#7f7f7f [1612]" strokeweight=".5pt">
                <v:stroke joinstyle="miter"/>
              </v:line>
            </w:pict>
          </mc:Fallback>
        </mc:AlternateContent>
      </w:r>
      <w:r w:rsidR="002E2675">
        <w:rPr>
          <w:noProof/>
          <w:lang w:eastAsia="el-GR"/>
        </w:rPr>
        <mc:AlternateContent>
          <mc:Choice Requires="wps">
            <w:drawing>
              <wp:anchor distT="0" distB="0" distL="114300" distR="114300" simplePos="0" relativeHeight="251712000" behindDoc="0" locked="0" layoutInCell="1" allowOverlap="1" wp14:anchorId="7CEBCC46" wp14:editId="7D0893C9">
                <wp:simplePos x="0" y="0"/>
                <wp:positionH relativeFrom="column">
                  <wp:posOffset>3621834</wp:posOffset>
                </wp:positionH>
                <wp:positionV relativeFrom="paragraph">
                  <wp:posOffset>184150</wp:posOffset>
                </wp:positionV>
                <wp:extent cx="0" cy="251460"/>
                <wp:effectExtent l="0" t="0" r="19050" b="15240"/>
                <wp:wrapNone/>
                <wp:docPr id="16" name="Ευθεία γραμμή σύνδεσης 1"/>
                <wp:cNvGraphicFramePr/>
                <a:graphic xmlns:a="http://schemas.openxmlformats.org/drawingml/2006/main">
                  <a:graphicData uri="http://schemas.microsoft.com/office/word/2010/wordprocessingShape">
                    <wps:wsp>
                      <wps:cNvCnPr/>
                      <wps:spPr>
                        <a:xfrm flipV="1">
                          <a:off x="0" y="0"/>
                          <a:ext cx="0" cy="251460"/>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8DC672E" id="Ευθεία γραμμή σύνδεσης 1" o:spid="_x0000_s1026" style="position:absolute;flip:y;z-index:251712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5.2pt,14.5pt" to="285.2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" strokecolor="#7f7f7f [1612]" strokeweight=".5pt">
                <v:stroke joinstyle="miter"/>
              </v:line>
            </w:pict>
          </mc:Fallback>
        </mc:AlternateContent>
      </w:r>
      <w:r w:rsidR="002E2675" w:rsidRPr="00E7058E">
        <w:rPr>
          <w:rFonts w:ascii="Segoe UI" w:hAnsi="Segoe UI" w:cs="Segoe UI"/>
          <w:noProof/>
          <w:lang w:eastAsia="el-GR"/>
        </w:rPr>
        <mc:AlternateContent>
          <mc:Choice Requires="wps">
            <w:drawing>
              <wp:anchor distT="0" distB="0" distL="114300" distR="114300" simplePos="0" relativeHeight="251707904" behindDoc="0" locked="0" layoutInCell="1" allowOverlap="1" wp14:anchorId="3FE4E25C" wp14:editId="4ACCB2C5">
                <wp:simplePos x="0" y="0"/>
                <wp:positionH relativeFrom="column">
                  <wp:posOffset>3776756</wp:posOffset>
                </wp:positionH>
                <wp:positionV relativeFrom="paragraph">
                  <wp:posOffset>63500</wp:posOffset>
                </wp:positionV>
                <wp:extent cx="683895" cy="251460"/>
                <wp:effectExtent l="0" t="0" r="20955" b="15240"/>
                <wp:wrapNone/>
                <wp:docPr id="750847113"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251460"/>
                        </a:xfrm>
                        <a:prstGeom prst="ellipse">
                          <a:avLst/>
                        </a:prstGeom>
                        <a:noFill/>
                        <a:ln w="12700" cap="flat" cmpd="sng" algn="ctr">
                          <a:solidFill>
                            <a:srgbClr val="00808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FC76F1" id="Oval 20" o:spid="_x0000_s1026" style="position:absolute;margin-left:297.4pt;margin-top:5pt;width:53.85pt;height:19.8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" filled="f" strokecolor="teal" strokeweight="1pt">
                <v:stroke joinstyle="miter"/>
                <v:path arrowok="t"/>
              </v:oval>
            </w:pict>
          </mc:Fallback>
        </mc:AlternateContent>
      </w:r>
      <w:r w:rsidR="002E2675">
        <w:rPr>
          <w:noProof/>
          <w:lang w:eastAsia="el-GR"/>
        </w:rPr>
        <mc:AlternateContent>
          <mc:Choice Requires="wps">
            <w:drawing>
              <wp:anchor distT="0" distB="0" distL="114300" distR="114300" simplePos="0" relativeHeight="251702784" behindDoc="0" locked="0" layoutInCell="1" allowOverlap="1" wp14:anchorId="1292A213" wp14:editId="1E606987">
                <wp:simplePos x="0" y="0"/>
                <wp:positionH relativeFrom="column">
                  <wp:posOffset>4492831</wp:posOffset>
                </wp:positionH>
                <wp:positionV relativeFrom="paragraph">
                  <wp:posOffset>182880</wp:posOffset>
                </wp:positionV>
                <wp:extent cx="107950" cy="0"/>
                <wp:effectExtent l="0" t="0" r="25400" b="19050"/>
                <wp:wrapNone/>
                <wp:docPr id="750847105" name="Ευθεία γραμμή σύνδεσης 3"/>
                <wp:cNvGraphicFramePr/>
                <a:graphic xmlns:a="http://schemas.openxmlformats.org/drawingml/2006/main">
                  <a:graphicData uri="http://schemas.microsoft.com/office/word/2010/wordprocessingShape">
                    <wps:wsp>
                      <wps:cNvCnPr/>
                      <wps:spPr>
                        <a:xfrm flipV="1">
                          <a:off x="0" y="0"/>
                          <a:ext cx="107950" cy="0"/>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AC0C6F" id="Ευθεία γραμμή σύνδεσης 3" o:spid="_x0000_s1026" style="position:absolute;flip:y;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75pt,14.4pt" to="362.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" strokecolor="#7f7f7f [1612]" strokeweight=".5pt">
                <v:stroke joinstyle="miter"/>
              </v:line>
            </w:pict>
          </mc:Fallback>
        </mc:AlternateContent>
      </w:r>
      <w:r w:rsidR="002E2675">
        <w:rPr>
          <w:noProof/>
          <w:lang w:eastAsia="el-GR"/>
        </w:rPr>
        <mc:AlternateContent>
          <mc:Choice Requires="wps">
            <w:drawing>
              <wp:anchor distT="0" distB="0" distL="114300" distR="114300" simplePos="0" relativeHeight="251703808" behindDoc="0" locked="0" layoutInCell="1" allowOverlap="1" wp14:anchorId="503B824C" wp14:editId="160271E8">
                <wp:simplePos x="0" y="0"/>
                <wp:positionH relativeFrom="column">
                  <wp:posOffset>4598222</wp:posOffset>
                </wp:positionH>
                <wp:positionV relativeFrom="paragraph">
                  <wp:posOffset>182245</wp:posOffset>
                </wp:positionV>
                <wp:extent cx="0" cy="503555"/>
                <wp:effectExtent l="0" t="0" r="19050" b="10795"/>
                <wp:wrapNone/>
                <wp:docPr id="750847108" name="Ευθεία γραμμή σύνδεσης 4"/>
                <wp:cNvGraphicFramePr/>
                <a:graphic xmlns:a="http://schemas.openxmlformats.org/drawingml/2006/main">
                  <a:graphicData uri="http://schemas.microsoft.com/office/word/2010/wordprocessingShape">
                    <wps:wsp>
                      <wps:cNvCnPr/>
                      <wps:spPr>
                        <a:xfrm flipV="1">
                          <a:off x="0" y="0"/>
                          <a:ext cx="0" cy="503555"/>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015BDF2" id="Ευθεία γραμμή σύνδεσης 4" o:spid="_x0000_s1026" style="position:absolute;flip:y;z-index:251703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2.05pt,14.35pt" to="362.0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" strokecolor="#7f7f7f [1612]" strokeweight=".5pt">
                <v:stroke joinstyle="miter"/>
              </v:line>
            </w:pict>
          </mc:Fallback>
        </mc:AlternateContent>
      </w:r>
      <w:r w:rsidR="00931D2C" w:rsidRPr="00EE40A0">
        <w:rPr>
          <w:rFonts w:ascii="Segoe UI" w:hAnsi="Segoe UI" w:cs="Segoe UI"/>
          <w:b/>
          <w:noProof/>
          <w:color w:val="008080"/>
          <w:sz w:val="32"/>
          <w:lang w:eastAsia="el-GR"/>
        </w:rPr>
        <w:drawing>
          <wp:inline distT="0" distB="0" distL="0" distR="0" wp14:anchorId="7FD9A122" wp14:editId="5B079F98">
            <wp:extent cx="6437376" cy="1689811"/>
            <wp:effectExtent l="0" t="0" r="1905" b="5715"/>
            <wp:docPr id="1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Style w:val="1"/>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5103"/>
      </w:tblGrid>
      <w:tr w:rsidR="009B699F" w:rsidRPr="00EE40A0" w:rsidTr="00250B3E">
        <w:trPr>
          <w:trHeight w:val="2098"/>
          <w:jc w:val="center"/>
        </w:trPr>
        <w:tc>
          <w:tcPr>
            <w:tcW w:w="5103" w:type="dxa"/>
            <w:vAlign w:val="bottom"/>
          </w:tcPr>
          <w:p w:rsidR="009B699F" w:rsidRPr="00DA6F59" w:rsidRDefault="003B276E" w:rsidP="00250B3E">
            <w:pPr>
              <w:kinsoku w:val="0"/>
              <w:overflowPunct w:val="0"/>
              <w:spacing w:before="40"/>
              <w:ind w:left="38"/>
              <w:textAlignment w:val="baseline"/>
              <w:rPr>
                <w:rFonts w:ascii="Segoe UI" w:eastAsia="Segoe UI" w:hAnsi="Segoe UI" w:cs="Segoe UI"/>
                <w:b/>
                <w:color w:val="008080"/>
                <w:kern w:val="24"/>
              </w:rPr>
            </w:pPr>
            <w:r w:rsidRPr="00386B2F">
              <w:rPr>
                <w:rFonts w:ascii="Segoe UI" w:hAnsi="Segoe UI" w:cs="Segoe UI"/>
                <w:noProof/>
                <w:sz w:val="14"/>
                <w:szCs w:val="16"/>
              </w:rPr>
              <w:lastRenderedPageBreak/>
              <mc:AlternateContent>
                <mc:Choice Requires="wps">
                  <w:drawing>
                    <wp:anchor distT="0" distB="0" distL="114300" distR="114300" simplePos="0" relativeHeight="251722240" behindDoc="0" locked="0" layoutInCell="1" allowOverlap="1" wp14:anchorId="253EB2B2" wp14:editId="715A1BAA">
                      <wp:simplePos x="0" y="0"/>
                      <wp:positionH relativeFrom="column">
                        <wp:posOffset>666115</wp:posOffset>
                      </wp:positionH>
                      <wp:positionV relativeFrom="paragraph">
                        <wp:posOffset>575310</wp:posOffset>
                      </wp:positionV>
                      <wp:extent cx="604520" cy="1096010"/>
                      <wp:effectExtent l="0" t="0" r="24130" b="27940"/>
                      <wp:wrapNone/>
                      <wp:docPr id="13"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 cy="1096010"/>
                              </a:xfrm>
                              <a:prstGeom prst="roundRect">
                                <a:avLst/>
                              </a:prstGeom>
                              <a:noFill/>
                              <a:ln w="12700" cap="flat" cmpd="sng" algn="ctr">
                                <a:solidFill>
                                  <a:srgbClr val="FF7415"/>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roundrect w14:anchorId="05BE6D82" id="Rounded Rectangle 18" o:spid="_x0000_s1026" style="position:absolute;margin-left:52.45pt;margin-top:45.3pt;width:47.6pt;height:86.3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" filled="f" strokecolor="#ff7415" strokeweight="1pt">
                      <v:path arrowok="t"/>
                    </v:roundrect>
                  </w:pict>
                </mc:Fallback>
              </mc:AlternateContent>
            </w:r>
            <w:r w:rsidR="006B5AC4" w:rsidRPr="00386B2F">
              <w:rPr>
                <w:rFonts w:ascii="Segoe UI" w:hAnsi="Segoe UI" w:cs="Segoe UI"/>
                <w:noProof/>
                <w:sz w:val="14"/>
                <w:szCs w:val="16"/>
              </w:rPr>
              <mc:AlternateContent>
                <mc:Choice Requires="wps">
                  <w:drawing>
                    <wp:anchor distT="0" distB="0" distL="114300" distR="114300" simplePos="0" relativeHeight="251724288" behindDoc="0" locked="0" layoutInCell="1" allowOverlap="1" wp14:anchorId="28E44105" wp14:editId="579F24D2">
                      <wp:simplePos x="0" y="0"/>
                      <wp:positionH relativeFrom="column">
                        <wp:posOffset>2503170</wp:posOffset>
                      </wp:positionH>
                      <wp:positionV relativeFrom="paragraph">
                        <wp:posOffset>581660</wp:posOffset>
                      </wp:positionV>
                      <wp:extent cx="609600" cy="1096010"/>
                      <wp:effectExtent l="0" t="0" r="19050" b="27940"/>
                      <wp:wrapNone/>
                      <wp:docPr id="15"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1096010"/>
                              </a:xfrm>
                              <a:prstGeom prst="roundRect">
                                <a:avLst/>
                              </a:prstGeom>
                              <a:noFill/>
                              <a:ln w="12700" cap="flat" cmpd="sng" algn="ctr">
                                <a:solidFill>
                                  <a:srgbClr val="FF7415"/>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roundrect w14:anchorId="5B8DC498" id="Rounded Rectangle 18" o:spid="_x0000_s1026" style="position:absolute;margin-left:197.1pt;margin-top:45.8pt;width:48pt;height:86.3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" filled="f" strokecolor="#ff7415" strokeweight="1pt">
                      <v:path arrowok="t"/>
                    </v:roundrect>
                  </w:pict>
                </mc:Fallback>
              </mc:AlternateContent>
            </w:r>
            <w:r w:rsidR="006E5E2D" w:rsidRPr="00386B2F">
              <w:rPr>
                <w:rFonts w:ascii="Segoe UI" w:eastAsia="Segoe UI" w:hAnsi="Segoe UI" w:cs="Segoe UI"/>
                <w:b/>
                <w:color w:val="008080"/>
                <w:kern w:val="24"/>
                <w:sz w:val="18"/>
              </w:rPr>
              <w:t xml:space="preserve">Γέφυρα μεταξύ </w:t>
            </w:r>
            <w:r w:rsidR="009B699F" w:rsidRPr="00386B2F">
              <w:rPr>
                <w:rFonts w:ascii="Segoe UI" w:eastAsia="Segoe UI" w:hAnsi="Segoe UI" w:cs="Segoe UI"/>
                <w:b/>
                <w:color w:val="008080"/>
                <w:kern w:val="24"/>
                <w:sz w:val="18"/>
              </w:rPr>
              <w:t xml:space="preserve">δανείων σε καθυστέρηση </w:t>
            </w:r>
            <w:r w:rsidR="00386B2F" w:rsidRPr="00386B2F">
              <w:rPr>
                <w:rFonts w:ascii="Segoe UI" w:eastAsia="Segoe UI" w:hAnsi="Segoe UI" w:cs="Segoe UI"/>
                <w:b/>
                <w:color w:val="008080"/>
                <w:kern w:val="24"/>
                <w:sz w:val="18"/>
              </w:rPr>
              <w:t>&gt;</w:t>
            </w:r>
            <w:r w:rsidR="009B699F" w:rsidRPr="00386B2F">
              <w:rPr>
                <w:rFonts w:ascii="Segoe UI" w:eastAsia="Segoe UI" w:hAnsi="Segoe UI" w:cs="Segoe UI"/>
                <w:b/>
                <w:color w:val="008080"/>
                <w:kern w:val="24"/>
                <w:sz w:val="18"/>
              </w:rPr>
              <w:t xml:space="preserve">90 ημερών </w:t>
            </w:r>
            <w:r w:rsidR="006E5E2D" w:rsidRPr="00386B2F">
              <w:rPr>
                <w:rFonts w:ascii="Segoe UI" w:eastAsia="Segoe UI" w:hAnsi="Segoe UI" w:cs="Segoe UI"/>
                <w:b/>
                <w:color w:val="008080"/>
                <w:kern w:val="24"/>
                <w:sz w:val="18"/>
              </w:rPr>
              <w:t xml:space="preserve">και ΜΕΑ </w:t>
            </w:r>
            <w:r w:rsidR="00193CB0" w:rsidRPr="00386B2F">
              <w:rPr>
                <w:rFonts w:ascii="Segoe UI" w:eastAsia="Segoe UI" w:hAnsi="Segoe UI" w:cs="Segoe UI"/>
                <w:b/>
                <w:color w:val="008080"/>
                <w:kern w:val="24"/>
                <w:sz w:val="18"/>
              </w:rPr>
              <w:t>(€ δισ.</w:t>
            </w:r>
            <w:r w:rsidR="00386B2F" w:rsidRPr="00386B2F">
              <w:rPr>
                <w:rFonts w:ascii="Segoe UI" w:eastAsia="Segoe UI" w:hAnsi="Segoe UI" w:cs="Segoe UI"/>
                <w:b/>
                <w:color w:val="008080"/>
                <w:kern w:val="24"/>
                <w:sz w:val="18"/>
              </w:rPr>
              <w:t>, Ελλάδα</w:t>
            </w:r>
            <w:r w:rsidR="00193CB0" w:rsidRPr="00386B2F">
              <w:rPr>
                <w:rFonts w:ascii="Segoe UI" w:eastAsia="Segoe UI" w:hAnsi="Segoe UI" w:cs="Segoe UI"/>
                <w:b/>
                <w:color w:val="008080"/>
                <w:kern w:val="24"/>
                <w:sz w:val="18"/>
              </w:rPr>
              <w:t xml:space="preserve">) </w:t>
            </w:r>
            <w:r w:rsidR="009B699F" w:rsidRPr="00386B2F">
              <w:rPr>
                <w:rFonts w:ascii="Segoe UI" w:eastAsia="Segoe UI" w:hAnsi="Segoe UI" w:cs="Segoe UI"/>
                <w:b/>
                <w:color w:val="008080"/>
                <w:kern w:val="24"/>
                <w:sz w:val="18"/>
              </w:rPr>
              <w:t>|</w:t>
            </w:r>
            <w:r w:rsidR="00386B2F" w:rsidRPr="00386B2F">
              <w:rPr>
                <w:rFonts w:ascii="Segoe UI" w:eastAsia="Segoe UI" w:hAnsi="Segoe UI" w:cs="Segoe UI"/>
                <w:b/>
                <w:color w:val="008080"/>
                <w:kern w:val="24"/>
                <w:sz w:val="18"/>
              </w:rPr>
              <w:t xml:space="preserve"> Β’ τρίμηνο 2021</w:t>
            </w:r>
            <w:r w:rsidR="009B699F" w:rsidRPr="00386B2F">
              <w:rPr>
                <w:rFonts w:ascii="Segoe UI" w:eastAsia="Times New Roman" w:hAnsi="Segoe UI" w:cs="Segoe UI"/>
                <w:noProof/>
                <w:sz w:val="18"/>
              </w:rPr>
              <w:t xml:space="preserve"> </w:t>
            </w:r>
            <w:r w:rsidR="009B699F" w:rsidRPr="00412442">
              <w:rPr>
                <w:rFonts w:ascii="Segoe UI" w:eastAsia="Times New Roman" w:hAnsi="Segoe UI" w:cs="Segoe UI"/>
                <w:noProof/>
              </w:rPr>
              <w:drawing>
                <wp:inline distT="0" distB="0" distL="0" distR="0" wp14:anchorId="30664B00" wp14:editId="5F57FD30">
                  <wp:extent cx="3096619" cy="1480992"/>
                  <wp:effectExtent l="0" t="0" r="8890" b="508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B699F" w:rsidRPr="00DA6F59" w:rsidRDefault="009B699F" w:rsidP="00250B3E">
            <w:pPr>
              <w:kinsoku w:val="0"/>
              <w:overflowPunct w:val="0"/>
              <w:spacing w:before="40"/>
              <w:ind w:left="547" w:hanging="547"/>
              <w:textAlignment w:val="baseline"/>
              <w:rPr>
                <w:rFonts w:ascii="Segoe UI" w:eastAsia="Times New Roman" w:hAnsi="Segoe UI" w:cs="Segoe UI"/>
              </w:rPr>
            </w:pPr>
          </w:p>
        </w:tc>
        <w:tc>
          <w:tcPr>
            <w:tcW w:w="5103" w:type="dxa"/>
            <w:vAlign w:val="bottom"/>
          </w:tcPr>
          <w:p w:rsidR="009B699F" w:rsidRPr="00386B2F" w:rsidRDefault="00163BFD" w:rsidP="00250B3E">
            <w:pPr>
              <w:kinsoku w:val="0"/>
              <w:overflowPunct w:val="0"/>
              <w:spacing w:before="40"/>
              <w:ind w:left="38"/>
              <w:textAlignment w:val="baseline"/>
              <w:rPr>
                <w:rFonts w:ascii="Segoe UI" w:eastAsia="Segoe UI" w:hAnsi="Segoe UI" w:cs="Segoe UI"/>
                <w:b/>
                <w:color w:val="008080"/>
                <w:kern w:val="24"/>
                <w:sz w:val="18"/>
              </w:rPr>
            </w:pPr>
            <w:r w:rsidRPr="00386B2F">
              <w:rPr>
                <w:rFonts w:ascii="Segoe UI" w:eastAsia="Segoe UI" w:hAnsi="Segoe UI" w:cs="Segoe UI"/>
                <w:b/>
                <w:color w:val="008080"/>
                <w:kern w:val="24"/>
                <w:sz w:val="18"/>
              </w:rPr>
              <w:t xml:space="preserve">Ρυθμισμένα δάνεια </w:t>
            </w:r>
            <w:r w:rsidR="009B699F" w:rsidRPr="00386B2F">
              <w:rPr>
                <w:rFonts w:ascii="Segoe UI" w:eastAsia="Segoe UI" w:hAnsi="Segoe UI" w:cs="Segoe UI"/>
                <w:b/>
                <w:color w:val="008080"/>
                <w:kern w:val="24"/>
                <w:sz w:val="18"/>
              </w:rPr>
              <w:t>(</w:t>
            </w:r>
            <w:r w:rsidR="006E5E2D" w:rsidRPr="00386B2F">
              <w:rPr>
                <w:rFonts w:ascii="Segoe UI" w:eastAsia="Segoe UI" w:hAnsi="Segoe UI" w:cs="Segoe UI"/>
                <w:b/>
                <w:color w:val="008080"/>
                <w:kern w:val="24"/>
                <w:sz w:val="18"/>
              </w:rPr>
              <w:t>€ δισ.</w:t>
            </w:r>
            <w:r w:rsidR="00386B2F" w:rsidRPr="00386B2F">
              <w:rPr>
                <w:rFonts w:ascii="Segoe UI" w:eastAsia="Segoe UI" w:hAnsi="Segoe UI" w:cs="Segoe UI"/>
                <w:b/>
                <w:color w:val="008080"/>
                <w:kern w:val="24"/>
                <w:sz w:val="18"/>
              </w:rPr>
              <w:t>, Ελλάδα</w:t>
            </w:r>
            <w:r w:rsidR="009B699F" w:rsidRPr="00386B2F">
              <w:rPr>
                <w:rFonts w:ascii="Segoe UI" w:eastAsia="Segoe UI" w:hAnsi="Segoe UI" w:cs="Segoe UI"/>
                <w:b/>
                <w:color w:val="008080"/>
                <w:kern w:val="24"/>
                <w:sz w:val="18"/>
              </w:rPr>
              <w:t>)</w:t>
            </w:r>
            <w:r w:rsidR="009B699F" w:rsidRPr="00386B2F">
              <w:rPr>
                <w:sz w:val="18"/>
              </w:rPr>
              <w:t xml:space="preserve"> </w:t>
            </w:r>
            <w:r w:rsidR="009B699F" w:rsidRPr="00386B2F">
              <w:rPr>
                <w:rFonts w:ascii="Segoe UI" w:eastAsia="Segoe UI" w:hAnsi="Segoe UI" w:cs="Segoe UI"/>
                <w:b/>
                <w:color w:val="008080"/>
                <w:kern w:val="24"/>
                <w:sz w:val="18"/>
              </w:rPr>
              <w:t>|</w:t>
            </w:r>
            <w:r w:rsidR="00386B2F" w:rsidRPr="00386B2F">
              <w:rPr>
                <w:rFonts w:ascii="Segoe UI" w:eastAsia="Segoe UI" w:hAnsi="Segoe UI" w:cs="Segoe UI"/>
                <w:b/>
                <w:color w:val="008080"/>
                <w:kern w:val="24"/>
                <w:sz w:val="18"/>
              </w:rPr>
              <w:t xml:space="preserve"> Β’ τρίμηνο 2021</w:t>
            </w:r>
          </w:p>
          <w:p w:rsidR="009B699F" w:rsidRPr="00DA6F59" w:rsidRDefault="009B699F" w:rsidP="00250B3E">
            <w:pPr>
              <w:kinsoku w:val="0"/>
              <w:overflowPunct w:val="0"/>
              <w:spacing w:before="40"/>
              <w:ind w:left="38"/>
              <w:textAlignment w:val="baseline"/>
              <w:rPr>
                <w:rFonts w:ascii="Segoe UI" w:eastAsia="Segoe UI" w:hAnsi="Segoe UI" w:cs="Segoe UI"/>
                <w:b/>
                <w:color w:val="008080"/>
                <w:kern w:val="24"/>
              </w:rPr>
            </w:pPr>
            <w:r w:rsidRPr="00CE3FB3">
              <w:rPr>
                <w:noProof/>
              </w:rPr>
              <mc:AlternateContent>
                <mc:Choice Requires="wps">
                  <w:drawing>
                    <wp:anchor distT="0" distB="0" distL="114300" distR="114300" simplePos="0" relativeHeight="251720192" behindDoc="0" locked="0" layoutInCell="1" allowOverlap="1" wp14:anchorId="4D991180" wp14:editId="04412708">
                      <wp:simplePos x="0" y="0"/>
                      <wp:positionH relativeFrom="column">
                        <wp:posOffset>1160145</wp:posOffset>
                      </wp:positionH>
                      <wp:positionV relativeFrom="paragraph">
                        <wp:posOffset>602615</wp:posOffset>
                      </wp:positionV>
                      <wp:extent cx="799465" cy="260985"/>
                      <wp:effectExtent l="0" t="0" r="0" b="0"/>
                      <wp:wrapNone/>
                      <wp:docPr id="30" name="TextBox 11"/>
                      <wp:cNvGraphicFramePr/>
                      <a:graphic xmlns:a="http://schemas.openxmlformats.org/drawingml/2006/main">
                        <a:graphicData uri="http://schemas.microsoft.com/office/word/2010/wordprocessingShape">
                          <wps:wsp>
                            <wps:cNvSpPr txBox="1"/>
                            <wps:spPr>
                              <a:xfrm>
                                <a:off x="0" y="0"/>
                                <a:ext cx="799465" cy="260985"/>
                              </a:xfrm>
                              <a:prstGeom prst="rect">
                                <a:avLst/>
                              </a:prstGeom>
                              <a:noFill/>
                            </wps:spPr>
                            <wps:txbx>
                              <w:txbxContent>
                                <w:p w:rsidR="00DA0337" w:rsidRPr="00CE3FB3" w:rsidRDefault="00DA0337" w:rsidP="009B699F">
                                  <w:pPr>
                                    <w:pStyle w:val="NormalWeb"/>
                                    <w:spacing w:before="0" w:beforeAutospacing="0" w:after="0" w:afterAutospacing="0"/>
                                    <w:jc w:val="center"/>
                                    <w:textAlignment w:val="baseline"/>
                                    <w:rPr>
                                      <w:sz w:val="20"/>
                                    </w:rPr>
                                  </w:pPr>
                                  <w:r w:rsidRPr="00CE3FB3">
                                    <w:rPr>
                                      <w:rFonts w:ascii="Segoe UI" w:eastAsia="+mn-ea" w:hAnsi="Segoe UI" w:cs="Arial"/>
                                      <w:b/>
                                      <w:bCs/>
                                      <w:color w:val="595959"/>
                                      <w:kern w:val="24"/>
                                      <w:sz w:val="18"/>
                                      <w:szCs w:val="22"/>
                                    </w:rPr>
                                    <w:t>4</w:t>
                                  </w:r>
                                  <w:r>
                                    <w:rPr>
                                      <w:rFonts w:ascii="Segoe UI" w:eastAsia="+mn-ea" w:hAnsi="Segoe UI" w:cs="Arial"/>
                                      <w:b/>
                                      <w:bCs/>
                                      <w:color w:val="595959"/>
                                      <w:kern w:val="24"/>
                                      <w:sz w:val="18"/>
                                      <w:szCs w:val="22"/>
                                    </w:rPr>
                                    <w:t>,4</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4D991180" id="TextBox 11" o:spid="_x0000_s1038" type="#_x0000_t202" style="position:absolute;left:0;text-align:left;margin-left:91.35pt;margin-top:47.45pt;width:62.95pt;height:20.5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" filled="f" stroked="f">
                      <v:textbox style="mso-fit-shape-to-text:t">
                        <w:txbxContent>
                          <w:p w:rsidR="00DA0337" w:rsidRPr="00CE3FB3" w:rsidRDefault="00DA0337" w:rsidP="009B699F">
                            <w:pPr>
                              <w:pStyle w:val="Web"/>
                              <w:spacing w:before="0" w:beforeAutospacing="0" w:after="0" w:afterAutospacing="0"/>
                              <w:jc w:val="center"/>
                              <w:textAlignment w:val="baseline"/>
                              <w:rPr>
                                <w:sz w:val="20"/>
                              </w:rPr>
                            </w:pPr>
                            <w:r w:rsidRPr="00CE3FB3">
                              <w:rPr>
                                <w:rFonts w:ascii="Segoe UI" w:eastAsia="+mn-ea" w:hAnsi="Segoe UI" w:cs="Arial"/>
                                <w:b/>
                                <w:bCs/>
                                <w:color w:val="595959"/>
                                <w:kern w:val="24"/>
                                <w:sz w:val="18"/>
                                <w:szCs w:val="22"/>
                              </w:rPr>
                              <w:t>4</w:t>
                            </w:r>
                            <w:r>
                              <w:rPr>
                                <w:rFonts w:ascii="Segoe UI" w:eastAsia="+mn-ea" w:hAnsi="Segoe UI" w:cs="Arial"/>
                                <w:b/>
                                <w:bCs/>
                                <w:color w:val="595959"/>
                                <w:kern w:val="24"/>
                                <w:sz w:val="18"/>
                                <w:szCs w:val="22"/>
                              </w:rPr>
                              <w:t>,4</w:t>
                            </w:r>
                          </w:p>
                        </w:txbxContent>
                      </v:textbox>
                    </v:shape>
                  </w:pict>
                </mc:Fallback>
              </mc:AlternateContent>
            </w:r>
            <w:r w:rsidRPr="00CE3FB3">
              <w:rPr>
                <w:rFonts w:ascii="Segoe UI" w:eastAsia="Times New Roman" w:hAnsi="Segoe UI" w:cs="Segoe UI"/>
                <w:noProof/>
              </w:rPr>
              <w:drawing>
                <wp:inline distT="0" distB="0" distL="0" distR="0" wp14:anchorId="528314FA" wp14:editId="09C8A812">
                  <wp:extent cx="3130277" cy="1480991"/>
                  <wp:effectExtent l="0" t="0" r="13335" b="508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B699F" w:rsidRPr="00DA6F59" w:rsidRDefault="009B699F" w:rsidP="00250B3E">
            <w:pPr>
              <w:kinsoku w:val="0"/>
              <w:overflowPunct w:val="0"/>
              <w:spacing w:before="40"/>
              <w:ind w:left="547" w:hanging="547"/>
              <w:jc w:val="right"/>
              <w:textAlignment w:val="baseline"/>
              <w:rPr>
                <w:rFonts w:ascii="Segoe UI" w:eastAsia="Times New Roman" w:hAnsi="Segoe UI" w:cs="Segoe UI"/>
              </w:rPr>
            </w:pPr>
          </w:p>
        </w:tc>
      </w:tr>
    </w:tbl>
    <w:p w:rsidR="008E0A91" w:rsidRPr="000F701B" w:rsidRDefault="007241DD" w:rsidP="008E0A91">
      <w:pPr>
        <w:pStyle w:val="TITLEINBODY"/>
        <w:rPr>
          <w:rFonts w:ascii="Segoe UI" w:hAnsi="Segoe UI" w:cs="Segoe UI"/>
          <w:lang w:val="el-GR"/>
        </w:rPr>
      </w:pPr>
      <w:r w:rsidRPr="000F701B">
        <w:rPr>
          <w:rFonts w:ascii="Segoe UI" w:hAnsi="Segoe UI" w:cs="Segoe UI"/>
          <w:lang w:val="el-GR"/>
        </w:rPr>
        <w:t>Κεφαλαιακή Επάρκεια</w:t>
      </w:r>
    </w:p>
    <w:p w:rsidR="00587423" w:rsidRPr="00473419" w:rsidRDefault="00077EE6" w:rsidP="00473419">
      <w:pPr>
        <w:autoSpaceDE w:val="0"/>
        <w:autoSpaceDN w:val="0"/>
        <w:adjustRightInd w:val="0"/>
        <w:spacing w:before="240" w:after="160" w:line="320" w:lineRule="atLeast"/>
        <w:jc w:val="both"/>
        <w:rPr>
          <w:rFonts w:ascii="Segoe UI" w:hAnsi="Segoe UI" w:cs="Segoe UI"/>
          <w:sz w:val="20"/>
        </w:rPr>
      </w:pPr>
      <w:r w:rsidRPr="00776C8E">
        <w:rPr>
          <w:rFonts w:ascii="Segoe UI" w:hAnsi="Segoe UI" w:cs="Segoe UI"/>
          <w:sz w:val="20"/>
          <w:lang w:val="en-US"/>
        </w:rPr>
        <w:t>O</w:t>
      </w:r>
      <w:r w:rsidR="00397202" w:rsidRPr="00776C8E">
        <w:rPr>
          <w:rFonts w:ascii="Segoe UI" w:hAnsi="Segoe UI" w:cs="Segoe UI"/>
          <w:sz w:val="20"/>
        </w:rPr>
        <w:t xml:space="preserve"> </w:t>
      </w:r>
      <w:r w:rsidR="00397202" w:rsidRPr="00776C8E">
        <w:rPr>
          <w:rFonts w:ascii="Segoe UI" w:hAnsi="Segoe UI" w:cs="Segoe UI"/>
          <w:b/>
          <w:sz w:val="20"/>
        </w:rPr>
        <w:t xml:space="preserve">δείκτης </w:t>
      </w:r>
      <w:r w:rsidR="00397202" w:rsidRPr="00776C8E">
        <w:rPr>
          <w:rFonts w:ascii="Segoe UI" w:hAnsi="Segoe UI" w:cs="Segoe UI"/>
          <w:b/>
          <w:sz w:val="20"/>
          <w:lang w:val="en-US"/>
        </w:rPr>
        <w:t>CET</w:t>
      </w:r>
      <w:r w:rsidR="00397202" w:rsidRPr="00776C8E">
        <w:rPr>
          <w:rFonts w:ascii="Segoe UI" w:hAnsi="Segoe UI" w:cs="Segoe UI"/>
          <w:b/>
          <w:sz w:val="20"/>
        </w:rPr>
        <w:t>1</w:t>
      </w:r>
      <w:r w:rsidR="00397202" w:rsidRPr="00776C8E">
        <w:rPr>
          <w:rFonts w:ascii="Segoe UI" w:hAnsi="Segoe UI" w:cs="Segoe UI"/>
          <w:sz w:val="20"/>
        </w:rPr>
        <w:t xml:space="preserve"> διαμορφώ</w:t>
      </w:r>
      <w:r w:rsidR="000E6714" w:rsidRPr="00776C8E">
        <w:rPr>
          <w:rFonts w:ascii="Segoe UI" w:hAnsi="Segoe UI" w:cs="Segoe UI"/>
          <w:sz w:val="20"/>
        </w:rPr>
        <w:t xml:space="preserve">θηκε </w:t>
      </w:r>
      <w:r w:rsidR="00397202" w:rsidRPr="00776C8E">
        <w:rPr>
          <w:rFonts w:ascii="Segoe UI" w:hAnsi="Segoe UI" w:cs="Segoe UI"/>
          <w:sz w:val="20"/>
        </w:rPr>
        <w:t>σε 1</w:t>
      </w:r>
      <w:r w:rsidR="002E0E76" w:rsidRPr="00776C8E">
        <w:rPr>
          <w:rFonts w:ascii="Segoe UI" w:hAnsi="Segoe UI" w:cs="Segoe UI"/>
          <w:sz w:val="20"/>
        </w:rPr>
        <w:t>6,</w:t>
      </w:r>
      <w:r w:rsidR="003946D9">
        <w:rPr>
          <w:rFonts w:ascii="Segoe UI" w:hAnsi="Segoe UI" w:cs="Segoe UI"/>
          <w:sz w:val="20"/>
        </w:rPr>
        <w:t>0</w:t>
      </w:r>
      <w:r w:rsidR="00397202" w:rsidRPr="00776C8E">
        <w:rPr>
          <w:rFonts w:ascii="Segoe UI" w:hAnsi="Segoe UI" w:cs="Segoe UI"/>
          <w:sz w:val="20"/>
        </w:rPr>
        <w:t>%</w:t>
      </w:r>
      <w:r w:rsidR="002F4103" w:rsidRPr="00776C8E">
        <w:rPr>
          <w:rFonts w:ascii="Segoe UI" w:hAnsi="Segoe UI" w:cs="Segoe UI"/>
          <w:vertAlign w:val="superscript"/>
        </w:rPr>
        <w:footnoteReference w:id="3"/>
      </w:r>
      <w:r w:rsidR="00397202" w:rsidRPr="00776C8E">
        <w:rPr>
          <w:rFonts w:ascii="Segoe UI" w:hAnsi="Segoe UI" w:cs="Segoe UI"/>
          <w:sz w:val="20"/>
        </w:rPr>
        <w:t>,</w:t>
      </w:r>
      <w:r w:rsidR="0020173D" w:rsidRPr="00776C8E">
        <w:rPr>
          <w:rFonts w:ascii="Segoe UI" w:hAnsi="Segoe UI" w:cs="Segoe UI"/>
          <w:sz w:val="20"/>
        </w:rPr>
        <w:t xml:space="preserve"> </w:t>
      </w:r>
      <w:r w:rsidR="002E0E76" w:rsidRPr="00776C8E">
        <w:rPr>
          <w:rFonts w:ascii="Segoe UI" w:hAnsi="Segoe UI" w:cs="Segoe UI"/>
          <w:sz w:val="20"/>
        </w:rPr>
        <w:t xml:space="preserve">ενισχυμένος κατά </w:t>
      </w:r>
      <w:r w:rsidR="003946D9">
        <w:rPr>
          <w:rFonts w:ascii="Segoe UI" w:hAnsi="Segoe UI" w:cs="Segoe UI"/>
          <w:sz w:val="20"/>
        </w:rPr>
        <w:t>3</w:t>
      </w:r>
      <w:r w:rsidR="002E0E76" w:rsidRPr="00776C8E">
        <w:rPr>
          <w:rFonts w:ascii="Segoe UI" w:hAnsi="Segoe UI" w:cs="Segoe UI"/>
          <w:sz w:val="20"/>
        </w:rPr>
        <w:t xml:space="preserve">0μ.β. </w:t>
      </w:r>
      <w:r w:rsidR="00CF620E">
        <w:rPr>
          <w:rFonts w:ascii="Segoe UI" w:hAnsi="Segoe UI" w:cs="Segoe UI"/>
          <w:sz w:val="20"/>
        </w:rPr>
        <w:t>από την αρχή του έτους</w:t>
      </w:r>
      <w:r w:rsidRPr="00776C8E">
        <w:rPr>
          <w:rFonts w:ascii="Segoe UI" w:hAnsi="Segoe UI" w:cs="Segoe UI"/>
          <w:sz w:val="20"/>
        </w:rPr>
        <w:t xml:space="preserve">, </w:t>
      </w:r>
      <w:r w:rsidR="006A39A9" w:rsidRPr="00776C8E">
        <w:rPr>
          <w:rFonts w:ascii="Segoe UI" w:hAnsi="Segoe UI" w:cs="Segoe UI"/>
          <w:sz w:val="20"/>
        </w:rPr>
        <w:t>α</w:t>
      </w:r>
      <w:r w:rsidR="008946C2" w:rsidRPr="00776C8E">
        <w:rPr>
          <w:rFonts w:ascii="Segoe UI" w:hAnsi="Segoe UI" w:cs="Segoe UI"/>
          <w:sz w:val="20"/>
        </w:rPr>
        <w:t>ντανακλώντας την κερδοφορία της περιόδου</w:t>
      </w:r>
      <w:r w:rsidR="005D7185" w:rsidRPr="00776C8E">
        <w:rPr>
          <w:rFonts w:ascii="Segoe UI" w:hAnsi="Segoe UI" w:cs="Segoe UI"/>
          <w:sz w:val="20"/>
        </w:rPr>
        <w:t>.</w:t>
      </w:r>
      <w:r w:rsidRPr="00776C8E">
        <w:rPr>
          <w:rFonts w:ascii="Segoe UI" w:hAnsi="Segoe UI" w:cs="Segoe UI"/>
          <w:sz w:val="20"/>
        </w:rPr>
        <w:t xml:space="preserve"> </w:t>
      </w:r>
      <w:r w:rsidR="0077475E" w:rsidRPr="0077475E">
        <w:rPr>
          <w:rFonts w:ascii="Segoe UI" w:hAnsi="Segoe UI" w:cs="Segoe UI"/>
          <w:sz w:val="20"/>
        </w:rPr>
        <w:t>Με πλήρη επίδραση του ΔΠΧΑ 9, ο δείκτης CET1 FL διαμορφώθηκε σε 13,8%</w:t>
      </w:r>
      <w:r w:rsidR="004A2605">
        <w:rPr>
          <w:rFonts w:ascii="Segoe UI" w:hAnsi="Segoe UI" w:cs="Segoe UI"/>
          <w:sz w:val="20"/>
        </w:rPr>
        <w:t xml:space="preserve">, </w:t>
      </w:r>
      <w:r w:rsidR="004A2605" w:rsidRPr="004A2605">
        <w:rPr>
          <w:rFonts w:ascii="Segoe UI" w:hAnsi="Segoe UI" w:cs="Segoe UI"/>
          <w:sz w:val="20"/>
        </w:rPr>
        <w:t xml:space="preserve">επίσης αυξημένος κατά </w:t>
      </w:r>
      <w:r w:rsidR="00BA09DE">
        <w:rPr>
          <w:rFonts w:ascii="Segoe UI" w:hAnsi="Segoe UI" w:cs="Segoe UI"/>
          <w:sz w:val="20"/>
        </w:rPr>
        <w:t xml:space="preserve">περίπου </w:t>
      </w:r>
      <w:r w:rsidR="004A2605" w:rsidRPr="004A2605">
        <w:rPr>
          <w:rFonts w:ascii="Segoe UI" w:hAnsi="Segoe UI" w:cs="Segoe UI"/>
          <w:sz w:val="20"/>
        </w:rPr>
        <w:t>100μ.β. από την αρχή του έτους</w:t>
      </w:r>
      <w:r w:rsidR="004A2605">
        <w:rPr>
          <w:rFonts w:ascii="Segoe UI" w:hAnsi="Segoe UI" w:cs="Segoe UI"/>
          <w:sz w:val="20"/>
        </w:rPr>
        <w:t>.</w:t>
      </w:r>
      <w:r w:rsidR="0077475E">
        <w:rPr>
          <w:rFonts w:ascii="Segoe UI" w:hAnsi="Segoe UI" w:cs="Segoe UI"/>
          <w:sz w:val="20"/>
        </w:rPr>
        <w:t xml:space="preserve"> </w:t>
      </w:r>
      <w:r w:rsidRPr="00776C8E">
        <w:rPr>
          <w:rFonts w:ascii="Segoe UI" w:hAnsi="Segoe UI" w:cs="Segoe UI"/>
          <w:sz w:val="20"/>
        </w:rPr>
        <w:t xml:space="preserve">Ο </w:t>
      </w:r>
      <w:r w:rsidR="006F4D81" w:rsidRPr="00776C8E">
        <w:rPr>
          <w:rFonts w:ascii="Segoe UI" w:hAnsi="Segoe UI" w:cs="Segoe UI"/>
          <w:b/>
          <w:sz w:val="20"/>
        </w:rPr>
        <w:t>Συνολικό</w:t>
      </w:r>
      <w:r w:rsidRPr="00776C8E">
        <w:rPr>
          <w:rFonts w:ascii="Segoe UI" w:hAnsi="Segoe UI" w:cs="Segoe UI"/>
          <w:b/>
          <w:sz w:val="20"/>
        </w:rPr>
        <w:t>ς</w:t>
      </w:r>
      <w:r w:rsidR="006F4D81" w:rsidRPr="00776C8E">
        <w:rPr>
          <w:rFonts w:ascii="Segoe UI" w:hAnsi="Segoe UI" w:cs="Segoe UI"/>
          <w:b/>
          <w:sz w:val="20"/>
        </w:rPr>
        <w:t xml:space="preserve"> Δείκτη</w:t>
      </w:r>
      <w:r w:rsidRPr="00776C8E">
        <w:rPr>
          <w:rFonts w:ascii="Segoe UI" w:hAnsi="Segoe UI" w:cs="Segoe UI"/>
          <w:b/>
          <w:sz w:val="20"/>
        </w:rPr>
        <w:t>ς</w:t>
      </w:r>
      <w:r w:rsidR="006F4D81" w:rsidRPr="00776C8E">
        <w:rPr>
          <w:rFonts w:ascii="Segoe UI" w:hAnsi="Segoe UI" w:cs="Segoe UI"/>
          <w:b/>
          <w:sz w:val="20"/>
        </w:rPr>
        <w:t xml:space="preserve"> Κεφαλαιακής Επάρκειας </w:t>
      </w:r>
      <w:r w:rsidR="00F2062C" w:rsidRPr="00776C8E">
        <w:rPr>
          <w:rFonts w:ascii="Segoe UI" w:hAnsi="Segoe UI" w:cs="Segoe UI"/>
          <w:b/>
          <w:sz w:val="20"/>
        </w:rPr>
        <w:t>(</w:t>
      </w:r>
      <w:r w:rsidR="00F2062C" w:rsidRPr="00776C8E">
        <w:rPr>
          <w:rFonts w:ascii="Segoe UI" w:hAnsi="Segoe UI" w:cs="Segoe UI"/>
          <w:b/>
          <w:sz w:val="20"/>
          <w:lang w:val="en-US"/>
        </w:rPr>
        <w:t>CAD</w:t>
      </w:r>
      <w:r w:rsidR="00F2062C" w:rsidRPr="00776C8E">
        <w:rPr>
          <w:rFonts w:ascii="Segoe UI" w:hAnsi="Segoe UI" w:cs="Segoe UI"/>
          <w:b/>
          <w:sz w:val="20"/>
        </w:rPr>
        <w:t xml:space="preserve">) </w:t>
      </w:r>
      <w:r w:rsidRPr="00776C8E">
        <w:rPr>
          <w:rFonts w:ascii="Segoe UI" w:hAnsi="Segoe UI" w:cs="Segoe UI"/>
          <w:sz w:val="20"/>
        </w:rPr>
        <w:t>διαμορφώθηκε σε 1</w:t>
      </w:r>
      <w:r w:rsidR="002F4103" w:rsidRPr="00776C8E">
        <w:rPr>
          <w:rFonts w:ascii="Segoe UI" w:hAnsi="Segoe UI" w:cs="Segoe UI"/>
          <w:sz w:val="20"/>
        </w:rPr>
        <w:t>7,</w:t>
      </w:r>
      <w:r w:rsidR="00892BB8">
        <w:rPr>
          <w:rFonts w:ascii="Segoe UI" w:hAnsi="Segoe UI" w:cs="Segoe UI"/>
          <w:sz w:val="20"/>
        </w:rPr>
        <w:t>0</w:t>
      </w:r>
      <w:r w:rsidR="006F4D81" w:rsidRPr="00776C8E">
        <w:rPr>
          <w:rFonts w:ascii="Segoe UI" w:hAnsi="Segoe UI" w:cs="Segoe UI"/>
          <w:sz w:val="20"/>
        </w:rPr>
        <w:t>%</w:t>
      </w:r>
      <w:r w:rsidR="00AC49C5" w:rsidRPr="00776C8E">
        <w:rPr>
          <w:rFonts w:ascii="Segoe UI" w:hAnsi="Segoe UI" w:cs="Segoe UI"/>
          <w:sz w:val="20"/>
          <w:vertAlign w:val="superscript"/>
        </w:rPr>
        <w:t>3</w:t>
      </w:r>
      <w:r w:rsidRPr="00776C8E">
        <w:rPr>
          <w:rFonts w:ascii="Segoe UI" w:hAnsi="Segoe UI" w:cs="Segoe UI"/>
          <w:sz w:val="20"/>
        </w:rPr>
        <w:t>, υπερβαίνοντας τις κεφαλαιακές απαιτήσεις</w:t>
      </w:r>
      <w:r w:rsidRPr="00776C8E">
        <w:rPr>
          <w:rFonts w:ascii="Segoe UI" w:hAnsi="Segoe UI" w:cs="Segoe UI"/>
          <w:vertAlign w:val="superscript"/>
        </w:rPr>
        <w:footnoteReference w:id="4"/>
      </w:r>
      <w:r w:rsidRPr="00776C8E">
        <w:rPr>
          <w:rFonts w:ascii="Segoe UI" w:hAnsi="Segoe UI" w:cs="Segoe UI"/>
          <w:sz w:val="20"/>
        </w:rPr>
        <w:t xml:space="preserve"> </w:t>
      </w:r>
      <w:r w:rsidR="000A7DCD" w:rsidRPr="00776C8E">
        <w:rPr>
          <w:rFonts w:ascii="Segoe UI" w:hAnsi="Segoe UI" w:cs="Segoe UI"/>
          <w:sz w:val="20"/>
        </w:rPr>
        <w:t xml:space="preserve">κατά 600μ.β. </w:t>
      </w:r>
      <w:r w:rsidR="00CE1B8F">
        <w:rPr>
          <w:rFonts w:ascii="Segoe UI" w:hAnsi="Segoe UI" w:cs="Segoe UI"/>
          <w:sz w:val="20"/>
        </w:rPr>
        <w:t xml:space="preserve">περίπου </w:t>
      </w:r>
      <w:r w:rsidRPr="00776C8E">
        <w:rPr>
          <w:rFonts w:ascii="Segoe UI" w:hAnsi="Segoe UI" w:cs="Segoe UI"/>
          <w:sz w:val="20"/>
        </w:rPr>
        <w:t>για το 2021.</w:t>
      </w:r>
      <w:r w:rsidR="00ED576B" w:rsidRPr="00776C8E">
        <w:rPr>
          <w:rFonts w:ascii="Segoe UI" w:hAnsi="Segoe UI" w:cs="Segoe UI"/>
          <w:sz w:val="20"/>
        </w:rPr>
        <w:t xml:space="preserve"> </w:t>
      </w:r>
      <w:r w:rsidR="00E10E3C" w:rsidRPr="00776C8E">
        <w:rPr>
          <w:rFonts w:ascii="Segoe UI" w:hAnsi="Segoe UI" w:cs="Segoe UI"/>
          <w:sz w:val="20"/>
        </w:rPr>
        <w:t xml:space="preserve">Η </w:t>
      </w:r>
      <w:r w:rsidR="006E3B8B" w:rsidRPr="00776C8E">
        <w:rPr>
          <w:rFonts w:ascii="Segoe UI" w:hAnsi="Segoe UI" w:cs="Segoe UI"/>
          <w:sz w:val="20"/>
        </w:rPr>
        <w:t>ο</w:t>
      </w:r>
      <w:r w:rsidR="00E10E3C" w:rsidRPr="00776C8E">
        <w:rPr>
          <w:rFonts w:ascii="Segoe UI" w:hAnsi="Segoe UI" w:cs="Segoe UI"/>
          <w:sz w:val="20"/>
        </w:rPr>
        <w:t xml:space="preserve">λοκλήρωση της συναλλαγής Frontier και της πώλησης της Εθνικής Ασφαλιστικής θα ενισχύσει </w:t>
      </w:r>
      <w:r w:rsidR="0061687A" w:rsidRPr="00776C8E">
        <w:rPr>
          <w:rFonts w:ascii="Segoe UI" w:hAnsi="Segoe UI" w:cs="Segoe UI"/>
          <w:sz w:val="20"/>
        </w:rPr>
        <w:t xml:space="preserve">τον Συνολικό Δείκτη Κεφαλαιακής Επάρκειας της Τράπεζας κατά περίπου 170μ.β. σε </w:t>
      </w:r>
      <w:r w:rsidR="00C843F9" w:rsidRPr="00C843F9">
        <w:rPr>
          <w:rFonts w:ascii="Segoe UI" w:hAnsi="Segoe UI" w:cs="Segoe UI"/>
          <w:sz w:val="20"/>
        </w:rPr>
        <w:t>~1</w:t>
      </w:r>
      <w:r w:rsidR="00892BB8">
        <w:rPr>
          <w:rFonts w:ascii="Segoe UI" w:hAnsi="Segoe UI" w:cs="Segoe UI"/>
          <w:sz w:val="20"/>
        </w:rPr>
        <w:t>8,8</w:t>
      </w:r>
      <w:r w:rsidR="0061687A" w:rsidRPr="00776C8E">
        <w:rPr>
          <w:rFonts w:ascii="Segoe UI" w:hAnsi="Segoe UI" w:cs="Segoe UI"/>
          <w:sz w:val="20"/>
        </w:rPr>
        <w:t>%</w:t>
      </w:r>
      <w:r w:rsidR="00473419" w:rsidRPr="00776C8E">
        <w:rPr>
          <w:rFonts w:ascii="Segoe UI" w:hAnsi="Segoe UI" w:cs="Segoe UI"/>
          <w:sz w:val="20"/>
        </w:rPr>
        <w:t>.</w:t>
      </w:r>
    </w:p>
    <w:p w:rsidR="001541D6" w:rsidRPr="005B3204" w:rsidRDefault="0097157B" w:rsidP="00D12150">
      <w:pPr>
        <w:kinsoku w:val="0"/>
        <w:overflowPunct w:val="0"/>
        <w:spacing w:before="40"/>
        <w:textAlignment w:val="baseline"/>
        <w:rPr>
          <w:rFonts w:ascii="Segoe UI" w:eastAsia="Segoe UI" w:hAnsi="Segoe UI" w:cs="Segoe UI"/>
          <w:b/>
          <w:color w:val="008080"/>
          <w:kern w:val="24"/>
          <w:sz w:val="18"/>
          <w:lang w:eastAsia="el-GR"/>
        </w:rPr>
      </w:pPr>
      <w:r w:rsidRPr="005B3204">
        <w:rPr>
          <w:rFonts w:ascii="Segoe UI" w:eastAsia="Segoe UI" w:hAnsi="Segoe UI" w:cs="Segoe UI"/>
          <w:b/>
          <w:color w:val="008080"/>
          <w:kern w:val="24"/>
          <w:sz w:val="18"/>
          <w:lang w:eastAsia="el-GR"/>
        </w:rPr>
        <w:t xml:space="preserve">Μεταβολή </w:t>
      </w:r>
      <w:r w:rsidR="00464272" w:rsidRPr="005B3204">
        <w:rPr>
          <w:rFonts w:ascii="Segoe UI" w:eastAsia="Segoe UI" w:hAnsi="Segoe UI" w:cs="Segoe UI"/>
          <w:b/>
          <w:color w:val="008080"/>
          <w:kern w:val="24"/>
          <w:sz w:val="18"/>
          <w:lang w:eastAsia="el-GR"/>
        </w:rPr>
        <w:t>στους δείκτες κεφαλαιακής επάρκειας</w:t>
      </w:r>
      <w:r w:rsidRPr="005B3204">
        <w:rPr>
          <w:rFonts w:ascii="Segoe UI" w:eastAsia="Segoe UI" w:hAnsi="Segoe UI" w:cs="Segoe UI"/>
          <w:b/>
          <w:color w:val="008080"/>
          <w:kern w:val="24"/>
          <w:sz w:val="18"/>
          <w:lang w:eastAsia="el-GR"/>
        </w:rPr>
        <w:t xml:space="preserve"> το </w:t>
      </w:r>
      <w:r w:rsidR="006808C7" w:rsidRPr="005B3204">
        <w:rPr>
          <w:rFonts w:ascii="Segoe UI" w:eastAsia="Segoe UI" w:hAnsi="Segoe UI" w:cs="Segoe UI"/>
          <w:b/>
          <w:color w:val="008080"/>
          <w:kern w:val="24"/>
          <w:sz w:val="18"/>
          <w:lang w:eastAsia="el-GR"/>
        </w:rPr>
        <w:t>Α</w:t>
      </w:r>
      <w:r w:rsidR="00054FA3" w:rsidRPr="005B3204">
        <w:rPr>
          <w:rFonts w:ascii="Segoe UI" w:eastAsia="Segoe UI" w:hAnsi="Segoe UI" w:cs="Segoe UI"/>
          <w:b/>
          <w:color w:val="008080"/>
          <w:kern w:val="24"/>
          <w:sz w:val="18"/>
          <w:lang w:eastAsia="el-GR"/>
        </w:rPr>
        <w:t>’</w:t>
      </w:r>
      <w:r w:rsidRPr="005B3204">
        <w:rPr>
          <w:rFonts w:ascii="Segoe UI" w:eastAsia="Segoe UI" w:hAnsi="Segoe UI" w:cs="Segoe UI"/>
          <w:b/>
          <w:color w:val="008080"/>
          <w:kern w:val="24"/>
          <w:sz w:val="18"/>
          <w:lang w:eastAsia="el-GR"/>
        </w:rPr>
        <w:t xml:space="preserve"> </w:t>
      </w:r>
      <w:r w:rsidR="006808C7" w:rsidRPr="005B3204">
        <w:rPr>
          <w:rFonts w:ascii="Segoe UI" w:eastAsia="Segoe UI" w:hAnsi="Segoe UI" w:cs="Segoe UI"/>
          <w:b/>
          <w:color w:val="008080"/>
          <w:kern w:val="24"/>
          <w:sz w:val="18"/>
          <w:lang w:eastAsia="el-GR"/>
        </w:rPr>
        <w:t>εξάμηνο</w:t>
      </w:r>
      <w:r w:rsidRPr="005B3204">
        <w:rPr>
          <w:rFonts w:ascii="Segoe UI" w:eastAsia="Segoe UI" w:hAnsi="Segoe UI" w:cs="Segoe UI"/>
          <w:b/>
          <w:color w:val="008080"/>
          <w:kern w:val="24"/>
          <w:sz w:val="18"/>
          <w:lang w:eastAsia="el-GR"/>
        </w:rPr>
        <w:t xml:space="preserve"> 20</w:t>
      </w:r>
      <w:r w:rsidR="00054FA3" w:rsidRPr="005B3204">
        <w:rPr>
          <w:rFonts w:ascii="Segoe UI" w:eastAsia="Segoe UI" w:hAnsi="Segoe UI" w:cs="Segoe UI"/>
          <w:b/>
          <w:color w:val="008080"/>
          <w:kern w:val="24"/>
          <w:sz w:val="18"/>
          <w:lang w:eastAsia="el-GR"/>
        </w:rPr>
        <w:t>2</w:t>
      </w:r>
      <w:r w:rsidR="004F2E06" w:rsidRPr="005B3204">
        <w:rPr>
          <w:rFonts w:ascii="Segoe UI" w:eastAsia="Segoe UI" w:hAnsi="Segoe UI" w:cs="Segoe UI"/>
          <w:b/>
          <w:color w:val="008080"/>
          <w:kern w:val="24"/>
          <w:sz w:val="18"/>
          <w:lang w:eastAsia="el-GR"/>
        </w:rPr>
        <w:t>1</w:t>
      </w:r>
    </w:p>
    <w:p w:rsidR="00C61CDC" w:rsidRPr="006631B7" w:rsidRDefault="003B276E" w:rsidP="00D12150">
      <w:pPr>
        <w:kinsoku w:val="0"/>
        <w:overflowPunct w:val="0"/>
        <w:spacing w:before="40"/>
        <w:textAlignment w:val="baseline"/>
        <w:rPr>
          <w:rFonts w:ascii="Segoe UI" w:eastAsia="Segoe UI" w:hAnsi="Segoe UI" w:cs="Segoe UI"/>
          <w:b/>
          <w:color w:val="008080"/>
          <w:kern w:val="24"/>
          <w:sz w:val="20"/>
          <w:lang w:val="en-US" w:eastAsia="el-GR"/>
        </w:rPr>
      </w:pPr>
      <w:r w:rsidRPr="00833372">
        <w:rPr>
          <w:noProof/>
          <w:lang w:eastAsia="el-GR"/>
        </w:rPr>
        <mc:AlternateContent>
          <mc:Choice Requires="wps">
            <w:drawing>
              <wp:anchor distT="0" distB="0" distL="114300" distR="114300" simplePos="0" relativeHeight="251692544" behindDoc="0" locked="0" layoutInCell="1" allowOverlap="1" wp14:anchorId="14AAAB58" wp14:editId="727C16AC">
                <wp:simplePos x="0" y="0"/>
                <wp:positionH relativeFrom="column">
                  <wp:posOffset>-4445</wp:posOffset>
                </wp:positionH>
                <wp:positionV relativeFrom="paragraph">
                  <wp:posOffset>384587</wp:posOffset>
                </wp:positionV>
                <wp:extent cx="773430" cy="395605"/>
                <wp:effectExtent l="0" t="0" r="0" b="4445"/>
                <wp:wrapNone/>
                <wp:docPr id="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3430" cy="395605"/>
                        </a:xfrm>
                        <a:prstGeom prst="rect">
                          <a:avLst/>
                        </a:prstGeom>
                        <a:noFill/>
                        <a:ln w="9525" cap="flat" cmpd="sng" algn="ctr">
                          <a:noFill/>
                          <a:prstDash val="solid"/>
                        </a:ln>
                        <a:effectLst/>
                      </wps:spPr>
                      <wps:txbx>
                        <w:txbxContent>
                          <w:p w:rsidR="00DA0337" w:rsidRPr="00CE0362" w:rsidRDefault="00DA0337" w:rsidP="00A265E8">
                            <w:pPr>
                              <w:pStyle w:val="body"/>
                              <w:spacing w:before="0" w:after="0"/>
                              <w:jc w:val="center"/>
                              <w:textAlignment w:val="baseline"/>
                              <w:rPr>
                                <w:rFonts w:ascii="Segoe UI" w:hAnsi="Segoe UI" w:cs="Segoe UI"/>
                                <w:b/>
                                <w:color w:val="auto"/>
                                <w:sz w:val="16"/>
                              </w:rPr>
                            </w:pPr>
                            <w:r w:rsidRPr="00A265E8">
                              <w:rPr>
                                <w:rFonts w:ascii="Segoe UI" w:hAnsi="Segoe UI" w:cs="Segoe UI"/>
                                <w:b/>
                                <w:color w:val="auto"/>
                                <w:kern w:val="24"/>
                                <w:sz w:val="10"/>
                                <w:szCs w:val="16"/>
                              </w:rPr>
                              <w:t>Συνολικός Δείκτης Κεφαλαιακής Επάρκειας</w:t>
                            </w:r>
                            <w:r w:rsidRPr="00CE0362">
                              <w:rPr>
                                <w:rFonts w:ascii="Segoe UI" w:hAnsi="Segoe UI" w:cs="Segoe UI"/>
                                <w:b/>
                                <w:color w:val="auto"/>
                                <w:kern w:val="24"/>
                                <w:sz w:val="10"/>
                                <w:szCs w:val="16"/>
                              </w:rPr>
                              <w:t xml:space="preserve"> (</w:t>
                            </w:r>
                            <w:r>
                              <w:rPr>
                                <w:rFonts w:ascii="Segoe UI" w:hAnsi="Segoe UI" w:cs="Segoe UI"/>
                                <w:b/>
                                <w:color w:val="auto"/>
                                <w:kern w:val="24"/>
                                <w:sz w:val="10"/>
                                <w:szCs w:val="16"/>
                                <w:lang w:val="en-US"/>
                              </w:rPr>
                              <w:t>CAD</w:t>
                            </w:r>
                            <w:r w:rsidRPr="00CE0362">
                              <w:rPr>
                                <w:rFonts w:ascii="Segoe UI" w:hAnsi="Segoe UI" w:cs="Segoe UI"/>
                                <w:b/>
                                <w:color w:val="auto"/>
                                <w:kern w:val="24"/>
                                <w:sz w:val="10"/>
                                <w:szCs w:val="16"/>
                              </w:rPr>
                              <w:t>)</w:t>
                            </w:r>
                          </w:p>
                        </w:txbxContent>
                      </wps:txbx>
                      <wps:bodyPr wrap="square" anchor="ctr">
                        <a:noAutofit/>
                      </wps:bodyPr>
                    </wps:wsp>
                  </a:graphicData>
                </a:graphic>
                <wp14:sizeRelH relativeFrom="margin">
                  <wp14:pctWidth>0</wp14:pctWidth>
                </wp14:sizeRelH>
                <wp14:sizeRelV relativeFrom="page">
                  <wp14:pctHeight>0</wp14:pctHeight>
                </wp14:sizeRelV>
              </wp:anchor>
            </w:drawing>
          </mc:Choice>
          <mc:Fallback>
            <w:pict>
              <v:rect w14:anchorId="14AAAB58" id="Rectangle 15" o:spid="_x0000_s1039" style="position:absolute;margin-left:-.35pt;margin-top:30.3pt;width:60.9pt;height:31.1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" filled="f" stroked="f">
                <v:path arrowok="t"/>
                <v:textbox>
                  <w:txbxContent>
                    <w:p w:rsidR="00DA0337" w:rsidRPr="00CE0362" w:rsidRDefault="00DA0337" w:rsidP="00A265E8">
                      <w:pPr>
                        <w:pStyle w:val="body"/>
                        <w:spacing w:before="0" w:after="0"/>
                        <w:jc w:val="center"/>
                        <w:textAlignment w:val="baseline"/>
                        <w:rPr>
                          <w:rFonts w:ascii="Segoe UI" w:hAnsi="Segoe UI" w:cs="Segoe UI"/>
                          <w:b/>
                          <w:color w:val="auto"/>
                          <w:sz w:val="16"/>
                        </w:rPr>
                      </w:pPr>
                      <w:r w:rsidRPr="00A265E8">
                        <w:rPr>
                          <w:rFonts w:ascii="Segoe UI" w:hAnsi="Segoe UI" w:cs="Segoe UI"/>
                          <w:b/>
                          <w:color w:val="auto"/>
                          <w:kern w:val="24"/>
                          <w:sz w:val="10"/>
                          <w:szCs w:val="16"/>
                        </w:rPr>
                        <w:t>Συνολικός Δείκτης Κεφαλαιακής Επάρκειας</w:t>
                      </w:r>
                      <w:r w:rsidRPr="00CE0362">
                        <w:rPr>
                          <w:rFonts w:ascii="Segoe UI" w:hAnsi="Segoe UI" w:cs="Segoe UI"/>
                          <w:b/>
                          <w:color w:val="auto"/>
                          <w:kern w:val="24"/>
                          <w:sz w:val="10"/>
                          <w:szCs w:val="16"/>
                        </w:rPr>
                        <w:t xml:space="preserve"> (</w:t>
                      </w:r>
                      <w:r>
                        <w:rPr>
                          <w:rFonts w:ascii="Segoe UI" w:hAnsi="Segoe UI" w:cs="Segoe UI"/>
                          <w:b/>
                          <w:color w:val="auto"/>
                          <w:kern w:val="24"/>
                          <w:sz w:val="10"/>
                          <w:szCs w:val="16"/>
                          <w:lang w:val="en-US"/>
                        </w:rPr>
                        <w:t>CAD</w:t>
                      </w:r>
                      <w:r w:rsidRPr="00CE0362">
                        <w:rPr>
                          <w:rFonts w:ascii="Segoe UI" w:hAnsi="Segoe UI" w:cs="Segoe UI"/>
                          <w:b/>
                          <w:color w:val="auto"/>
                          <w:kern w:val="24"/>
                          <w:sz w:val="10"/>
                          <w:szCs w:val="16"/>
                        </w:rPr>
                        <w:t>)</w:t>
                      </w:r>
                    </w:p>
                  </w:txbxContent>
                </v:textbox>
              </v:rect>
            </w:pict>
          </mc:Fallback>
        </mc:AlternateContent>
      </w:r>
      <w:r w:rsidR="003F2B67">
        <w:rPr>
          <w:noProof/>
          <w:lang w:eastAsia="el-GR"/>
        </w:rPr>
        <mc:AlternateContent>
          <mc:Choice Requires="wps">
            <w:drawing>
              <wp:anchor distT="0" distB="0" distL="114300" distR="114300" simplePos="0" relativeHeight="251694592" behindDoc="0" locked="0" layoutInCell="1" allowOverlap="1" wp14:anchorId="2DA5F38A" wp14:editId="527CB14D">
                <wp:simplePos x="0" y="0"/>
                <wp:positionH relativeFrom="column">
                  <wp:posOffset>2831465</wp:posOffset>
                </wp:positionH>
                <wp:positionV relativeFrom="paragraph">
                  <wp:posOffset>1419225</wp:posOffset>
                </wp:positionV>
                <wp:extent cx="741680" cy="251460"/>
                <wp:effectExtent l="0" t="0" r="0" b="0"/>
                <wp:wrapNone/>
                <wp:docPr id="750847117" name="Rectangular Callout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680" cy="251460"/>
                        </a:xfrm>
                        <a:prstGeom prst="wedgeRectCallout">
                          <a:avLst>
                            <a:gd name="adj1" fmla="val -37758"/>
                            <a:gd name="adj2" fmla="val 40854"/>
                          </a:avLst>
                        </a:prstGeom>
                        <a:noFill/>
                        <a:ln w="9525" cap="flat" cmpd="sng" algn="ctr">
                          <a:noFill/>
                          <a:prstDash val="solid"/>
                        </a:ln>
                        <a:effectLst/>
                      </wps:spPr>
                      <wps:txbx>
                        <w:txbxContent>
                          <w:p w:rsidR="00DA0337" w:rsidRPr="00D97E14" w:rsidRDefault="00DA0337" w:rsidP="00A265E8">
                            <w:pPr>
                              <w:pStyle w:val="NormalWeb"/>
                              <w:spacing w:before="0" w:beforeAutospacing="0" w:after="0" w:afterAutospacing="0"/>
                              <w:jc w:val="center"/>
                            </w:pPr>
                            <w:r w:rsidRPr="003F6942">
                              <w:rPr>
                                <w:rFonts w:ascii="Segoe UI" w:hAnsi="Segoe UI" w:cs="Segoe UI"/>
                                <w:sz w:val="12"/>
                                <w:szCs w:val="12"/>
                                <w:lang w:val="en-US"/>
                              </w:rPr>
                              <w:t xml:space="preserve">CET1 FL: </w:t>
                            </w:r>
                            <w:r w:rsidRPr="006A64AB">
                              <w:rPr>
                                <w:rFonts w:ascii="Segoe UI" w:hAnsi="Segoe UI" w:cs="Segoe UI"/>
                                <w:sz w:val="12"/>
                                <w:szCs w:val="12"/>
                                <w:lang w:val="en-US"/>
                              </w:rPr>
                              <w:t>1</w:t>
                            </w:r>
                            <w:r>
                              <w:rPr>
                                <w:rFonts w:ascii="Segoe UI" w:hAnsi="Segoe UI" w:cs="Segoe UI"/>
                                <w:sz w:val="12"/>
                                <w:szCs w:val="12"/>
                              </w:rPr>
                              <w:t>3,8</w:t>
                            </w:r>
                            <w:r w:rsidRPr="006A64AB">
                              <w:rPr>
                                <w:rFonts w:ascii="Segoe UI" w:hAnsi="Segoe UI" w:cs="Segoe UI"/>
                                <w:sz w:val="12"/>
                                <w:szCs w:val="12"/>
                              </w:rPr>
                              <w:t>%</w:t>
                            </w:r>
                          </w:p>
                        </w:txbxContent>
                      </wps:txbx>
                      <wps:bodyPr wrap="square" anchor="ctr">
                        <a:noAutofit/>
                      </wps:bodyPr>
                    </wps:wsp>
                  </a:graphicData>
                </a:graphic>
              </wp:anchor>
            </w:drawing>
          </mc:Choice>
          <mc:Fallback>
            <w:pict>
              <v:shape w14:anchorId="2DA5F38A" id="Rectangular Callout 28" o:spid="_x0000_s1039" type="#_x0000_t61" style="position:absolute;margin-left:222.95pt;margin-top:111.75pt;width:58.4pt;height:19.8pt;z-index:251694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" adj="2644,19624" filled="f" stroked="f">
                <v:path arrowok="t"/>
                <v:textbox>
                  <w:txbxContent>
                    <w:p w:rsidR="00DA0337" w:rsidRPr="00D97E14" w:rsidRDefault="00DA0337" w:rsidP="00A265E8">
                      <w:pPr>
                        <w:pStyle w:val="Web"/>
                        <w:spacing w:before="0" w:beforeAutospacing="0" w:after="0" w:afterAutospacing="0"/>
                        <w:jc w:val="center"/>
                      </w:pPr>
                      <w:r w:rsidRPr="003F6942">
                        <w:rPr>
                          <w:rFonts w:ascii="Segoe UI" w:hAnsi="Segoe UI" w:cs="Segoe UI"/>
                          <w:sz w:val="12"/>
                          <w:szCs w:val="12"/>
                          <w:lang w:val="en-US"/>
                        </w:rPr>
                        <w:t xml:space="preserve">CET1 FL: </w:t>
                      </w:r>
                      <w:r w:rsidRPr="006A64AB">
                        <w:rPr>
                          <w:rFonts w:ascii="Segoe UI" w:hAnsi="Segoe UI" w:cs="Segoe UI"/>
                          <w:sz w:val="12"/>
                          <w:szCs w:val="12"/>
                          <w:lang w:val="en-US"/>
                        </w:rPr>
                        <w:t>1</w:t>
                      </w:r>
                      <w:r>
                        <w:rPr>
                          <w:rFonts w:ascii="Segoe UI" w:hAnsi="Segoe UI" w:cs="Segoe UI"/>
                          <w:sz w:val="12"/>
                          <w:szCs w:val="12"/>
                        </w:rPr>
                        <w:t>3,8</w:t>
                      </w:r>
                      <w:r w:rsidRPr="006A64AB">
                        <w:rPr>
                          <w:rFonts w:ascii="Segoe UI" w:hAnsi="Segoe UI" w:cs="Segoe UI"/>
                          <w:sz w:val="12"/>
                          <w:szCs w:val="12"/>
                        </w:rPr>
                        <w:t>%</w:t>
                      </w:r>
                    </w:p>
                  </w:txbxContent>
                </v:textbox>
              </v:shape>
            </w:pict>
          </mc:Fallback>
        </mc:AlternateContent>
      </w:r>
      <w:r w:rsidR="003F2B67">
        <w:rPr>
          <w:noProof/>
          <w:lang w:eastAsia="el-GR"/>
        </w:rPr>
        <mc:AlternateContent>
          <mc:Choice Requires="wps">
            <w:drawing>
              <wp:anchor distT="0" distB="0" distL="114300" distR="114300" simplePos="0" relativeHeight="251716096" behindDoc="0" locked="0" layoutInCell="1" allowOverlap="1" wp14:anchorId="1D7EBE2C" wp14:editId="225250DD">
                <wp:simplePos x="0" y="0"/>
                <wp:positionH relativeFrom="column">
                  <wp:posOffset>2812415</wp:posOffset>
                </wp:positionH>
                <wp:positionV relativeFrom="paragraph">
                  <wp:posOffset>445770</wp:posOffset>
                </wp:positionV>
                <wp:extent cx="741680" cy="251460"/>
                <wp:effectExtent l="0" t="0" r="0" b="0"/>
                <wp:wrapNone/>
                <wp:docPr id="10" name="Rectangular Callout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680" cy="251460"/>
                        </a:xfrm>
                        <a:prstGeom prst="wedgeRectCallout">
                          <a:avLst>
                            <a:gd name="adj1" fmla="val -37758"/>
                            <a:gd name="adj2" fmla="val 40854"/>
                          </a:avLst>
                        </a:prstGeom>
                        <a:noFill/>
                        <a:ln w="9525" cap="flat" cmpd="sng" algn="ctr">
                          <a:noFill/>
                          <a:prstDash val="solid"/>
                        </a:ln>
                        <a:effectLst/>
                      </wps:spPr>
                      <wps:txbx>
                        <w:txbxContent>
                          <w:p w:rsidR="00DA0337" w:rsidRPr="00824C1C" w:rsidRDefault="00DA0337" w:rsidP="00F01E4A">
                            <w:pPr>
                              <w:pStyle w:val="NormalWeb"/>
                              <w:spacing w:before="0" w:beforeAutospacing="0" w:after="0" w:afterAutospacing="0"/>
                              <w:jc w:val="center"/>
                              <w:rPr>
                                <w:b/>
                              </w:rPr>
                            </w:pPr>
                            <w:r w:rsidRPr="00824C1C">
                              <w:rPr>
                                <w:rFonts w:ascii="Segoe UI" w:hAnsi="Segoe UI" w:cs="Segoe UI"/>
                                <w:b/>
                                <w:sz w:val="12"/>
                                <w:szCs w:val="12"/>
                                <w:lang w:val="en-US"/>
                              </w:rPr>
                              <w:t xml:space="preserve">CAD </w:t>
                            </w:r>
                            <w:r w:rsidRPr="006A64AB">
                              <w:rPr>
                                <w:rFonts w:ascii="Segoe UI" w:hAnsi="Segoe UI" w:cs="Segoe UI"/>
                                <w:b/>
                                <w:sz w:val="12"/>
                                <w:szCs w:val="12"/>
                                <w:lang w:val="en-US"/>
                              </w:rPr>
                              <w:t>FL: 1</w:t>
                            </w:r>
                            <w:r>
                              <w:rPr>
                                <w:rFonts w:ascii="Segoe UI" w:hAnsi="Segoe UI" w:cs="Segoe UI"/>
                                <w:b/>
                                <w:sz w:val="12"/>
                                <w:szCs w:val="12"/>
                                <w:lang w:val="en-US"/>
                              </w:rPr>
                              <w:t>4</w:t>
                            </w:r>
                            <w:r w:rsidRPr="006A64AB">
                              <w:rPr>
                                <w:rFonts w:ascii="Segoe UI" w:hAnsi="Segoe UI" w:cs="Segoe UI"/>
                                <w:b/>
                                <w:sz w:val="12"/>
                                <w:szCs w:val="12"/>
                              </w:rPr>
                              <w:t>,</w:t>
                            </w:r>
                            <w:r>
                              <w:rPr>
                                <w:rFonts w:ascii="Segoe UI" w:hAnsi="Segoe UI" w:cs="Segoe UI"/>
                                <w:b/>
                                <w:sz w:val="12"/>
                                <w:szCs w:val="12"/>
                                <w:lang w:val="en-US"/>
                              </w:rPr>
                              <w:t>8</w:t>
                            </w:r>
                            <w:r w:rsidRPr="006A64AB">
                              <w:rPr>
                                <w:rFonts w:ascii="Segoe UI" w:hAnsi="Segoe UI" w:cs="Segoe UI"/>
                                <w:b/>
                                <w:sz w:val="12"/>
                                <w:szCs w:val="12"/>
                              </w:rPr>
                              <w:t>%</w:t>
                            </w:r>
                          </w:p>
                        </w:txbxContent>
                      </wps:txbx>
                      <wps:bodyPr wrap="square" anchor="ctr">
                        <a:noAutofit/>
                      </wps:bodyPr>
                    </wps:wsp>
                  </a:graphicData>
                </a:graphic>
              </wp:anchor>
            </w:drawing>
          </mc:Choice>
          <mc:Fallback>
            <w:pict>
              <v:shape w14:anchorId="1D7EBE2C" id="_x0000_s1040" type="#_x0000_t61" style="position:absolute;margin-left:221.45pt;margin-top:35.1pt;width:58.4pt;height:19.8pt;z-index:251716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" adj="2644,19624" filled="f" stroked="f">
                <v:path arrowok="t"/>
                <v:textbox>
                  <w:txbxContent>
                    <w:p w:rsidR="00DA0337" w:rsidRPr="00824C1C" w:rsidRDefault="00DA0337" w:rsidP="00F01E4A">
                      <w:pPr>
                        <w:pStyle w:val="Web"/>
                        <w:spacing w:before="0" w:beforeAutospacing="0" w:after="0" w:afterAutospacing="0"/>
                        <w:jc w:val="center"/>
                        <w:rPr>
                          <w:b/>
                        </w:rPr>
                      </w:pPr>
                      <w:r w:rsidRPr="00824C1C">
                        <w:rPr>
                          <w:rFonts w:ascii="Segoe UI" w:hAnsi="Segoe UI" w:cs="Segoe UI"/>
                          <w:b/>
                          <w:sz w:val="12"/>
                          <w:szCs w:val="12"/>
                          <w:lang w:val="en-US"/>
                        </w:rPr>
                        <w:t xml:space="preserve">CAD </w:t>
                      </w:r>
                      <w:r w:rsidRPr="006A64AB">
                        <w:rPr>
                          <w:rFonts w:ascii="Segoe UI" w:hAnsi="Segoe UI" w:cs="Segoe UI"/>
                          <w:b/>
                          <w:sz w:val="12"/>
                          <w:szCs w:val="12"/>
                          <w:lang w:val="en-US"/>
                        </w:rPr>
                        <w:t>FL: 1</w:t>
                      </w:r>
                      <w:r>
                        <w:rPr>
                          <w:rFonts w:ascii="Segoe UI" w:hAnsi="Segoe UI" w:cs="Segoe UI"/>
                          <w:b/>
                          <w:sz w:val="12"/>
                          <w:szCs w:val="12"/>
                          <w:lang w:val="en-US"/>
                        </w:rPr>
                        <w:t>4</w:t>
                      </w:r>
                      <w:r w:rsidRPr="006A64AB">
                        <w:rPr>
                          <w:rFonts w:ascii="Segoe UI" w:hAnsi="Segoe UI" w:cs="Segoe UI"/>
                          <w:b/>
                          <w:sz w:val="12"/>
                          <w:szCs w:val="12"/>
                        </w:rPr>
                        <w:t>,</w:t>
                      </w:r>
                      <w:r>
                        <w:rPr>
                          <w:rFonts w:ascii="Segoe UI" w:hAnsi="Segoe UI" w:cs="Segoe UI"/>
                          <w:b/>
                          <w:sz w:val="12"/>
                          <w:szCs w:val="12"/>
                          <w:lang w:val="en-US"/>
                        </w:rPr>
                        <w:t>8</w:t>
                      </w:r>
                      <w:r w:rsidRPr="006A64AB">
                        <w:rPr>
                          <w:rFonts w:ascii="Segoe UI" w:hAnsi="Segoe UI" w:cs="Segoe UI"/>
                          <w:b/>
                          <w:sz w:val="12"/>
                          <w:szCs w:val="12"/>
                        </w:rPr>
                        <w:t>%</w:t>
                      </w:r>
                    </w:p>
                  </w:txbxContent>
                </v:textbox>
              </v:shape>
            </w:pict>
          </mc:Fallback>
        </mc:AlternateContent>
      </w:r>
      <w:r w:rsidR="007F0D3E" w:rsidRPr="00E6031F">
        <w:rPr>
          <w:rFonts w:ascii="Segoe UI" w:hAnsi="Segoe UI" w:cs="Segoe UI"/>
          <w:noProof/>
          <w:lang w:eastAsia="el-GR"/>
        </w:rPr>
        <mc:AlternateContent>
          <mc:Choice Requires="wps">
            <w:drawing>
              <wp:anchor distT="0" distB="0" distL="114300" distR="114300" simplePos="0" relativeHeight="251714048" behindDoc="0" locked="0" layoutInCell="1" allowOverlap="1" wp14:anchorId="4AF4EE93" wp14:editId="31715166">
                <wp:simplePos x="0" y="0"/>
                <wp:positionH relativeFrom="column">
                  <wp:posOffset>4018915</wp:posOffset>
                </wp:positionH>
                <wp:positionV relativeFrom="paragraph">
                  <wp:posOffset>238760</wp:posOffset>
                </wp:positionV>
                <wp:extent cx="592455" cy="212725"/>
                <wp:effectExtent l="0" t="0" r="0" b="0"/>
                <wp:wrapNone/>
                <wp:docPr id="8" name="Rectangular Callout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455" cy="212725"/>
                        </a:xfrm>
                        <a:prstGeom prst="wedgeRectCallout">
                          <a:avLst>
                            <a:gd name="adj1" fmla="val -47983"/>
                            <a:gd name="adj2" fmla="val -13961"/>
                          </a:avLst>
                        </a:prstGeom>
                        <a:noFill/>
                        <a:ln w="9525" cap="flat" cmpd="sng" algn="ctr">
                          <a:noFill/>
                          <a:prstDash val="solid"/>
                          <a:miter lim="800000"/>
                        </a:ln>
                        <a:effectLst/>
                      </wps:spPr>
                      <wps:txbx>
                        <w:txbxContent>
                          <w:p w:rsidR="00DA0337" w:rsidRPr="00A91726" w:rsidRDefault="00DA0337" w:rsidP="00F2062C">
                            <w:pPr>
                              <w:pStyle w:val="NormalWeb"/>
                              <w:spacing w:before="0" w:beforeAutospacing="0" w:after="0" w:afterAutospacing="0"/>
                              <w:jc w:val="center"/>
                              <w:textAlignment w:val="baseline"/>
                              <w:rPr>
                                <w:b/>
                                <w:sz w:val="16"/>
                                <w:szCs w:val="14"/>
                              </w:rPr>
                            </w:pPr>
                            <w:r w:rsidRPr="007F0D3E">
                              <w:rPr>
                                <w:rFonts w:ascii="Segoe UI" w:eastAsia="MS Mincho" w:hAnsi="Segoe UI" w:cs="Segoe UI"/>
                                <w:b/>
                                <w:color w:val="000000"/>
                                <w:kern w:val="24"/>
                                <w:sz w:val="16"/>
                                <w:szCs w:val="14"/>
                                <w:lang w:eastAsia="en-US"/>
                              </w:rPr>
                              <w:t>~</w:t>
                            </w:r>
                            <w:r w:rsidRPr="005826F8">
                              <w:rPr>
                                <w:rFonts w:ascii="Segoe UI" w:eastAsia="MS Mincho" w:hAnsi="Segoe UI" w:cs="Segoe UI"/>
                                <w:b/>
                                <w:color w:val="000000"/>
                                <w:kern w:val="24"/>
                                <w:sz w:val="16"/>
                                <w:szCs w:val="14"/>
                                <w:lang w:eastAsia="en-US"/>
                              </w:rPr>
                              <w:t>1</w:t>
                            </w:r>
                            <w:r>
                              <w:rPr>
                                <w:rFonts w:ascii="Segoe UI" w:eastAsia="MS Mincho" w:hAnsi="Segoe UI" w:cs="Segoe UI"/>
                                <w:b/>
                                <w:color w:val="000000"/>
                                <w:kern w:val="24"/>
                                <w:sz w:val="16"/>
                                <w:szCs w:val="14"/>
                                <w:lang w:val="en-US" w:eastAsia="en-US"/>
                              </w:rPr>
                              <w:t>8,8</w:t>
                            </w:r>
                            <w:r w:rsidRPr="005826F8">
                              <w:rPr>
                                <w:rFonts w:ascii="Segoe UI" w:eastAsia="MS Mincho" w:hAnsi="Segoe UI" w:cs="Segoe UI"/>
                                <w:b/>
                                <w:color w:val="000000"/>
                                <w:kern w:val="24"/>
                                <w:sz w:val="16"/>
                                <w:szCs w:val="14"/>
                                <w:lang w:eastAsia="en-US"/>
                              </w:rPr>
                              <w:t>%</w:t>
                            </w:r>
                            <w:r w:rsidRPr="00A91726">
                              <w:rPr>
                                <w:rFonts w:ascii="Segoe UI" w:eastAsia="MS Mincho" w:hAnsi="Segoe UI" w:cs="Segoe UI"/>
                                <w:b/>
                                <w:color w:val="000000"/>
                                <w:kern w:val="24"/>
                                <w:sz w:val="16"/>
                                <w:szCs w:val="14"/>
                                <w:lang w:eastAsia="en-US"/>
                              </w:rPr>
                              <w:t xml:space="preserve">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4AF4EE93" id="_x0000_s1041" type="#_x0000_t61" style="position:absolute;margin-left:316.45pt;margin-top:18.8pt;width:46.65pt;height:16.7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" adj="436,7784" filled="f" stroked="f">
                <v:path arrowok="t"/>
                <v:textbox>
                  <w:txbxContent>
                    <w:p w:rsidR="00DA0337" w:rsidRPr="00A91726" w:rsidRDefault="00DA0337" w:rsidP="00F2062C">
                      <w:pPr>
                        <w:pStyle w:val="Web"/>
                        <w:spacing w:before="0" w:beforeAutospacing="0" w:after="0" w:afterAutospacing="0"/>
                        <w:jc w:val="center"/>
                        <w:textAlignment w:val="baseline"/>
                        <w:rPr>
                          <w:b/>
                          <w:sz w:val="16"/>
                          <w:szCs w:val="14"/>
                        </w:rPr>
                      </w:pPr>
                      <w:r w:rsidRPr="007F0D3E">
                        <w:rPr>
                          <w:rFonts w:ascii="Segoe UI" w:eastAsia="MS Mincho" w:hAnsi="Segoe UI" w:cs="Segoe UI"/>
                          <w:b/>
                          <w:color w:val="000000"/>
                          <w:kern w:val="24"/>
                          <w:sz w:val="16"/>
                          <w:szCs w:val="14"/>
                          <w:lang w:eastAsia="en-US"/>
                        </w:rPr>
                        <w:t>~</w:t>
                      </w:r>
                      <w:r w:rsidRPr="005826F8">
                        <w:rPr>
                          <w:rFonts w:ascii="Segoe UI" w:eastAsia="MS Mincho" w:hAnsi="Segoe UI" w:cs="Segoe UI"/>
                          <w:b/>
                          <w:color w:val="000000"/>
                          <w:kern w:val="24"/>
                          <w:sz w:val="16"/>
                          <w:szCs w:val="14"/>
                          <w:lang w:eastAsia="en-US"/>
                        </w:rPr>
                        <w:t>1</w:t>
                      </w:r>
                      <w:r>
                        <w:rPr>
                          <w:rFonts w:ascii="Segoe UI" w:eastAsia="MS Mincho" w:hAnsi="Segoe UI" w:cs="Segoe UI"/>
                          <w:b/>
                          <w:color w:val="000000"/>
                          <w:kern w:val="24"/>
                          <w:sz w:val="16"/>
                          <w:szCs w:val="14"/>
                          <w:lang w:val="en-US" w:eastAsia="en-US"/>
                        </w:rPr>
                        <w:t>8,8</w:t>
                      </w:r>
                      <w:r w:rsidRPr="005826F8">
                        <w:rPr>
                          <w:rFonts w:ascii="Segoe UI" w:eastAsia="MS Mincho" w:hAnsi="Segoe UI" w:cs="Segoe UI"/>
                          <w:b/>
                          <w:color w:val="000000"/>
                          <w:kern w:val="24"/>
                          <w:sz w:val="16"/>
                          <w:szCs w:val="14"/>
                          <w:lang w:eastAsia="en-US"/>
                        </w:rPr>
                        <w:t>%</w:t>
                      </w:r>
                      <w:r w:rsidRPr="00A91726">
                        <w:rPr>
                          <w:rFonts w:ascii="Segoe UI" w:eastAsia="MS Mincho" w:hAnsi="Segoe UI" w:cs="Segoe UI"/>
                          <w:b/>
                          <w:color w:val="000000"/>
                          <w:kern w:val="24"/>
                          <w:sz w:val="16"/>
                          <w:szCs w:val="14"/>
                          <w:lang w:eastAsia="en-US"/>
                        </w:rPr>
                        <w:t xml:space="preserve"> </w:t>
                      </w:r>
                    </w:p>
                  </w:txbxContent>
                </v:textbox>
              </v:shape>
            </w:pict>
          </mc:Fallback>
        </mc:AlternateContent>
      </w:r>
      <w:r w:rsidR="003154BD">
        <w:rPr>
          <w:noProof/>
          <w:lang w:eastAsia="el-GR"/>
        </w:rPr>
        <mc:AlternateContent>
          <mc:Choice Requires="wps">
            <w:drawing>
              <wp:anchor distT="0" distB="0" distL="114300" distR="114300" simplePos="0" relativeHeight="251728384" behindDoc="0" locked="0" layoutInCell="1" allowOverlap="1" wp14:anchorId="6AC38379" wp14:editId="69979B56">
                <wp:simplePos x="0" y="0"/>
                <wp:positionH relativeFrom="column">
                  <wp:posOffset>4075001</wp:posOffset>
                </wp:positionH>
                <wp:positionV relativeFrom="paragraph">
                  <wp:posOffset>254000</wp:posOffset>
                </wp:positionV>
                <wp:extent cx="502127" cy="215265"/>
                <wp:effectExtent l="0" t="0" r="12700" b="13335"/>
                <wp:wrapNone/>
                <wp:docPr id="750847122" name="Έλλειψη 750847122"/>
                <wp:cNvGraphicFramePr/>
                <a:graphic xmlns:a="http://schemas.openxmlformats.org/drawingml/2006/main">
                  <a:graphicData uri="http://schemas.microsoft.com/office/word/2010/wordprocessingShape">
                    <wps:wsp>
                      <wps:cNvSpPr/>
                      <wps:spPr>
                        <a:xfrm>
                          <a:off x="0" y="0"/>
                          <a:ext cx="502127" cy="215265"/>
                        </a:xfrm>
                        <a:prstGeom prst="ellipse">
                          <a:avLst/>
                        </a:prstGeom>
                        <a:noFill/>
                        <a:ln w="12700" cap="flat" cmpd="sng" algn="ctr">
                          <a:solidFill>
                            <a:srgbClr val="00808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A05B20" id="Έλλειψη 750847122" o:spid="_x0000_s1026" style="position:absolute;margin-left:320.85pt;margin-top:20pt;width:39.55pt;height:16.9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" filled="f" strokecolor="teal" strokeweight="1pt">
                <v:stroke dashstyle="dash" joinstyle="miter"/>
              </v:oval>
            </w:pict>
          </mc:Fallback>
        </mc:AlternateContent>
      </w:r>
      <w:r w:rsidR="00231AD1">
        <w:rPr>
          <w:noProof/>
          <w:lang w:eastAsia="el-GR"/>
        </w:rPr>
        <mc:AlternateContent>
          <mc:Choice Requires="wps">
            <w:drawing>
              <wp:anchor distT="0" distB="0" distL="114300" distR="114300" simplePos="0" relativeHeight="251718144" behindDoc="0" locked="0" layoutInCell="1" allowOverlap="1" wp14:anchorId="2A2A120B" wp14:editId="2B030365">
                <wp:simplePos x="0" y="0"/>
                <wp:positionH relativeFrom="column">
                  <wp:posOffset>1020445</wp:posOffset>
                </wp:positionH>
                <wp:positionV relativeFrom="paragraph">
                  <wp:posOffset>1364967</wp:posOffset>
                </wp:positionV>
                <wp:extent cx="741680" cy="251460"/>
                <wp:effectExtent l="0" t="0" r="0" b="0"/>
                <wp:wrapNone/>
                <wp:docPr id="12" name="Rectangular Callout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680" cy="251460"/>
                        </a:xfrm>
                        <a:prstGeom prst="wedgeRectCallout">
                          <a:avLst>
                            <a:gd name="adj1" fmla="val -37758"/>
                            <a:gd name="adj2" fmla="val 40854"/>
                          </a:avLst>
                        </a:prstGeom>
                        <a:noFill/>
                        <a:ln w="9525" cap="flat" cmpd="sng" algn="ctr">
                          <a:noFill/>
                          <a:prstDash val="solid"/>
                        </a:ln>
                        <a:effectLst/>
                      </wps:spPr>
                      <wps:txbx>
                        <w:txbxContent>
                          <w:p w:rsidR="00DA0337" w:rsidRPr="00D97E14" w:rsidRDefault="00DA0337" w:rsidP="00D97E14">
                            <w:pPr>
                              <w:pStyle w:val="NormalWeb"/>
                              <w:spacing w:before="0" w:beforeAutospacing="0" w:after="0" w:afterAutospacing="0"/>
                              <w:jc w:val="center"/>
                            </w:pPr>
                            <w:r w:rsidRPr="003F6942">
                              <w:rPr>
                                <w:rFonts w:ascii="Segoe UI" w:hAnsi="Segoe UI" w:cs="Segoe UI"/>
                                <w:sz w:val="12"/>
                                <w:szCs w:val="12"/>
                                <w:lang w:val="en-US"/>
                              </w:rPr>
                              <w:t>CET1 FL</w:t>
                            </w:r>
                            <w:r w:rsidRPr="00D97E14">
                              <w:rPr>
                                <w:rFonts w:ascii="Segoe UI" w:hAnsi="Segoe UI" w:cs="Segoe UI"/>
                                <w:sz w:val="12"/>
                                <w:szCs w:val="12"/>
                                <w:lang w:val="en-US"/>
                              </w:rPr>
                              <w:t>: 1</w:t>
                            </w:r>
                            <w:r>
                              <w:rPr>
                                <w:rFonts w:ascii="Segoe UI" w:hAnsi="Segoe UI" w:cs="Segoe UI"/>
                                <w:sz w:val="12"/>
                                <w:szCs w:val="12"/>
                              </w:rPr>
                              <w:t>2,8</w:t>
                            </w:r>
                            <w:r w:rsidRPr="00D97E14">
                              <w:rPr>
                                <w:rFonts w:ascii="Segoe UI" w:hAnsi="Segoe UI" w:cs="Segoe UI"/>
                                <w:sz w:val="12"/>
                                <w:szCs w:val="12"/>
                              </w:rPr>
                              <w:t>%</w:t>
                            </w:r>
                          </w:p>
                        </w:txbxContent>
                      </wps:txbx>
                      <wps:bodyPr wrap="square" anchor="ctr">
                        <a:noAutofit/>
                      </wps:bodyPr>
                    </wps:wsp>
                  </a:graphicData>
                </a:graphic>
              </wp:anchor>
            </w:drawing>
          </mc:Choice>
          <mc:Fallback>
            <w:pict>
              <v:shapetype w14:anchorId="2A2A120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43" type="#_x0000_t61" style="position:absolute;margin-left:80.35pt;margin-top:107.5pt;width:58.4pt;height:19.8pt;z-index:251718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" adj="2644,19624" filled="f" stroked="f">
                <v:path arrowok="t"/>
                <v:textbox>
                  <w:txbxContent>
                    <w:p w:rsidR="00DA0337" w:rsidRPr="00D97E14" w:rsidRDefault="00DA0337" w:rsidP="00D97E14">
                      <w:pPr>
                        <w:pStyle w:val="Web"/>
                        <w:spacing w:before="0" w:beforeAutospacing="0" w:after="0" w:afterAutospacing="0"/>
                        <w:jc w:val="center"/>
                      </w:pPr>
                      <w:r w:rsidRPr="003F6942">
                        <w:rPr>
                          <w:rFonts w:ascii="Segoe UI" w:hAnsi="Segoe UI" w:cs="Segoe UI"/>
                          <w:sz w:val="12"/>
                          <w:szCs w:val="12"/>
                          <w:lang w:val="en-US"/>
                        </w:rPr>
                        <w:t>CET1 FL</w:t>
                      </w:r>
                      <w:r w:rsidRPr="00D97E14">
                        <w:rPr>
                          <w:rFonts w:ascii="Segoe UI" w:hAnsi="Segoe UI" w:cs="Segoe UI"/>
                          <w:sz w:val="12"/>
                          <w:szCs w:val="12"/>
                          <w:lang w:val="en-US"/>
                        </w:rPr>
                        <w:t>: 1</w:t>
                      </w:r>
                      <w:r>
                        <w:rPr>
                          <w:rFonts w:ascii="Segoe UI" w:hAnsi="Segoe UI" w:cs="Segoe UI"/>
                          <w:sz w:val="12"/>
                          <w:szCs w:val="12"/>
                        </w:rPr>
                        <w:t>2</w:t>
                      </w:r>
                      <w:proofErr w:type="gramStart"/>
                      <w:r>
                        <w:rPr>
                          <w:rFonts w:ascii="Segoe UI" w:hAnsi="Segoe UI" w:cs="Segoe UI"/>
                          <w:sz w:val="12"/>
                          <w:szCs w:val="12"/>
                        </w:rPr>
                        <w:t>,8</w:t>
                      </w:r>
                      <w:proofErr w:type="gramEnd"/>
                      <w:r w:rsidRPr="00D97E14">
                        <w:rPr>
                          <w:rFonts w:ascii="Segoe UI" w:hAnsi="Segoe UI" w:cs="Segoe UI"/>
                          <w:sz w:val="12"/>
                          <w:szCs w:val="12"/>
                        </w:rPr>
                        <w:t>%</w:t>
                      </w:r>
                    </w:p>
                  </w:txbxContent>
                </v:textbox>
              </v:shape>
            </w:pict>
          </mc:Fallback>
        </mc:AlternateContent>
      </w:r>
      <w:r w:rsidR="00C61CDC" w:rsidRPr="003F6942">
        <w:rPr>
          <w:rFonts w:ascii="Segoe UI" w:eastAsia="Segoe UI" w:hAnsi="Segoe UI" w:cs="Segoe UI"/>
          <w:b/>
          <w:noProof/>
          <w:color w:val="FF0000"/>
          <w:kern w:val="24"/>
          <w:sz w:val="20"/>
          <w:lang w:eastAsia="el-GR"/>
        </w:rPr>
        <w:drawing>
          <wp:inline distT="0" distB="0" distL="0" distR="0" wp14:anchorId="49A27E1C" wp14:editId="79CCDB99">
            <wp:extent cx="6466637" cy="2706624"/>
            <wp:effectExtent l="0" t="0" r="10795" b="17780"/>
            <wp:docPr id="750847109" name="Γράφημα 75084710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92797" w:rsidRDefault="00C92797" w:rsidP="008E0A91">
      <w:pPr>
        <w:pStyle w:val="TITLEINBODY"/>
        <w:rPr>
          <w:rFonts w:ascii="Segoe UI" w:hAnsi="Segoe UI" w:cs="Segoe UI"/>
          <w:lang w:val="el-GR"/>
        </w:rPr>
      </w:pPr>
    </w:p>
    <w:p w:rsidR="008E0A91" w:rsidRPr="000F701B" w:rsidRDefault="001E012B" w:rsidP="008E0A91">
      <w:pPr>
        <w:pStyle w:val="TITLEINBODY"/>
        <w:rPr>
          <w:rFonts w:ascii="Segoe UI" w:hAnsi="Segoe UI" w:cs="Segoe UI"/>
          <w:lang w:val="el-GR"/>
        </w:rPr>
      </w:pPr>
      <w:r w:rsidRPr="000F701B">
        <w:rPr>
          <w:rFonts w:ascii="Segoe UI" w:hAnsi="Segoe UI" w:cs="Segoe UI"/>
          <w:lang w:val="el-GR"/>
        </w:rPr>
        <w:t>Ρευστότητα</w:t>
      </w:r>
    </w:p>
    <w:p w:rsidR="00ED38A5" w:rsidRPr="009143A4" w:rsidRDefault="00021010" w:rsidP="005A1BC1">
      <w:pPr>
        <w:autoSpaceDE w:val="0"/>
        <w:autoSpaceDN w:val="0"/>
        <w:adjustRightInd w:val="0"/>
        <w:spacing w:before="240" w:after="160" w:line="320" w:lineRule="atLeast"/>
        <w:jc w:val="both"/>
        <w:rPr>
          <w:rFonts w:ascii="Segoe UI" w:eastAsia="MS Mincho" w:hAnsi="Segoe UI" w:cs="Segoe UI"/>
          <w:sz w:val="20"/>
          <w:szCs w:val="22"/>
          <w:lang w:eastAsia="el-GR" w:bidi="el-GR"/>
        </w:rPr>
      </w:pPr>
      <w:r w:rsidRPr="00E96569">
        <w:rPr>
          <w:rFonts w:ascii="Segoe UI" w:eastAsia="MS Mincho" w:hAnsi="Segoe UI" w:cs="Segoe UI"/>
          <w:sz w:val="20"/>
          <w:szCs w:val="22"/>
          <w:lang w:eastAsia="el-GR" w:bidi="el-GR"/>
        </w:rPr>
        <w:t>Ο</w:t>
      </w:r>
      <w:r w:rsidR="00305DE9" w:rsidRPr="00E96569">
        <w:rPr>
          <w:rFonts w:ascii="Segoe UI" w:eastAsia="MS Mincho" w:hAnsi="Segoe UI" w:cs="Segoe UI"/>
          <w:sz w:val="20"/>
          <w:szCs w:val="22"/>
          <w:lang w:eastAsia="el-GR" w:bidi="el-GR"/>
        </w:rPr>
        <w:t xml:space="preserve">ι </w:t>
      </w:r>
      <w:r w:rsidR="00305DE9" w:rsidRPr="00E96569">
        <w:rPr>
          <w:rFonts w:ascii="Segoe UI" w:eastAsia="MS Mincho" w:hAnsi="Segoe UI" w:cs="Segoe UI"/>
          <w:b/>
          <w:sz w:val="20"/>
          <w:szCs w:val="22"/>
          <w:lang w:eastAsia="el-GR" w:bidi="el-GR"/>
        </w:rPr>
        <w:t>καταθέσεις</w:t>
      </w:r>
      <w:r w:rsidR="00305DE9" w:rsidRPr="00E96569">
        <w:rPr>
          <w:rFonts w:ascii="Segoe UI" w:eastAsia="MS Mincho" w:hAnsi="Segoe UI" w:cs="Segoe UI"/>
          <w:sz w:val="20"/>
          <w:szCs w:val="22"/>
          <w:lang w:eastAsia="el-GR" w:bidi="el-GR"/>
        </w:rPr>
        <w:t xml:space="preserve"> του Ομίλου </w:t>
      </w:r>
      <w:r w:rsidRPr="00E96569">
        <w:rPr>
          <w:rFonts w:ascii="Segoe UI" w:eastAsia="MS Mincho" w:hAnsi="Segoe UI" w:cs="Segoe UI"/>
          <w:sz w:val="20"/>
          <w:szCs w:val="22"/>
          <w:lang w:eastAsia="el-GR" w:bidi="el-GR"/>
        </w:rPr>
        <w:t xml:space="preserve">ανήλθαν σε </w:t>
      </w:r>
      <w:r w:rsidR="00A425DC" w:rsidRPr="00E96569">
        <w:rPr>
          <w:rFonts w:ascii="Segoe UI" w:eastAsia="MS Mincho" w:hAnsi="Segoe UI" w:cs="Segoe UI"/>
          <w:sz w:val="20"/>
          <w:szCs w:val="22"/>
          <w:lang w:eastAsia="el-GR" w:bidi="el-GR"/>
        </w:rPr>
        <w:t>€</w:t>
      </w:r>
      <w:r w:rsidRPr="00E96569">
        <w:rPr>
          <w:rFonts w:ascii="Segoe UI" w:eastAsia="MS Mincho" w:hAnsi="Segoe UI" w:cs="Segoe UI"/>
          <w:sz w:val="20"/>
          <w:szCs w:val="22"/>
          <w:lang w:eastAsia="el-GR" w:bidi="el-GR"/>
        </w:rPr>
        <w:t>51,1</w:t>
      </w:r>
      <w:r w:rsidR="00A425DC" w:rsidRPr="00E96569">
        <w:rPr>
          <w:rFonts w:ascii="Segoe UI" w:eastAsia="MS Mincho" w:hAnsi="Segoe UI" w:cs="Segoe UI"/>
          <w:sz w:val="20"/>
          <w:szCs w:val="22"/>
          <w:lang w:eastAsia="el-GR" w:bidi="el-GR"/>
        </w:rPr>
        <w:t xml:space="preserve"> δισ.</w:t>
      </w:r>
      <w:r w:rsidR="003D1AEF" w:rsidRPr="00E96569">
        <w:rPr>
          <w:rFonts w:ascii="Segoe UI" w:eastAsia="MS Mincho" w:hAnsi="Segoe UI" w:cs="Segoe UI"/>
          <w:sz w:val="20"/>
          <w:szCs w:val="22"/>
          <w:lang w:eastAsia="el-GR" w:bidi="el-GR"/>
        </w:rPr>
        <w:t xml:space="preserve"> το </w:t>
      </w:r>
      <w:r w:rsidR="005D64C8" w:rsidRPr="00E96569">
        <w:rPr>
          <w:rFonts w:ascii="Segoe UI" w:eastAsia="MS Mincho" w:hAnsi="Segoe UI" w:cs="Segoe UI"/>
          <w:sz w:val="20"/>
          <w:szCs w:val="22"/>
          <w:lang w:eastAsia="el-GR" w:bidi="el-GR"/>
        </w:rPr>
        <w:t>Β</w:t>
      </w:r>
      <w:r w:rsidR="003D1AEF" w:rsidRPr="00E96569">
        <w:rPr>
          <w:rFonts w:ascii="Segoe UI" w:eastAsia="MS Mincho" w:hAnsi="Segoe UI" w:cs="Segoe UI"/>
          <w:sz w:val="20"/>
          <w:szCs w:val="22"/>
          <w:lang w:eastAsia="el-GR" w:bidi="el-GR"/>
        </w:rPr>
        <w:t xml:space="preserve">’ </w:t>
      </w:r>
      <w:r w:rsidR="005D64C8" w:rsidRPr="00E96569">
        <w:rPr>
          <w:rFonts w:ascii="Segoe UI" w:eastAsia="MS Mincho" w:hAnsi="Segoe UI" w:cs="Segoe UI"/>
          <w:sz w:val="20"/>
          <w:szCs w:val="22"/>
          <w:lang w:eastAsia="el-GR" w:bidi="el-GR"/>
        </w:rPr>
        <w:t>τρίμηνο</w:t>
      </w:r>
      <w:r w:rsidR="003D1AEF" w:rsidRPr="00E96569">
        <w:rPr>
          <w:rFonts w:ascii="Segoe UI" w:eastAsia="MS Mincho" w:hAnsi="Segoe UI" w:cs="Segoe UI"/>
          <w:sz w:val="20"/>
          <w:szCs w:val="22"/>
          <w:lang w:eastAsia="el-GR" w:bidi="el-GR"/>
        </w:rPr>
        <w:t xml:space="preserve"> 202</w:t>
      </w:r>
      <w:r w:rsidR="00955D66" w:rsidRPr="00E96569">
        <w:rPr>
          <w:rFonts w:ascii="Segoe UI" w:eastAsia="MS Mincho" w:hAnsi="Segoe UI" w:cs="Segoe UI"/>
          <w:sz w:val="20"/>
          <w:szCs w:val="22"/>
          <w:lang w:eastAsia="el-GR" w:bidi="el-GR"/>
        </w:rPr>
        <w:t>1</w:t>
      </w:r>
      <w:r w:rsidR="005D64C8" w:rsidRPr="00E96569">
        <w:rPr>
          <w:rFonts w:ascii="Segoe UI" w:eastAsia="MS Mincho" w:hAnsi="Segoe UI" w:cs="Segoe UI"/>
          <w:sz w:val="20"/>
          <w:szCs w:val="22"/>
          <w:lang w:eastAsia="el-GR" w:bidi="el-GR"/>
        </w:rPr>
        <w:t>, σημειώνοντας αύξηση κατά 6</w:t>
      </w:r>
      <w:r w:rsidR="00392E18">
        <w:rPr>
          <w:rFonts w:ascii="Segoe UI" w:eastAsia="MS Mincho" w:hAnsi="Segoe UI" w:cs="Segoe UI"/>
          <w:sz w:val="20"/>
          <w:szCs w:val="22"/>
          <w:lang w:eastAsia="el-GR" w:bidi="el-GR"/>
        </w:rPr>
        <w:t>,0</w:t>
      </w:r>
      <w:r w:rsidR="005D64C8" w:rsidRPr="00E96569">
        <w:rPr>
          <w:rFonts w:ascii="Segoe UI" w:eastAsia="MS Mincho" w:hAnsi="Segoe UI" w:cs="Segoe UI"/>
          <w:sz w:val="20"/>
          <w:szCs w:val="22"/>
          <w:lang w:eastAsia="el-GR" w:bidi="el-GR"/>
        </w:rPr>
        <w:t>% σε σχέση με το προηγούμενο τρίμηνο</w:t>
      </w:r>
      <w:r w:rsidR="00A425DC" w:rsidRPr="00E96569">
        <w:rPr>
          <w:rFonts w:ascii="Segoe UI" w:eastAsia="MS Mincho" w:hAnsi="Segoe UI" w:cs="Segoe UI"/>
          <w:sz w:val="20"/>
          <w:szCs w:val="22"/>
          <w:lang w:eastAsia="el-GR" w:bidi="el-GR"/>
        </w:rPr>
        <w:t xml:space="preserve">. </w:t>
      </w:r>
      <w:r w:rsidR="00305DE9" w:rsidRPr="00E96569">
        <w:rPr>
          <w:rFonts w:ascii="Segoe UI" w:eastAsia="MS Mincho" w:hAnsi="Segoe UI" w:cs="Segoe UI"/>
          <w:sz w:val="20"/>
          <w:szCs w:val="22"/>
          <w:lang w:eastAsia="el-GR" w:bidi="el-GR"/>
        </w:rPr>
        <w:t xml:space="preserve">Στην Ελλάδα, οι καταθέσεις </w:t>
      </w:r>
      <w:r w:rsidR="00E96569">
        <w:rPr>
          <w:rFonts w:ascii="Segoe UI" w:eastAsia="MS Mincho" w:hAnsi="Segoe UI" w:cs="Segoe UI"/>
          <w:sz w:val="20"/>
          <w:szCs w:val="22"/>
          <w:lang w:eastAsia="el-GR" w:bidi="el-GR"/>
        </w:rPr>
        <w:t xml:space="preserve">ενισχύθηκαν κατά €2,9 δισ. ή 6,3% σε τριμηνιαία βάση και </w:t>
      </w:r>
      <w:r w:rsidR="00955D66" w:rsidRPr="00E96569">
        <w:rPr>
          <w:rFonts w:ascii="Segoe UI" w:eastAsia="MS Mincho" w:hAnsi="Segoe UI" w:cs="Segoe UI"/>
          <w:sz w:val="20"/>
          <w:szCs w:val="22"/>
          <w:lang w:eastAsia="el-GR" w:bidi="el-GR"/>
        </w:rPr>
        <w:t>διαμορφώθηκαν σε €</w:t>
      </w:r>
      <w:r w:rsidR="00E96569">
        <w:rPr>
          <w:rFonts w:ascii="Segoe UI" w:eastAsia="MS Mincho" w:hAnsi="Segoe UI" w:cs="Segoe UI"/>
          <w:sz w:val="20"/>
          <w:szCs w:val="22"/>
          <w:lang w:eastAsia="el-GR" w:bidi="el-GR"/>
        </w:rPr>
        <w:t>49</w:t>
      </w:r>
      <w:r w:rsidR="00955D66" w:rsidRPr="00E96569">
        <w:rPr>
          <w:rFonts w:ascii="Segoe UI" w:eastAsia="MS Mincho" w:hAnsi="Segoe UI" w:cs="Segoe UI"/>
          <w:sz w:val="20"/>
          <w:szCs w:val="22"/>
          <w:lang w:eastAsia="el-GR" w:bidi="el-GR"/>
        </w:rPr>
        <w:t>,6 δισ.</w:t>
      </w:r>
      <w:r w:rsidR="00CD5270" w:rsidRPr="00E96569">
        <w:rPr>
          <w:rFonts w:ascii="Segoe UI" w:eastAsia="MS Mincho" w:hAnsi="Segoe UI" w:cs="Segoe UI"/>
          <w:sz w:val="20"/>
          <w:szCs w:val="22"/>
          <w:lang w:eastAsia="el-GR" w:bidi="el-GR"/>
        </w:rPr>
        <w:t xml:space="preserve">, αποτελώντας </w:t>
      </w:r>
      <w:r w:rsidR="00E96569">
        <w:rPr>
          <w:rFonts w:ascii="Segoe UI" w:eastAsia="MS Mincho" w:hAnsi="Segoe UI" w:cs="Segoe UI"/>
          <w:sz w:val="20"/>
          <w:szCs w:val="22"/>
          <w:lang w:eastAsia="el-GR" w:bidi="el-GR"/>
        </w:rPr>
        <w:t>σχεδόν</w:t>
      </w:r>
      <w:r w:rsidR="00CD5270" w:rsidRPr="00E96569">
        <w:rPr>
          <w:rFonts w:ascii="Segoe UI" w:eastAsia="MS Mincho" w:hAnsi="Segoe UI" w:cs="Segoe UI"/>
          <w:sz w:val="20"/>
          <w:szCs w:val="22"/>
          <w:lang w:eastAsia="el-GR" w:bidi="el-GR"/>
        </w:rPr>
        <w:t xml:space="preserve"> το 80% των συνολικών πηγών </w:t>
      </w:r>
      <w:r w:rsidR="0007157F" w:rsidRPr="00E96569">
        <w:rPr>
          <w:rFonts w:ascii="Segoe UI" w:eastAsia="MS Mincho" w:hAnsi="Segoe UI" w:cs="Segoe UI"/>
          <w:sz w:val="20"/>
          <w:szCs w:val="22"/>
          <w:lang w:eastAsia="el-GR" w:bidi="el-GR"/>
        </w:rPr>
        <w:t xml:space="preserve">χρηματοδότησης </w:t>
      </w:r>
      <w:r w:rsidR="00CD5270" w:rsidRPr="00E96569">
        <w:rPr>
          <w:rFonts w:ascii="Segoe UI" w:eastAsia="MS Mincho" w:hAnsi="Segoe UI" w:cs="Segoe UI"/>
          <w:sz w:val="20"/>
          <w:szCs w:val="22"/>
          <w:lang w:eastAsia="el-GR" w:bidi="el-GR"/>
        </w:rPr>
        <w:t xml:space="preserve">της Τράπεζας. </w:t>
      </w:r>
      <w:r w:rsidR="005A1BC1" w:rsidRPr="00E96569">
        <w:rPr>
          <w:rFonts w:ascii="Segoe UI" w:eastAsia="MS Mincho" w:hAnsi="Segoe UI" w:cs="Segoe UI"/>
          <w:sz w:val="20"/>
          <w:szCs w:val="22"/>
          <w:lang w:eastAsia="el-GR" w:bidi="el-GR"/>
        </w:rPr>
        <w:t xml:space="preserve">Ταυτόχρονα, το κόστος καταθέσεων συνέχισε να μειώνεται και </w:t>
      </w:r>
      <w:r w:rsidR="002F78A3" w:rsidRPr="00E96569">
        <w:rPr>
          <w:rFonts w:ascii="Segoe UI" w:eastAsia="MS Mincho" w:hAnsi="Segoe UI" w:cs="Segoe UI"/>
          <w:sz w:val="20"/>
          <w:szCs w:val="22"/>
          <w:lang w:eastAsia="el-GR" w:bidi="el-GR"/>
        </w:rPr>
        <w:t xml:space="preserve">διαμορφώθηκε στις </w:t>
      </w:r>
      <w:r w:rsidR="004D4192">
        <w:rPr>
          <w:rFonts w:ascii="Segoe UI" w:eastAsia="MS Mincho" w:hAnsi="Segoe UI" w:cs="Segoe UI"/>
          <w:sz w:val="20"/>
          <w:szCs w:val="22"/>
          <w:lang w:eastAsia="el-GR" w:bidi="el-GR"/>
        </w:rPr>
        <w:t>7</w:t>
      </w:r>
      <w:r w:rsidR="005A1BC1" w:rsidRPr="00E96569">
        <w:rPr>
          <w:rFonts w:ascii="Segoe UI" w:eastAsia="MS Mincho" w:hAnsi="Segoe UI" w:cs="Segoe UI"/>
          <w:sz w:val="20"/>
          <w:szCs w:val="22"/>
          <w:lang w:eastAsia="el-GR" w:bidi="el-GR"/>
        </w:rPr>
        <w:t xml:space="preserve">μ.β. το </w:t>
      </w:r>
      <w:r w:rsidR="004D4192">
        <w:rPr>
          <w:rFonts w:ascii="Segoe UI" w:eastAsia="MS Mincho" w:hAnsi="Segoe UI" w:cs="Segoe UI"/>
          <w:sz w:val="20"/>
          <w:szCs w:val="22"/>
          <w:lang w:eastAsia="el-GR" w:bidi="el-GR"/>
        </w:rPr>
        <w:t>Β</w:t>
      </w:r>
      <w:r w:rsidR="005A1BC1" w:rsidRPr="00E96569">
        <w:rPr>
          <w:rFonts w:ascii="Segoe UI" w:eastAsia="MS Mincho" w:hAnsi="Segoe UI" w:cs="Segoe UI"/>
          <w:sz w:val="20"/>
          <w:szCs w:val="22"/>
          <w:lang w:eastAsia="el-GR" w:bidi="el-GR"/>
        </w:rPr>
        <w:t>’ τρίμηνο 202</w:t>
      </w:r>
      <w:r w:rsidR="002F78A3" w:rsidRPr="00E96569">
        <w:rPr>
          <w:rFonts w:ascii="Segoe UI" w:eastAsia="MS Mincho" w:hAnsi="Segoe UI" w:cs="Segoe UI"/>
          <w:sz w:val="20"/>
          <w:szCs w:val="22"/>
          <w:lang w:eastAsia="el-GR" w:bidi="el-GR"/>
        </w:rPr>
        <w:t>1</w:t>
      </w:r>
      <w:r w:rsidR="00E56E28" w:rsidRPr="00E96569">
        <w:rPr>
          <w:rFonts w:ascii="Segoe UI" w:eastAsia="MS Mincho" w:hAnsi="Segoe UI" w:cs="Segoe UI"/>
          <w:sz w:val="20"/>
          <w:szCs w:val="22"/>
          <w:lang w:eastAsia="el-GR" w:bidi="el-GR"/>
        </w:rPr>
        <w:t xml:space="preserve">. </w:t>
      </w:r>
      <w:r w:rsidR="00305DE9" w:rsidRPr="00E96569">
        <w:rPr>
          <w:rFonts w:ascii="Segoe UI" w:eastAsia="MS Mincho" w:hAnsi="Segoe UI" w:cs="Segoe UI"/>
          <w:sz w:val="20"/>
          <w:szCs w:val="22"/>
          <w:lang w:eastAsia="el-GR" w:bidi="el-GR"/>
        </w:rPr>
        <w:t>Οι καταθέσεις στις διεθνείς δραστηριότητες</w:t>
      </w:r>
      <w:r w:rsidR="003C6BDB" w:rsidRPr="00E96569">
        <w:rPr>
          <w:rFonts w:ascii="Segoe UI" w:hAnsi="Segoe UI" w:cs="Segoe UI"/>
          <w:vertAlign w:val="superscript"/>
        </w:rPr>
        <w:footnoteReference w:id="5"/>
      </w:r>
      <w:r w:rsidR="00305DE9" w:rsidRPr="00E96569">
        <w:rPr>
          <w:rFonts w:ascii="Segoe UI" w:eastAsia="MS Mincho" w:hAnsi="Segoe UI" w:cs="Segoe UI"/>
          <w:sz w:val="20"/>
          <w:szCs w:val="22"/>
          <w:lang w:eastAsia="el-GR" w:bidi="el-GR"/>
        </w:rPr>
        <w:t xml:space="preserve"> </w:t>
      </w:r>
      <w:r w:rsidR="00034B3E" w:rsidRPr="00E96569">
        <w:rPr>
          <w:rFonts w:ascii="Segoe UI" w:eastAsia="MS Mincho" w:hAnsi="Segoe UI" w:cs="Segoe UI"/>
          <w:sz w:val="20"/>
          <w:szCs w:val="22"/>
          <w:lang w:eastAsia="el-GR" w:bidi="el-GR"/>
        </w:rPr>
        <w:t xml:space="preserve">διαμορφώθηκαν σε €1,5 </w:t>
      </w:r>
      <w:r w:rsidR="00034B3E" w:rsidRPr="004D4192">
        <w:rPr>
          <w:rFonts w:ascii="Segoe UI" w:eastAsia="MS Mincho" w:hAnsi="Segoe UI" w:cs="Segoe UI"/>
          <w:sz w:val="20"/>
          <w:szCs w:val="22"/>
          <w:lang w:eastAsia="el-GR" w:bidi="el-GR"/>
        </w:rPr>
        <w:t>δι</w:t>
      </w:r>
      <w:r w:rsidR="000B3F9C" w:rsidRPr="004D4192">
        <w:rPr>
          <w:rFonts w:ascii="Segoe UI" w:eastAsia="MS Mincho" w:hAnsi="Segoe UI" w:cs="Segoe UI"/>
          <w:sz w:val="20"/>
          <w:szCs w:val="22"/>
          <w:lang w:eastAsia="el-GR" w:bidi="el-GR"/>
        </w:rPr>
        <w:t>σ</w:t>
      </w:r>
      <w:r w:rsidR="00034B3E" w:rsidRPr="004D4192">
        <w:rPr>
          <w:rFonts w:ascii="Segoe UI" w:eastAsia="MS Mincho" w:hAnsi="Segoe UI" w:cs="Segoe UI"/>
          <w:sz w:val="20"/>
          <w:szCs w:val="22"/>
          <w:lang w:eastAsia="el-GR" w:bidi="el-GR"/>
        </w:rPr>
        <w:t xml:space="preserve">., </w:t>
      </w:r>
      <w:r w:rsidR="00A425DC" w:rsidRPr="004D4192">
        <w:rPr>
          <w:rFonts w:ascii="Segoe UI" w:eastAsia="MS Mincho" w:hAnsi="Segoe UI" w:cs="Segoe UI"/>
          <w:sz w:val="20"/>
          <w:szCs w:val="22"/>
          <w:lang w:eastAsia="el-GR" w:bidi="el-GR"/>
        </w:rPr>
        <w:t>αμετάβλητες σε τριμηνιαία βάση</w:t>
      </w:r>
      <w:r w:rsidR="00305DE9" w:rsidRPr="004D4192">
        <w:rPr>
          <w:rFonts w:ascii="Segoe UI" w:eastAsia="MS Mincho" w:hAnsi="Segoe UI" w:cs="Segoe UI"/>
          <w:sz w:val="20"/>
          <w:szCs w:val="22"/>
          <w:lang w:eastAsia="el-GR" w:bidi="el-GR"/>
        </w:rPr>
        <w:t>.</w:t>
      </w:r>
      <w:r w:rsidR="00F553D1" w:rsidRPr="004D4192">
        <w:rPr>
          <w:rFonts w:ascii="Segoe UI" w:eastAsia="MS Mincho" w:hAnsi="Segoe UI" w:cs="Segoe UI"/>
          <w:sz w:val="20"/>
          <w:szCs w:val="22"/>
          <w:lang w:eastAsia="el-GR" w:bidi="el-GR"/>
        </w:rPr>
        <w:t xml:space="preserve"> </w:t>
      </w:r>
      <w:r w:rsidR="00D2038A" w:rsidRPr="009143A4">
        <w:rPr>
          <w:rFonts w:ascii="Segoe UI" w:eastAsia="MS Mincho" w:hAnsi="Segoe UI" w:cs="Segoe UI"/>
          <w:sz w:val="20"/>
          <w:szCs w:val="22"/>
          <w:lang w:eastAsia="el-GR" w:bidi="el-GR"/>
        </w:rPr>
        <w:lastRenderedPageBreak/>
        <w:t xml:space="preserve">Σε σχέση με το Α’ </w:t>
      </w:r>
      <w:r w:rsidR="009143A4" w:rsidRPr="009143A4">
        <w:rPr>
          <w:rFonts w:ascii="Segoe UI" w:eastAsia="MS Mincho" w:hAnsi="Segoe UI" w:cs="Segoe UI"/>
          <w:sz w:val="20"/>
          <w:szCs w:val="22"/>
          <w:lang w:eastAsia="el-GR" w:bidi="el-GR"/>
        </w:rPr>
        <w:t>εξάμηνο</w:t>
      </w:r>
      <w:r w:rsidR="00D2038A" w:rsidRPr="009143A4">
        <w:rPr>
          <w:rFonts w:ascii="Segoe UI" w:eastAsia="MS Mincho" w:hAnsi="Segoe UI" w:cs="Segoe UI"/>
          <w:sz w:val="20"/>
          <w:szCs w:val="22"/>
          <w:lang w:eastAsia="el-GR" w:bidi="el-GR"/>
        </w:rPr>
        <w:t xml:space="preserve"> 2020, </w:t>
      </w:r>
      <w:r w:rsidR="008A0E80" w:rsidRPr="009143A4">
        <w:rPr>
          <w:rFonts w:ascii="Segoe UI" w:eastAsia="MS Mincho" w:hAnsi="Segoe UI" w:cs="Segoe UI"/>
          <w:sz w:val="20"/>
          <w:szCs w:val="22"/>
          <w:lang w:eastAsia="el-GR" w:bidi="el-GR"/>
        </w:rPr>
        <w:t>οι καταθέσε</w:t>
      </w:r>
      <w:r w:rsidR="009143A4" w:rsidRPr="009143A4">
        <w:rPr>
          <w:rFonts w:ascii="Segoe UI" w:eastAsia="MS Mincho" w:hAnsi="Segoe UI" w:cs="Segoe UI"/>
          <w:sz w:val="20"/>
          <w:szCs w:val="22"/>
          <w:lang w:eastAsia="el-GR" w:bidi="el-GR"/>
        </w:rPr>
        <w:t>ις του Ομίλου ενισχύθηκαν κατά 14,1</w:t>
      </w:r>
      <w:r w:rsidR="008A0E80" w:rsidRPr="009143A4">
        <w:rPr>
          <w:rFonts w:ascii="Segoe UI" w:eastAsia="MS Mincho" w:hAnsi="Segoe UI" w:cs="Segoe UI"/>
          <w:sz w:val="20"/>
          <w:szCs w:val="22"/>
          <w:lang w:eastAsia="el-GR" w:bidi="el-GR"/>
        </w:rPr>
        <w:t xml:space="preserve">% σε ετήσια βάση, αντανακλώντας </w:t>
      </w:r>
      <w:r w:rsidR="00B84D78" w:rsidRPr="009143A4">
        <w:rPr>
          <w:rFonts w:ascii="Segoe UI" w:eastAsia="MS Mincho" w:hAnsi="Segoe UI" w:cs="Segoe UI"/>
          <w:sz w:val="20"/>
          <w:szCs w:val="22"/>
          <w:lang w:eastAsia="el-GR" w:bidi="el-GR"/>
        </w:rPr>
        <w:t xml:space="preserve">τις </w:t>
      </w:r>
      <w:r w:rsidR="008A0E80" w:rsidRPr="009143A4">
        <w:rPr>
          <w:rFonts w:ascii="Segoe UI" w:eastAsia="MS Mincho" w:hAnsi="Segoe UI" w:cs="Segoe UI"/>
          <w:sz w:val="20"/>
          <w:szCs w:val="22"/>
          <w:lang w:eastAsia="el-GR" w:bidi="el-GR"/>
        </w:rPr>
        <w:t>εισροές καταθέσεων ύψους €</w:t>
      </w:r>
      <w:r w:rsidR="009143A4" w:rsidRPr="009143A4">
        <w:rPr>
          <w:rFonts w:ascii="Segoe UI" w:eastAsia="MS Mincho" w:hAnsi="Segoe UI" w:cs="Segoe UI"/>
          <w:sz w:val="20"/>
          <w:szCs w:val="22"/>
          <w:lang w:eastAsia="el-GR" w:bidi="el-GR"/>
        </w:rPr>
        <w:t>6,3</w:t>
      </w:r>
      <w:r w:rsidR="008A0E80" w:rsidRPr="009143A4">
        <w:rPr>
          <w:rFonts w:ascii="Segoe UI" w:eastAsia="MS Mincho" w:hAnsi="Segoe UI" w:cs="Segoe UI"/>
          <w:sz w:val="20"/>
          <w:szCs w:val="22"/>
          <w:lang w:eastAsia="el-GR" w:bidi="el-GR"/>
        </w:rPr>
        <w:t xml:space="preserve"> δισ. στην Ελλάδα. </w:t>
      </w:r>
    </w:p>
    <w:p w:rsidR="00ED38A5" w:rsidRPr="00250B3E" w:rsidRDefault="003C3B19" w:rsidP="00ED38A5">
      <w:pPr>
        <w:autoSpaceDE w:val="0"/>
        <w:autoSpaceDN w:val="0"/>
        <w:adjustRightInd w:val="0"/>
        <w:spacing w:after="160" w:line="320" w:lineRule="atLeast"/>
        <w:jc w:val="both"/>
        <w:rPr>
          <w:rFonts w:ascii="Segoe UI" w:eastAsia="MS Mincho" w:hAnsi="Segoe UI" w:cs="Segoe UI"/>
          <w:sz w:val="20"/>
          <w:szCs w:val="22"/>
          <w:lang w:eastAsia="el-GR" w:bidi="el-GR"/>
        </w:rPr>
      </w:pPr>
      <w:r>
        <w:rPr>
          <w:rFonts w:ascii="Segoe UI" w:eastAsia="MS Mincho" w:hAnsi="Segoe UI" w:cs="Segoe UI"/>
          <w:sz w:val="20"/>
          <w:szCs w:val="22"/>
          <w:lang w:eastAsia="el-GR" w:bidi="el-GR"/>
        </w:rPr>
        <w:t>Ο</w:t>
      </w:r>
      <w:r w:rsidR="00ED38A5" w:rsidRPr="00250B3E">
        <w:rPr>
          <w:rFonts w:ascii="Segoe UI" w:eastAsia="MS Mincho" w:hAnsi="Segoe UI" w:cs="Segoe UI"/>
          <w:sz w:val="20"/>
          <w:szCs w:val="22"/>
          <w:lang w:eastAsia="el-GR" w:bidi="el-GR"/>
        </w:rPr>
        <w:t xml:space="preserve"> </w:t>
      </w:r>
      <w:r w:rsidR="00ED38A5" w:rsidRPr="00250B3E">
        <w:rPr>
          <w:rFonts w:ascii="Segoe UI" w:eastAsia="MS Mincho" w:hAnsi="Segoe UI" w:cs="Segoe UI"/>
          <w:b/>
          <w:sz w:val="20"/>
          <w:szCs w:val="22"/>
          <w:lang w:eastAsia="el-GR" w:bidi="el-GR"/>
        </w:rPr>
        <w:t>δείκτης Δανείων προς Καταθέσεις</w:t>
      </w:r>
      <w:r w:rsidR="00ED38A5" w:rsidRPr="00250B3E">
        <w:rPr>
          <w:rFonts w:ascii="Segoe UI" w:eastAsia="MS Mincho" w:hAnsi="Segoe UI" w:cs="Segoe UI"/>
          <w:sz w:val="20"/>
          <w:szCs w:val="22"/>
          <w:lang w:eastAsia="el-GR" w:bidi="el-GR"/>
        </w:rPr>
        <w:t xml:space="preserve"> </w:t>
      </w:r>
      <w:r w:rsidR="00E31F22" w:rsidRPr="00250B3E">
        <w:rPr>
          <w:rFonts w:ascii="Segoe UI" w:eastAsia="MS Mincho" w:hAnsi="Segoe UI" w:cs="Segoe UI"/>
          <w:sz w:val="20"/>
          <w:szCs w:val="22"/>
          <w:lang w:eastAsia="el-GR" w:bidi="el-GR"/>
        </w:rPr>
        <w:t xml:space="preserve">το </w:t>
      </w:r>
      <w:r>
        <w:rPr>
          <w:rFonts w:ascii="Segoe UI" w:eastAsia="MS Mincho" w:hAnsi="Segoe UI" w:cs="Segoe UI"/>
          <w:sz w:val="20"/>
          <w:szCs w:val="22"/>
          <w:lang w:eastAsia="el-GR" w:bidi="el-GR"/>
        </w:rPr>
        <w:t>Β</w:t>
      </w:r>
      <w:r w:rsidR="00182C4B" w:rsidRPr="00250B3E">
        <w:rPr>
          <w:rFonts w:ascii="Segoe UI" w:eastAsia="MS Mincho" w:hAnsi="Segoe UI" w:cs="Segoe UI"/>
          <w:sz w:val="20"/>
          <w:szCs w:val="22"/>
          <w:lang w:eastAsia="el-GR" w:bidi="el-GR"/>
        </w:rPr>
        <w:t>’ τρίμηνο 202</w:t>
      </w:r>
      <w:r w:rsidR="00187696" w:rsidRPr="00250B3E">
        <w:rPr>
          <w:rFonts w:ascii="Segoe UI" w:eastAsia="MS Mincho" w:hAnsi="Segoe UI" w:cs="Segoe UI"/>
          <w:sz w:val="20"/>
          <w:szCs w:val="22"/>
          <w:lang w:eastAsia="el-GR" w:bidi="el-GR"/>
        </w:rPr>
        <w:t>1</w:t>
      </w:r>
      <w:r w:rsidR="00182C4B" w:rsidRPr="00250B3E">
        <w:rPr>
          <w:rFonts w:ascii="Segoe UI" w:eastAsia="MS Mincho" w:hAnsi="Segoe UI" w:cs="Segoe UI"/>
          <w:sz w:val="20"/>
          <w:szCs w:val="22"/>
          <w:lang w:eastAsia="el-GR" w:bidi="el-GR"/>
        </w:rPr>
        <w:t xml:space="preserve"> </w:t>
      </w:r>
      <w:r w:rsidR="00ED38A5" w:rsidRPr="00250B3E">
        <w:rPr>
          <w:rFonts w:ascii="Segoe UI" w:eastAsia="MS Mincho" w:hAnsi="Segoe UI" w:cs="Segoe UI"/>
          <w:sz w:val="20"/>
          <w:szCs w:val="22"/>
          <w:lang w:eastAsia="el-GR" w:bidi="el-GR"/>
        </w:rPr>
        <w:t xml:space="preserve">διαμορφώθηκε σε </w:t>
      </w:r>
      <w:r w:rsidR="00BF0EB7" w:rsidRPr="00250B3E">
        <w:rPr>
          <w:rFonts w:ascii="Segoe UI" w:eastAsia="MS Mincho" w:hAnsi="Segoe UI" w:cs="Segoe UI"/>
          <w:sz w:val="20"/>
          <w:szCs w:val="22"/>
          <w:lang w:eastAsia="el-GR" w:bidi="el-GR"/>
        </w:rPr>
        <w:t>5</w:t>
      </w:r>
      <w:r>
        <w:rPr>
          <w:rFonts w:ascii="Segoe UI" w:eastAsia="MS Mincho" w:hAnsi="Segoe UI" w:cs="Segoe UI"/>
          <w:sz w:val="20"/>
          <w:szCs w:val="22"/>
          <w:lang w:eastAsia="el-GR" w:bidi="el-GR"/>
        </w:rPr>
        <w:t>1,7</w:t>
      </w:r>
      <w:r w:rsidR="00ED38A5" w:rsidRPr="00250B3E">
        <w:rPr>
          <w:rFonts w:ascii="Segoe UI" w:eastAsia="MS Mincho" w:hAnsi="Segoe UI" w:cs="Segoe UI"/>
          <w:sz w:val="20"/>
          <w:szCs w:val="22"/>
          <w:lang w:eastAsia="el-GR" w:bidi="el-GR"/>
        </w:rPr>
        <w:t xml:space="preserve">% στην Ελλάδα και σε </w:t>
      </w:r>
      <w:r w:rsidR="00BF0EB7" w:rsidRPr="00250B3E">
        <w:rPr>
          <w:rFonts w:ascii="Segoe UI" w:eastAsia="MS Mincho" w:hAnsi="Segoe UI" w:cs="Segoe UI"/>
          <w:sz w:val="20"/>
          <w:szCs w:val="22"/>
          <w:lang w:eastAsia="el-GR" w:bidi="el-GR"/>
        </w:rPr>
        <w:t>5</w:t>
      </w:r>
      <w:r>
        <w:rPr>
          <w:rFonts w:ascii="Segoe UI" w:eastAsia="MS Mincho" w:hAnsi="Segoe UI" w:cs="Segoe UI"/>
          <w:sz w:val="20"/>
          <w:szCs w:val="22"/>
          <w:lang w:eastAsia="el-GR" w:bidi="el-GR"/>
        </w:rPr>
        <w:t>2,8</w:t>
      </w:r>
      <w:r w:rsidR="00ED38A5" w:rsidRPr="00250B3E">
        <w:rPr>
          <w:rFonts w:ascii="Segoe UI" w:eastAsia="MS Mincho" w:hAnsi="Segoe UI" w:cs="Segoe UI"/>
          <w:sz w:val="20"/>
          <w:szCs w:val="22"/>
          <w:lang w:eastAsia="el-GR" w:bidi="el-GR"/>
        </w:rPr>
        <w:t>% σε επίπεδο Ομίλου</w:t>
      </w:r>
      <w:r>
        <w:rPr>
          <w:rFonts w:ascii="Segoe UI" w:eastAsia="MS Mincho" w:hAnsi="Segoe UI" w:cs="Segoe UI"/>
          <w:sz w:val="20"/>
          <w:szCs w:val="22"/>
          <w:lang w:eastAsia="el-GR" w:bidi="el-GR"/>
        </w:rPr>
        <w:t>, ενώ ο</w:t>
      </w:r>
      <w:r w:rsidR="00CB1B86" w:rsidRPr="00250B3E">
        <w:rPr>
          <w:rFonts w:ascii="Segoe UI" w:eastAsia="MS Mincho" w:hAnsi="Segoe UI" w:cs="Segoe UI"/>
          <w:sz w:val="20"/>
          <w:szCs w:val="22"/>
          <w:lang w:eastAsia="el-GR" w:bidi="el-GR"/>
        </w:rPr>
        <w:t xml:space="preserve">ι </w:t>
      </w:r>
      <w:r w:rsidR="00CB1B86" w:rsidRPr="00250B3E">
        <w:rPr>
          <w:rFonts w:ascii="Segoe UI" w:eastAsia="MS Mincho" w:hAnsi="Segoe UI" w:cs="Segoe UI"/>
          <w:b/>
          <w:sz w:val="20"/>
          <w:szCs w:val="22"/>
          <w:lang w:eastAsia="el-GR" w:bidi="el-GR"/>
        </w:rPr>
        <w:t xml:space="preserve">δείκτες </w:t>
      </w:r>
      <w:r w:rsidR="00EF7454" w:rsidRPr="00250B3E">
        <w:rPr>
          <w:rFonts w:ascii="Segoe UI" w:eastAsia="MS Mincho" w:hAnsi="Segoe UI" w:cs="Segoe UI"/>
          <w:b/>
          <w:sz w:val="20"/>
          <w:szCs w:val="22"/>
          <w:lang w:eastAsia="el-GR" w:bidi="el-GR"/>
        </w:rPr>
        <w:t xml:space="preserve">Κάλυψης Ρευστότητας (LCR) </w:t>
      </w:r>
      <w:r w:rsidR="00EF7454" w:rsidRPr="00250B3E">
        <w:rPr>
          <w:rFonts w:ascii="Segoe UI" w:eastAsia="MS Mincho" w:hAnsi="Segoe UI" w:cs="Segoe UI"/>
          <w:sz w:val="20"/>
          <w:szCs w:val="22"/>
          <w:lang w:eastAsia="el-GR" w:bidi="el-GR"/>
        </w:rPr>
        <w:t>και</w:t>
      </w:r>
      <w:r w:rsidR="00EF7454" w:rsidRPr="00250B3E">
        <w:rPr>
          <w:rFonts w:ascii="Segoe UI" w:eastAsia="MS Mincho" w:hAnsi="Segoe UI" w:cs="Segoe UI"/>
          <w:b/>
          <w:sz w:val="20"/>
          <w:szCs w:val="22"/>
          <w:lang w:eastAsia="el-GR" w:bidi="el-GR"/>
        </w:rPr>
        <w:t xml:space="preserve"> Καθαρής Σταθερής Χρηματοδότησης (NSFR) </w:t>
      </w:r>
      <w:r w:rsidR="00CB1B86" w:rsidRPr="00250B3E">
        <w:rPr>
          <w:rFonts w:ascii="Segoe UI" w:eastAsia="MS Mincho" w:hAnsi="Segoe UI" w:cs="Segoe UI"/>
          <w:sz w:val="20"/>
          <w:szCs w:val="22"/>
          <w:lang w:eastAsia="el-GR" w:bidi="el-GR"/>
        </w:rPr>
        <w:t>υπερβαίνο</w:t>
      </w:r>
      <w:r>
        <w:rPr>
          <w:rFonts w:ascii="Segoe UI" w:eastAsia="MS Mincho" w:hAnsi="Segoe UI" w:cs="Segoe UI"/>
          <w:sz w:val="20"/>
          <w:szCs w:val="22"/>
          <w:lang w:eastAsia="el-GR" w:bidi="el-GR"/>
        </w:rPr>
        <w:t>υν</w:t>
      </w:r>
      <w:r w:rsidR="00CB1B86" w:rsidRPr="00250B3E">
        <w:rPr>
          <w:rFonts w:ascii="Segoe UI" w:eastAsia="MS Mincho" w:hAnsi="Segoe UI" w:cs="Segoe UI"/>
          <w:sz w:val="20"/>
          <w:szCs w:val="22"/>
          <w:lang w:eastAsia="el-GR" w:bidi="el-GR"/>
        </w:rPr>
        <w:t xml:space="preserve"> κατά πολύ το ελάχιστο εποπτικό όριο</w:t>
      </w:r>
      <w:r w:rsidR="00BA09DE">
        <w:rPr>
          <w:rFonts w:ascii="Segoe UI" w:eastAsia="MS Mincho" w:hAnsi="Segoe UI" w:cs="Segoe UI"/>
          <w:sz w:val="20"/>
          <w:szCs w:val="22"/>
          <w:lang w:eastAsia="el-GR" w:bidi="el-GR"/>
        </w:rPr>
        <w:t xml:space="preserve"> του 100%</w:t>
      </w:r>
      <w:r w:rsidR="00CB1B86" w:rsidRPr="00250B3E">
        <w:rPr>
          <w:rFonts w:ascii="Segoe UI" w:eastAsia="MS Mincho" w:hAnsi="Segoe UI" w:cs="Segoe UI"/>
          <w:sz w:val="20"/>
          <w:szCs w:val="22"/>
          <w:lang w:eastAsia="el-GR" w:bidi="el-GR"/>
        </w:rPr>
        <w:t>.</w:t>
      </w:r>
    </w:p>
    <w:p w:rsidR="00B701D7" w:rsidRDefault="00ED38A5" w:rsidP="00C4582D">
      <w:pPr>
        <w:autoSpaceDE w:val="0"/>
        <w:autoSpaceDN w:val="0"/>
        <w:adjustRightInd w:val="0"/>
        <w:spacing w:before="240" w:after="160" w:line="320" w:lineRule="atLeast"/>
        <w:jc w:val="both"/>
        <w:rPr>
          <w:rFonts w:ascii="Segoe UI" w:eastAsia="MS Mincho" w:hAnsi="Segoe UI" w:cs="Segoe UI"/>
          <w:sz w:val="20"/>
          <w:szCs w:val="22"/>
          <w:lang w:eastAsia="el-GR" w:bidi="el-GR"/>
        </w:rPr>
      </w:pPr>
      <w:r w:rsidRPr="007D4C61">
        <w:rPr>
          <w:rFonts w:ascii="Segoe UI" w:eastAsia="MS Mincho" w:hAnsi="Segoe UI" w:cs="Segoe UI"/>
          <w:sz w:val="20"/>
          <w:szCs w:val="22"/>
          <w:lang w:eastAsia="el-GR" w:bidi="el-GR"/>
        </w:rPr>
        <w:t xml:space="preserve">Η </w:t>
      </w:r>
      <w:r w:rsidR="00E31F22" w:rsidRPr="007D4C61">
        <w:rPr>
          <w:rFonts w:ascii="Segoe UI" w:eastAsia="MS Mincho" w:hAnsi="Segoe UI" w:cs="Segoe UI"/>
          <w:sz w:val="20"/>
          <w:szCs w:val="22"/>
          <w:lang w:eastAsia="el-GR" w:bidi="el-GR"/>
        </w:rPr>
        <w:t xml:space="preserve">συμμετοχή της </w:t>
      </w:r>
      <w:r w:rsidR="004E0884" w:rsidRPr="007D4C61">
        <w:rPr>
          <w:rFonts w:ascii="Segoe UI" w:eastAsia="MS Mincho" w:hAnsi="Segoe UI" w:cs="Segoe UI"/>
          <w:sz w:val="20"/>
          <w:szCs w:val="22"/>
          <w:lang w:eastAsia="el-GR" w:bidi="el-GR"/>
        </w:rPr>
        <w:t>ΕΤΕ</w:t>
      </w:r>
      <w:r w:rsidR="00E31F22" w:rsidRPr="007D4C61">
        <w:rPr>
          <w:rFonts w:ascii="Segoe UI" w:eastAsia="MS Mincho" w:hAnsi="Segoe UI" w:cs="Segoe UI"/>
          <w:sz w:val="20"/>
          <w:szCs w:val="22"/>
          <w:lang w:eastAsia="el-GR" w:bidi="el-GR"/>
        </w:rPr>
        <w:t xml:space="preserve"> στο </w:t>
      </w:r>
      <w:r w:rsidR="00E31F22" w:rsidRPr="007D4C61">
        <w:rPr>
          <w:rFonts w:ascii="Segoe UI" w:eastAsia="MS Mincho" w:hAnsi="Segoe UI" w:cs="Segoe UI"/>
          <w:b/>
          <w:sz w:val="20"/>
          <w:szCs w:val="22"/>
          <w:lang w:eastAsia="el-GR" w:bidi="el-GR"/>
        </w:rPr>
        <w:t>Πρόγραμμα Συναλλαγών Μακροχρόνιας Αναχρηματοδότησης (TLTRO</w:t>
      </w:r>
      <w:r w:rsidR="00E44CCE" w:rsidRPr="007D4C61">
        <w:rPr>
          <w:rFonts w:ascii="Segoe UI" w:eastAsia="MS Mincho" w:hAnsi="Segoe UI" w:cs="Segoe UI"/>
          <w:b/>
          <w:sz w:val="20"/>
          <w:szCs w:val="22"/>
          <w:lang w:eastAsia="el-GR" w:bidi="el-GR"/>
        </w:rPr>
        <w:t>/</w:t>
      </w:r>
      <w:r w:rsidR="00E44CCE" w:rsidRPr="007D4C61">
        <w:rPr>
          <w:rFonts w:ascii="Segoe UI" w:eastAsia="MS Mincho" w:hAnsi="Segoe UI" w:cs="Segoe UI"/>
          <w:b/>
          <w:sz w:val="20"/>
          <w:szCs w:val="22"/>
          <w:lang w:val="en-US" w:eastAsia="el-GR" w:bidi="el-GR"/>
        </w:rPr>
        <w:t>LTRO</w:t>
      </w:r>
      <w:r w:rsidR="00E31F22" w:rsidRPr="007D4C61">
        <w:rPr>
          <w:rFonts w:ascii="Segoe UI" w:eastAsia="MS Mincho" w:hAnsi="Segoe UI" w:cs="Segoe UI"/>
          <w:b/>
          <w:sz w:val="20"/>
          <w:szCs w:val="22"/>
          <w:lang w:eastAsia="el-GR" w:bidi="el-GR"/>
        </w:rPr>
        <w:t>)</w:t>
      </w:r>
      <w:r w:rsidR="00E31F22" w:rsidRPr="007D4C61">
        <w:rPr>
          <w:rFonts w:ascii="Segoe UI" w:eastAsia="MS Mincho" w:hAnsi="Segoe UI" w:cs="Segoe UI"/>
          <w:sz w:val="20"/>
          <w:szCs w:val="22"/>
          <w:lang w:eastAsia="el-GR" w:bidi="el-GR"/>
        </w:rPr>
        <w:t xml:space="preserve"> </w:t>
      </w:r>
      <w:r w:rsidR="007E37C2" w:rsidRPr="007D4C61">
        <w:rPr>
          <w:rFonts w:ascii="Segoe UI" w:eastAsia="MS Mincho" w:hAnsi="Segoe UI" w:cs="Segoe UI"/>
          <w:sz w:val="20"/>
          <w:szCs w:val="22"/>
          <w:lang w:eastAsia="el-GR" w:bidi="el-GR"/>
        </w:rPr>
        <w:t>διατηρ</w:t>
      </w:r>
      <w:r w:rsidR="00392E18">
        <w:rPr>
          <w:rFonts w:ascii="Segoe UI" w:eastAsia="MS Mincho" w:hAnsi="Segoe UI" w:cs="Segoe UI"/>
          <w:sz w:val="20"/>
          <w:szCs w:val="22"/>
          <w:lang w:eastAsia="el-GR" w:bidi="el-GR"/>
        </w:rPr>
        <w:t xml:space="preserve">ήθηκε </w:t>
      </w:r>
      <w:r w:rsidR="00187696" w:rsidRPr="007D4C61">
        <w:rPr>
          <w:rFonts w:ascii="Segoe UI" w:eastAsia="MS Mincho" w:hAnsi="Segoe UI" w:cs="Segoe UI"/>
          <w:sz w:val="20"/>
          <w:szCs w:val="22"/>
          <w:lang w:eastAsia="el-GR" w:bidi="el-GR"/>
        </w:rPr>
        <w:t>σ</w:t>
      </w:r>
      <w:r w:rsidR="00B53366" w:rsidRPr="007D4C61">
        <w:rPr>
          <w:rFonts w:ascii="Segoe UI" w:eastAsia="MS Mincho" w:hAnsi="Segoe UI" w:cs="Segoe UI"/>
          <w:sz w:val="20"/>
          <w:szCs w:val="22"/>
          <w:lang w:eastAsia="el-GR" w:bidi="el-GR"/>
        </w:rPr>
        <w:t>τα</w:t>
      </w:r>
      <w:r w:rsidR="00E31F22" w:rsidRPr="007D4C61">
        <w:rPr>
          <w:rFonts w:ascii="Segoe UI" w:eastAsia="MS Mincho" w:hAnsi="Segoe UI" w:cs="Segoe UI"/>
          <w:sz w:val="20"/>
          <w:szCs w:val="22"/>
          <w:lang w:eastAsia="el-GR" w:bidi="el-GR"/>
        </w:rPr>
        <w:t xml:space="preserve"> </w:t>
      </w:r>
      <w:r w:rsidRPr="007D4C61">
        <w:rPr>
          <w:rFonts w:ascii="Segoe UI" w:eastAsia="MS Mincho" w:hAnsi="Segoe UI" w:cs="Segoe UI"/>
          <w:sz w:val="20"/>
          <w:szCs w:val="22"/>
          <w:lang w:eastAsia="el-GR" w:bidi="el-GR"/>
        </w:rPr>
        <w:t>€</w:t>
      </w:r>
      <w:r w:rsidR="00695851" w:rsidRPr="007D4C61">
        <w:rPr>
          <w:rFonts w:ascii="Segoe UI" w:eastAsia="MS Mincho" w:hAnsi="Segoe UI" w:cs="Segoe UI"/>
          <w:sz w:val="20"/>
          <w:szCs w:val="22"/>
          <w:lang w:eastAsia="el-GR" w:bidi="el-GR"/>
        </w:rPr>
        <w:t>1</w:t>
      </w:r>
      <w:r w:rsidR="00187696" w:rsidRPr="007D4C61">
        <w:rPr>
          <w:rFonts w:ascii="Segoe UI" w:eastAsia="MS Mincho" w:hAnsi="Segoe UI" w:cs="Segoe UI"/>
          <w:sz w:val="20"/>
          <w:szCs w:val="22"/>
          <w:lang w:eastAsia="el-GR" w:bidi="el-GR"/>
        </w:rPr>
        <w:t>1,6</w:t>
      </w:r>
      <w:r w:rsidRPr="007D4C61">
        <w:rPr>
          <w:rFonts w:ascii="Segoe UI" w:eastAsia="MS Mincho" w:hAnsi="Segoe UI" w:cs="Segoe UI"/>
          <w:sz w:val="20"/>
          <w:szCs w:val="22"/>
          <w:lang w:eastAsia="el-GR" w:bidi="el-GR"/>
        </w:rPr>
        <w:t xml:space="preserve"> δισ. </w:t>
      </w:r>
      <w:r w:rsidR="00A81818" w:rsidRPr="007D4C61">
        <w:rPr>
          <w:rFonts w:ascii="Segoe UI" w:eastAsia="MS Mincho" w:hAnsi="Segoe UI" w:cs="Segoe UI"/>
          <w:sz w:val="20"/>
          <w:szCs w:val="22"/>
          <w:lang w:eastAsia="el-GR" w:bidi="el-GR"/>
        </w:rPr>
        <w:t>το</w:t>
      </w:r>
      <w:r w:rsidR="00187696" w:rsidRPr="007D4C61">
        <w:t xml:space="preserve"> </w:t>
      </w:r>
      <w:r w:rsidR="007E37C2" w:rsidRPr="007D4C61">
        <w:rPr>
          <w:rFonts w:ascii="Segoe UI" w:eastAsia="MS Mincho" w:hAnsi="Segoe UI" w:cs="Segoe UI"/>
          <w:sz w:val="20"/>
          <w:szCs w:val="22"/>
          <w:lang w:eastAsia="el-GR" w:bidi="el-GR"/>
        </w:rPr>
        <w:t>Β</w:t>
      </w:r>
      <w:r w:rsidR="00187696" w:rsidRPr="007D4C61">
        <w:rPr>
          <w:rFonts w:ascii="Segoe UI" w:eastAsia="MS Mincho" w:hAnsi="Segoe UI" w:cs="Segoe UI"/>
          <w:sz w:val="20"/>
          <w:szCs w:val="22"/>
          <w:lang w:eastAsia="el-GR" w:bidi="el-GR"/>
        </w:rPr>
        <w:t>’ τρίμηνο 2021</w:t>
      </w:r>
      <w:r w:rsidR="00AA5251" w:rsidRPr="007D4C61">
        <w:rPr>
          <w:rFonts w:ascii="Segoe UI" w:eastAsia="MS Mincho" w:hAnsi="Segoe UI" w:cs="Segoe UI"/>
          <w:sz w:val="20"/>
          <w:szCs w:val="22"/>
          <w:lang w:eastAsia="el-GR" w:bidi="el-GR"/>
        </w:rPr>
        <w:t>.</w:t>
      </w:r>
      <w:r w:rsidR="00B701D7" w:rsidRPr="007D4C61">
        <w:rPr>
          <w:rFonts w:ascii="Segoe UI" w:eastAsia="MS Mincho" w:hAnsi="Segoe UI" w:cs="Segoe UI"/>
          <w:sz w:val="20"/>
          <w:szCs w:val="22"/>
          <w:lang w:eastAsia="el-GR" w:bidi="el-GR"/>
        </w:rPr>
        <w:t xml:space="preserve"> </w:t>
      </w:r>
      <w:r w:rsidR="00670BBF" w:rsidRPr="007D4C61">
        <w:rPr>
          <w:rFonts w:ascii="Segoe UI" w:eastAsia="MS Mincho" w:hAnsi="Segoe UI" w:cs="Segoe UI"/>
          <w:sz w:val="20"/>
          <w:szCs w:val="22"/>
          <w:lang w:eastAsia="el-GR" w:bidi="el-GR"/>
        </w:rPr>
        <w:t>Οι ευνοϊκοί όροι χρηματοδότησης του προγράμματος TLTRO III, σε συνδυασμό</w:t>
      </w:r>
      <w:r w:rsidR="00670BBF" w:rsidRPr="007E37C2">
        <w:rPr>
          <w:rFonts w:ascii="Segoe UI" w:eastAsia="MS Mincho" w:hAnsi="Segoe UI" w:cs="Segoe UI"/>
          <w:sz w:val="20"/>
          <w:szCs w:val="22"/>
          <w:lang w:eastAsia="el-GR" w:bidi="el-GR"/>
        </w:rPr>
        <w:t xml:space="preserve"> με την ανατιμολόγηση των καταθέσεων προθεσμίας κατά </w:t>
      </w:r>
      <w:r w:rsidR="007E37C2" w:rsidRPr="007E37C2">
        <w:rPr>
          <w:rFonts w:ascii="Segoe UI" w:eastAsia="MS Mincho" w:hAnsi="Segoe UI" w:cs="Segoe UI"/>
          <w:sz w:val="20"/>
          <w:szCs w:val="22"/>
          <w:lang w:eastAsia="el-GR" w:bidi="el-GR"/>
        </w:rPr>
        <w:t>28</w:t>
      </w:r>
      <w:r w:rsidR="00670BBF" w:rsidRPr="007E37C2">
        <w:rPr>
          <w:rFonts w:ascii="Segoe UI" w:eastAsia="MS Mincho" w:hAnsi="Segoe UI" w:cs="Segoe UI"/>
          <w:sz w:val="20"/>
          <w:szCs w:val="22"/>
          <w:lang w:eastAsia="el-GR" w:bidi="el-GR"/>
        </w:rPr>
        <w:t xml:space="preserve">μ.β. </w:t>
      </w:r>
      <w:r w:rsidR="00AA00A3">
        <w:rPr>
          <w:rFonts w:ascii="Segoe UI" w:eastAsia="MS Mincho" w:hAnsi="Segoe UI" w:cs="Segoe UI"/>
          <w:sz w:val="20"/>
          <w:szCs w:val="22"/>
          <w:lang w:eastAsia="el-GR" w:bidi="el-GR"/>
        </w:rPr>
        <w:t>σε ετήσια βάση</w:t>
      </w:r>
      <w:r w:rsidR="00E8330B">
        <w:rPr>
          <w:rFonts w:ascii="Segoe UI" w:eastAsia="MS Mincho" w:hAnsi="Segoe UI" w:cs="Segoe UI"/>
          <w:sz w:val="20"/>
          <w:szCs w:val="22"/>
          <w:lang w:eastAsia="el-GR" w:bidi="el-GR"/>
        </w:rPr>
        <w:t xml:space="preserve">, </w:t>
      </w:r>
      <w:r w:rsidR="009617EA" w:rsidRPr="007E37C2">
        <w:rPr>
          <w:rFonts w:ascii="Segoe UI" w:eastAsia="MS Mincho" w:hAnsi="Segoe UI" w:cs="Segoe UI"/>
          <w:sz w:val="20"/>
          <w:szCs w:val="22"/>
          <w:lang w:eastAsia="el-GR" w:bidi="el-GR"/>
        </w:rPr>
        <w:t>στις</w:t>
      </w:r>
      <w:r w:rsidR="00670BBF" w:rsidRPr="007E37C2">
        <w:rPr>
          <w:rFonts w:ascii="Segoe UI" w:eastAsia="MS Mincho" w:hAnsi="Segoe UI" w:cs="Segoe UI"/>
          <w:sz w:val="20"/>
          <w:szCs w:val="22"/>
          <w:lang w:eastAsia="el-GR" w:bidi="el-GR"/>
        </w:rPr>
        <w:t xml:space="preserve"> </w:t>
      </w:r>
      <w:r w:rsidR="00AF3CBD" w:rsidRPr="007E37C2">
        <w:rPr>
          <w:rFonts w:ascii="Segoe UI" w:eastAsia="MS Mincho" w:hAnsi="Segoe UI" w:cs="Segoe UI"/>
          <w:sz w:val="20"/>
          <w:szCs w:val="22"/>
          <w:lang w:eastAsia="el-GR" w:bidi="el-GR"/>
        </w:rPr>
        <w:t>1</w:t>
      </w:r>
      <w:r w:rsidR="007E37C2" w:rsidRPr="007E37C2">
        <w:rPr>
          <w:rFonts w:ascii="Segoe UI" w:eastAsia="MS Mincho" w:hAnsi="Segoe UI" w:cs="Segoe UI"/>
          <w:sz w:val="20"/>
          <w:szCs w:val="22"/>
          <w:lang w:eastAsia="el-GR" w:bidi="el-GR"/>
        </w:rPr>
        <w:t>3</w:t>
      </w:r>
      <w:r w:rsidR="00670BBF" w:rsidRPr="007E37C2">
        <w:rPr>
          <w:rFonts w:ascii="Segoe UI" w:eastAsia="MS Mincho" w:hAnsi="Segoe UI" w:cs="Segoe UI"/>
          <w:sz w:val="20"/>
          <w:szCs w:val="22"/>
          <w:lang w:eastAsia="el-GR" w:bidi="el-GR"/>
        </w:rPr>
        <w:t xml:space="preserve">μ.β το </w:t>
      </w:r>
      <w:r w:rsidR="007E37C2" w:rsidRPr="007E37C2">
        <w:rPr>
          <w:rFonts w:ascii="Segoe UI" w:eastAsia="MS Mincho" w:hAnsi="Segoe UI" w:cs="Segoe UI"/>
          <w:sz w:val="20"/>
          <w:szCs w:val="22"/>
          <w:lang w:eastAsia="el-GR" w:bidi="el-GR"/>
        </w:rPr>
        <w:t>Β</w:t>
      </w:r>
      <w:r w:rsidR="00AF3CBD" w:rsidRPr="007E37C2">
        <w:rPr>
          <w:rFonts w:ascii="Segoe UI" w:eastAsia="MS Mincho" w:hAnsi="Segoe UI" w:cs="Segoe UI"/>
          <w:sz w:val="20"/>
          <w:szCs w:val="22"/>
          <w:lang w:eastAsia="el-GR" w:bidi="el-GR"/>
        </w:rPr>
        <w:t>’ τρίμηνο 2021</w:t>
      </w:r>
      <w:r w:rsidR="0077475E">
        <w:rPr>
          <w:rFonts w:ascii="Segoe UI" w:eastAsia="MS Mincho" w:hAnsi="Segoe UI" w:cs="Segoe UI"/>
          <w:sz w:val="20"/>
          <w:szCs w:val="22"/>
          <w:lang w:eastAsia="el-GR" w:bidi="el-GR"/>
        </w:rPr>
        <w:t xml:space="preserve"> (νέα παραγωγή στις 8μ.β.)</w:t>
      </w:r>
      <w:r w:rsidR="00670BBF" w:rsidRPr="007E37C2">
        <w:rPr>
          <w:rFonts w:ascii="Segoe UI" w:eastAsia="MS Mincho" w:hAnsi="Segoe UI" w:cs="Segoe UI"/>
          <w:sz w:val="20"/>
          <w:szCs w:val="22"/>
          <w:lang w:eastAsia="el-GR" w:bidi="el-GR"/>
        </w:rPr>
        <w:t xml:space="preserve">, είχαν ως αποτέλεσμα τη σημαντική βελτίωση του κόστους χρηματοδότησης της Τράπεζας, το οποίο έφτασε σε μηδενικά </w:t>
      </w:r>
      <w:r w:rsidR="0064654A" w:rsidRPr="007E37C2">
        <w:rPr>
          <w:rFonts w:ascii="Segoe UI" w:eastAsia="MS Mincho" w:hAnsi="Segoe UI" w:cs="Segoe UI"/>
          <w:sz w:val="20"/>
          <w:szCs w:val="22"/>
          <w:lang w:eastAsia="el-GR" w:bidi="el-GR"/>
        </w:rPr>
        <w:t xml:space="preserve">σχεδόν </w:t>
      </w:r>
      <w:r w:rsidR="00670BBF" w:rsidRPr="007E37C2">
        <w:rPr>
          <w:rFonts w:ascii="Segoe UI" w:eastAsia="MS Mincho" w:hAnsi="Segoe UI" w:cs="Segoe UI"/>
          <w:sz w:val="20"/>
          <w:szCs w:val="22"/>
          <w:lang w:eastAsia="el-GR" w:bidi="el-GR"/>
        </w:rPr>
        <w:t xml:space="preserve">επίπεδα το </w:t>
      </w:r>
      <w:r w:rsidR="007E37C2">
        <w:rPr>
          <w:rFonts w:ascii="Segoe UI" w:eastAsia="MS Mincho" w:hAnsi="Segoe UI" w:cs="Segoe UI"/>
          <w:sz w:val="20"/>
          <w:szCs w:val="22"/>
          <w:lang w:eastAsia="el-GR" w:bidi="el-GR"/>
        </w:rPr>
        <w:t>Β</w:t>
      </w:r>
      <w:r w:rsidR="00670BBF" w:rsidRPr="007E37C2">
        <w:rPr>
          <w:rFonts w:ascii="Segoe UI" w:eastAsia="MS Mincho" w:hAnsi="Segoe UI" w:cs="Segoe UI"/>
          <w:sz w:val="20"/>
          <w:szCs w:val="22"/>
          <w:lang w:eastAsia="el-GR" w:bidi="el-GR"/>
        </w:rPr>
        <w:t>’ τρίμηνο 202</w:t>
      </w:r>
      <w:r w:rsidR="006B2566" w:rsidRPr="007E37C2">
        <w:rPr>
          <w:rFonts w:ascii="Segoe UI" w:eastAsia="MS Mincho" w:hAnsi="Segoe UI" w:cs="Segoe UI"/>
          <w:sz w:val="20"/>
          <w:szCs w:val="22"/>
          <w:lang w:eastAsia="el-GR" w:bidi="el-GR"/>
        </w:rPr>
        <w:t>1</w:t>
      </w:r>
      <w:r w:rsidR="00670BBF" w:rsidRPr="007E37C2">
        <w:rPr>
          <w:rFonts w:ascii="Segoe UI" w:eastAsia="MS Mincho" w:hAnsi="Segoe UI" w:cs="Segoe UI"/>
          <w:sz w:val="20"/>
          <w:szCs w:val="22"/>
          <w:lang w:eastAsia="el-GR" w:bidi="el-GR"/>
        </w:rPr>
        <w:t xml:space="preserve"> (</w:t>
      </w:r>
      <w:r w:rsidR="007E37C2">
        <w:rPr>
          <w:rFonts w:ascii="Segoe UI" w:eastAsia="MS Mincho" w:hAnsi="Segoe UI" w:cs="Segoe UI"/>
          <w:sz w:val="20"/>
          <w:szCs w:val="22"/>
          <w:lang w:eastAsia="el-GR" w:bidi="el-GR"/>
        </w:rPr>
        <w:t>1</w:t>
      </w:r>
      <w:r w:rsidR="00670BBF" w:rsidRPr="007E37C2">
        <w:rPr>
          <w:rFonts w:ascii="Segoe UI" w:eastAsia="MS Mincho" w:hAnsi="Segoe UI" w:cs="Segoe UI"/>
          <w:sz w:val="20"/>
          <w:szCs w:val="22"/>
          <w:lang w:eastAsia="el-GR" w:bidi="el-GR"/>
        </w:rPr>
        <w:t xml:space="preserve">μ.β.) έναντι </w:t>
      </w:r>
      <w:r w:rsidR="007E37C2">
        <w:rPr>
          <w:rFonts w:ascii="Segoe UI" w:eastAsia="MS Mincho" w:hAnsi="Segoe UI" w:cs="Segoe UI"/>
          <w:sz w:val="20"/>
          <w:szCs w:val="22"/>
          <w:lang w:eastAsia="el-GR" w:bidi="el-GR"/>
        </w:rPr>
        <w:t>19</w:t>
      </w:r>
      <w:r w:rsidR="00670BBF" w:rsidRPr="007E37C2">
        <w:rPr>
          <w:rFonts w:ascii="Segoe UI" w:eastAsia="MS Mincho" w:hAnsi="Segoe UI" w:cs="Segoe UI"/>
          <w:sz w:val="20"/>
          <w:szCs w:val="22"/>
          <w:lang w:eastAsia="el-GR" w:bidi="el-GR"/>
        </w:rPr>
        <w:t xml:space="preserve">μ.β. το </w:t>
      </w:r>
      <w:r w:rsidR="007E37C2">
        <w:rPr>
          <w:rFonts w:ascii="Segoe UI" w:eastAsia="MS Mincho" w:hAnsi="Segoe UI" w:cs="Segoe UI"/>
          <w:sz w:val="20"/>
          <w:szCs w:val="22"/>
          <w:lang w:eastAsia="el-GR" w:bidi="el-GR"/>
        </w:rPr>
        <w:t>Β</w:t>
      </w:r>
      <w:r w:rsidR="00670BBF" w:rsidRPr="007E37C2">
        <w:rPr>
          <w:rFonts w:ascii="Segoe UI" w:eastAsia="MS Mincho" w:hAnsi="Segoe UI" w:cs="Segoe UI"/>
          <w:sz w:val="20"/>
          <w:szCs w:val="22"/>
          <w:lang w:eastAsia="el-GR" w:bidi="el-GR"/>
        </w:rPr>
        <w:t>’ τρίμηνο 20</w:t>
      </w:r>
      <w:r w:rsidR="00AF3CBD" w:rsidRPr="007E37C2">
        <w:rPr>
          <w:rFonts w:ascii="Segoe UI" w:eastAsia="MS Mincho" w:hAnsi="Segoe UI" w:cs="Segoe UI"/>
          <w:sz w:val="20"/>
          <w:szCs w:val="22"/>
          <w:lang w:eastAsia="el-GR" w:bidi="el-GR"/>
        </w:rPr>
        <w:t>20</w:t>
      </w:r>
      <w:r w:rsidR="00670BBF" w:rsidRPr="007E37C2">
        <w:rPr>
          <w:rFonts w:ascii="Segoe UI" w:eastAsia="MS Mincho" w:hAnsi="Segoe UI" w:cs="Segoe UI"/>
          <w:sz w:val="20"/>
          <w:szCs w:val="22"/>
          <w:lang w:eastAsia="el-GR" w:bidi="el-GR"/>
        </w:rPr>
        <w:t>, ενισχύοντας έτσι τα καθαρά έσοδα από τόκους</w:t>
      </w:r>
      <w:r w:rsidR="00AF3CBD" w:rsidRPr="007E37C2">
        <w:rPr>
          <w:rFonts w:ascii="Segoe UI" w:eastAsia="MS Mincho" w:hAnsi="Segoe UI" w:cs="Segoe UI"/>
          <w:sz w:val="20"/>
          <w:szCs w:val="22"/>
          <w:lang w:eastAsia="el-GR" w:bidi="el-GR"/>
        </w:rPr>
        <w:t xml:space="preserve"> και το καθαρό επιτοκιακό περιθώριο</w:t>
      </w:r>
      <w:r w:rsidR="00670BBF" w:rsidRPr="007E37C2">
        <w:rPr>
          <w:rFonts w:ascii="Segoe UI" w:eastAsia="MS Mincho" w:hAnsi="Segoe UI" w:cs="Segoe UI"/>
          <w:sz w:val="20"/>
          <w:szCs w:val="22"/>
          <w:lang w:eastAsia="el-GR" w:bidi="el-GR"/>
        </w:rPr>
        <w:t>.</w:t>
      </w:r>
    </w:p>
    <w:p w:rsidR="00E74B88" w:rsidRPr="005B3204" w:rsidRDefault="008E01D0" w:rsidP="00E74B88">
      <w:pPr>
        <w:kinsoku w:val="0"/>
        <w:overflowPunct w:val="0"/>
        <w:spacing w:before="40"/>
        <w:ind w:left="547" w:hanging="547"/>
        <w:textAlignment w:val="baseline"/>
        <w:rPr>
          <w:rFonts w:ascii="Segoe UI" w:eastAsia="Segoe UI" w:hAnsi="Segoe UI" w:cs="Segoe UI"/>
          <w:b/>
          <w:color w:val="008080"/>
          <w:kern w:val="24"/>
          <w:sz w:val="18"/>
          <w:lang w:eastAsia="el-GR"/>
        </w:rPr>
      </w:pPr>
      <w:r w:rsidRPr="005B3204">
        <w:rPr>
          <w:rFonts w:ascii="Segoe UI" w:eastAsia="Segoe UI" w:hAnsi="Segoe UI" w:cs="Segoe UI"/>
          <w:b/>
          <w:color w:val="008080"/>
          <w:kern w:val="24"/>
          <w:sz w:val="18"/>
          <w:lang w:eastAsia="el-GR"/>
        </w:rPr>
        <w:t>Χρηματοδότηση από το Ευρωσύστημα (€ δισ.)</w:t>
      </w:r>
      <w:r w:rsidR="00E74B88">
        <w:rPr>
          <w:noProof/>
          <w:lang w:eastAsia="el-GR"/>
        </w:rPr>
        <w:tab/>
      </w:r>
      <w:r w:rsidR="005B3204">
        <w:rPr>
          <w:noProof/>
          <w:lang w:eastAsia="el-GR"/>
        </w:rPr>
        <w:tab/>
        <w:t xml:space="preserve"> </w:t>
      </w:r>
      <w:r w:rsidR="00E74B88">
        <w:rPr>
          <w:noProof/>
          <w:lang w:eastAsia="el-GR"/>
        </w:rPr>
        <w:t xml:space="preserve"> </w:t>
      </w:r>
      <w:r w:rsidR="00E74B88" w:rsidRPr="005B3204">
        <w:rPr>
          <w:rFonts w:ascii="Segoe UI" w:eastAsia="Segoe UI" w:hAnsi="Segoe UI" w:cs="Segoe UI"/>
          <w:b/>
          <w:color w:val="008080"/>
          <w:kern w:val="24"/>
          <w:sz w:val="18"/>
          <w:lang w:eastAsia="el-GR"/>
        </w:rPr>
        <w:t>Μεταβολή καταθέσεων (€ δισ.) | Ελλάδα</w:t>
      </w:r>
    </w:p>
    <w:p w:rsidR="00E55AED" w:rsidRPr="00E74B88" w:rsidRDefault="00BD694C" w:rsidP="0016376C">
      <w:pPr>
        <w:autoSpaceDE w:val="0"/>
        <w:autoSpaceDN w:val="0"/>
        <w:adjustRightInd w:val="0"/>
        <w:spacing w:after="160" w:line="320" w:lineRule="atLeast"/>
        <w:rPr>
          <w:rFonts w:ascii="Segoe UI" w:hAnsi="Segoe UI" w:cs="Segoe UI"/>
          <w:b/>
          <w:color w:val="000000"/>
          <w:sz w:val="20"/>
        </w:rPr>
      </w:pPr>
      <w:r>
        <w:rPr>
          <w:rFonts w:ascii="Segoe UI" w:hAnsi="Segoe UI" w:cs="Segoe UI"/>
          <w:noProof/>
          <w:color w:val="000000"/>
          <w:lang w:eastAsia="el-GR"/>
        </w:rPr>
        <mc:AlternateContent>
          <mc:Choice Requires="wps">
            <w:drawing>
              <wp:anchor distT="0" distB="0" distL="114300" distR="114300" simplePos="0" relativeHeight="251661824" behindDoc="0" locked="0" layoutInCell="1" allowOverlap="1" wp14:anchorId="47E956FD" wp14:editId="5DBB0964">
                <wp:simplePos x="0" y="0"/>
                <wp:positionH relativeFrom="column">
                  <wp:posOffset>2208530</wp:posOffset>
                </wp:positionH>
                <wp:positionV relativeFrom="paragraph">
                  <wp:posOffset>93980</wp:posOffset>
                </wp:positionV>
                <wp:extent cx="855345" cy="410210"/>
                <wp:effectExtent l="0" t="0" r="20955" b="218440"/>
                <wp:wrapNone/>
                <wp:docPr id="22" name="Rectangular Callout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5345" cy="410210"/>
                        </a:xfrm>
                        <a:prstGeom prst="wedgeRectCallout">
                          <a:avLst>
                            <a:gd name="adj1" fmla="val 10670"/>
                            <a:gd name="adj2" fmla="val 91714"/>
                          </a:avLst>
                        </a:prstGeom>
                        <a:solidFill>
                          <a:sysClr val="window" lastClr="FFFFFF"/>
                        </a:solidFill>
                        <a:ln w="9525" cap="flat" cmpd="sng" algn="ctr">
                          <a:solidFill>
                            <a:schemeClr val="bg1">
                              <a:lumMod val="50000"/>
                            </a:schemeClr>
                          </a:solidFill>
                          <a:prstDash val="solid"/>
                        </a:ln>
                        <a:effectLst/>
                      </wps:spPr>
                      <wps:txbx>
                        <w:txbxContent>
                          <w:p w:rsidR="00DA0337" w:rsidRPr="003F6C10" w:rsidRDefault="00DA0337" w:rsidP="00E55AED">
                            <w:pPr>
                              <w:jc w:val="center"/>
                              <w:textAlignment w:val="baseline"/>
                              <w:rPr>
                                <w:rFonts w:ascii="Segoe UI" w:eastAsia="Times New Roman" w:hAnsi="Segoe UI" w:cs="Segoe UI"/>
                                <w:color w:val="000000"/>
                                <w:kern w:val="24"/>
                                <w:sz w:val="8"/>
                                <w:szCs w:val="14"/>
                                <w:lang w:eastAsia="el-GR"/>
                              </w:rPr>
                            </w:pPr>
                            <w:r w:rsidRPr="00B85AE0">
                              <w:rPr>
                                <w:rFonts w:ascii="Segoe UI" w:eastAsia="Times New Roman" w:hAnsi="Segoe UI" w:cs="Segoe UI"/>
                                <w:color w:val="000000"/>
                                <w:kern w:val="24"/>
                                <w:sz w:val="8"/>
                                <w:szCs w:val="14"/>
                                <w:lang w:eastAsia="el-GR"/>
                              </w:rPr>
                              <w:t xml:space="preserve">Δείκτης </w:t>
                            </w:r>
                            <w:r w:rsidRPr="00B85AE0">
                              <w:rPr>
                                <w:rFonts w:ascii="Segoe UI" w:eastAsia="Times New Roman" w:hAnsi="Segoe UI" w:cs="Segoe UI"/>
                                <w:color w:val="000000"/>
                                <w:kern w:val="24"/>
                                <w:sz w:val="8"/>
                                <w:szCs w:val="14"/>
                                <w:lang w:val="en-US" w:eastAsia="el-GR"/>
                              </w:rPr>
                              <w:t>LCR</w:t>
                            </w:r>
                            <w:r w:rsidRPr="003F6C10">
                              <w:rPr>
                                <w:rFonts w:ascii="Segoe UI" w:eastAsia="Times New Roman" w:hAnsi="Segoe UI" w:cs="Segoe UI"/>
                                <w:color w:val="000000"/>
                                <w:kern w:val="24"/>
                                <w:sz w:val="8"/>
                                <w:szCs w:val="14"/>
                                <w:lang w:eastAsia="el-GR"/>
                              </w:rPr>
                              <w:t>: 259%</w:t>
                            </w:r>
                          </w:p>
                          <w:p w:rsidR="00DA0337" w:rsidRPr="003F6C10" w:rsidRDefault="00DA0337" w:rsidP="00E55AED">
                            <w:pPr>
                              <w:jc w:val="center"/>
                              <w:textAlignment w:val="baseline"/>
                              <w:rPr>
                                <w:rFonts w:ascii="Segoe UI" w:hAnsi="Segoe UI" w:cs="Segoe UI"/>
                                <w:sz w:val="22"/>
                              </w:rPr>
                            </w:pPr>
                            <w:r w:rsidRPr="00B85AE0">
                              <w:rPr>
                                <w:rFonts w:ascii="Segoe UI" w:eastAsia="Times New Roman" w:hAnsi="Segoe UI" w:cs="Segoe UI"/>
                                <w:color w:val="000000"/>
                                <w:kern w:val="24"/>
                                <w:sz w:val="8"/>
                                <w:szCs w:val="14"/>
                                <w:lang w:val="en-US" w:eastAsia="el-GR"/>
                              </w:rPr>
                              <w:t>X</w:t>
                            </w:r>
                            <w:r w:rsidRPr="00B85AE0">
                              <w:rPr>
                                <w:rFonts w:ascii="Segoe UI" w:eastAsia="Times New Roman" w:hAnsi="Segoe UI" w:cs="Segoe UI"/>
                                <w:color w:val="000000"/>
                                <w:kern w:val="24"/>
                                <w:sz w:val="8"/>
                                <w:szCs w:val="14"/>
                                <w:lang w:eastAsia="el-GR"/>
                              </w:rPr>
                              <w:t>ρηματοδότηση μέσω συμφωνιών επαναγοράς (</w:t>
                            </w:r>
                            <w:r w:rsidRPr="00B85AE0">
                              <w:rPr>
                                <w:rFonts w:ascii="Segoe UI" w:eastAsia="Times New Roman" w:hAnsi="Segoe UI" w:cs="Segoe UI"/>
                                <w:color w:val="000000"/>
                                <w:kern w:val="24"/>
                                <w:sz w:val="8"/>
                                <w:szCs w:val="14"/>
                                <w:lang w:val="en-US" w:eastAsia="el-GR"/>
                              </w:rPr>
                              <w:t>repos</w:t>
                            </w:r>
                            <w:r w:rsidRPr="00B85AE0">
                              <w:rPr>
                                <w:rFonts w:ascii="Segoe UI" w:eastAsia="Times New Roman" w:hAnsi="Segoe UI" w:cs="Segoe UI"/>
                                <w:color w:val="000000"/>
                                <w:kern w:val="24"/>
                                <w:sz w:val="8"/>
                                <w:szCs w:val="14"/>
                                <w:lang w:eastAsia="el-GR"/>
                              </w:rPr>
                              <w:t xml:space="preserve">, </w:t>
                            </w:r>
                            <w:r w:rsidRPr="00B85AE0">
                              <w:rPr>
                                <w:rFonts w:ascii="Segoe UI" w:eastAsia="Times New Roman" w:hAnsi="Segoe UI" w:cs="Segoe UI"/>
                                <w:color w:val="000000"/>
                                <w:kern w:val="24"/>
                                <w:sz w:val="8"/>
                                <w:szCs w:val="14"/>
                                <w:lang w:val="en-US" w:eastAsia="el-GR"/>
                              </w:rPr>
                              <w:t>net</w:t>
                            </w:r>
                            <w:r w:rsidRPr="00B85AE0">
                              <w:rPr>
                                <w:rFonts w:ascii="Segoe UI" w:eastAsia="Times New Roman" w:hAnsi="Segoe UI" w:cs="Segoe UI"/>
                                <w:color w:val="000000"/>
                                <w:kern w:val="24"/>
                                <w:sz w:val="8"/>
                                <w:szCs w:val="14"/>
                                <w:lang w:eastAsia="el-GR"/>
                              </w:rPr>
                              <w:t>)</w:t>
                            </w:r>
                            <w:r w:rsidRPr="003F6C10">
                              <w:rPr>
                                <w:rFonts w:ascii="Segoe UI" w:eastAsia="Times New Roman" w:hAnsi="Segoe UI" w:cs="Segoe UI"/>
                                <w:color w:val="000000"/>
                                <w:kern w:val="24"/>
                                <w:sz w:val="8"/>
                                <w:szCs w:val="14"/>
                                <w:lang w:eastAsia="el-GR"/>
                              </w:rPr>
                              <w:t>: -</w:t>
                            </w:r>
                            <w:r w:rsidRPr="00B85AE0">
                              <w:rPr>
                                <w:rFonts w:ascii="Segoe UI" w:eastAsia="Times New Roman" w:hAnsi="Segoe UI" w:cs="Segoe UI"/>
                                <w:color w:val="000000"/>
                                <w:kern w:val="24"/>
                                <w:sz w:val="8"/>
                                <w:szCs w:val="14"/>
                                <w:lang w:eastAsia="el-GR"/>
                              </w:rPr>
                              <w:t>€</w:t>
                            </w:r>
                            <w:r w:rsidRPr="003F6C10">
                              <w:rPr>
                                <w:rFonts w:ascii="Segoe UI" w:eastAsia="Times New Roman" w:hAnsi="Segoe UI" w:cs="Segoe UI"/>
                                <w:color w:val="000000"/>
                                <w:kern w:val="24"/>
                                <w:sz w:val="8"/>
                                <w:szCs w:val="14"/>
                                <w:lang w:eastAsia="el-GR"/>
                              </w:rPr>
                              <w:t>2</w:t>
                            </w:r>
                            <w:r w:rsidRPr="00B85AE0">
                              <w:rPr>
                                <w:rFonts w:ascii="Segoe UI" w:eastAsia="Times New Roman" w:hAnsi="Segoe UI" w:cs="Segoe UI"/>
                                <w:color w:val="000000"/>
                                <w:kern w:val="24"/>
                                <w:sz w:val="8"/>
                                <w:szCs w:val="14"/>
                                <w:lang w:eastAsia="el-GR"/>
                              </w:rPr>
                              <w:t>,5 δισ.</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47E956FD" id="_x0000_s1044" type="#_x0000_t61" style="position:absolute;margin-left:173.9pt;margin-top:7.4pt;width:67.35pt;height:32.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" adj="13105,30610" fillcolor="window" strokecolor="#7f7f7f [1612]">
                <v:path arrowok="t"/>
                <v:textbox>
                  <w:txbxContent>
                    <w:p w:rsidR="00DA0337" w:rsidRPr="003F6C10" w:rsidRDefault="00DA0337" w:rsidP="00E55AED">
                      <w:pPr>
                        <w:jc w:val="center"/>
                        <w:textAlignment w:val="baseline"/>
                        <w:rPr>
                          <w:rFonts w:ascii="Segoe UI" w:eastAsia="Times New Roman" w:hAnsi="Segoe UI" w:cs="Segoe UI"/>
                          <w:color w:val="000000"/>
                          <w:kern w:val="24"/>
                          <w:sz w:val="8"/>
                          <w:szCs w:val="14"/>
                          <w:lang w:eastAsia="el-GR"/>
                        </w:rPr>
                      </w:pPr>
                      <w:bookmarkStart w:id="1" w:name="_GoBack"/>
                      <w:r w:rsidRPr="00B85AE0">
                        <w:rPr>
                          <w:rFonts w:ascii="Segoe UI" w:eastAsia="Times New Roman" w:hAnsi="Segoe UI" w:cs="Segoe UI"/>
                          <w:color w:val="000000"/>
                          <w:kern w:val="24"/>
                          <w:sz w:val="8"/>
                          <w:szCs w:val="14"/>
                          <w:lang w:eastAsia="el-GR"/>
                        </w:rPr>
                        <w:t xml:space="preserve">Δείκτης </w:t>
                      </w:r>
                      <w:r w:rsidRPr="00B85AE0">
                        <w:rPr>
                          <w:rFonts w:ascii="Segoe UI" w:eastAsia="Times New Roman" w:hAnsi="Segoe UI" w:cs="Segoe UI"/>
                          <w:color w:val="000000"/>
                          <w:kern w:val="24"/>
                          <w:sz w:val="8"/>
                          <w:szCs w:val="14"/>
                          <w:lang w:val="en-US" w:eastAsia="el-GR"/>
                        </w:rPr>
                        <w:t>LCR</w:t>
                      </w:r>
                      <w:r w:rsidRPr="003F6C10">
                        <w:rPr>
                          <w:rFonts w:ascii="Segoe UI" w:eastAsia="Times New Roman" w:hAnsi="Segoe UI" w:cs="Segoe UI"/>
                          <w:color w:val="000000"/>
                          <w:kern w:val="24"/>
                          <w:sz w:val="8"/>
                          <w:szCs w:val="14"/>
                          <w:lang w:eastAsia="el-GR"/>
                        </w:rPr>
                        <w:t>: 259%</w:t>
                      </w:r>
                    </w:p>
                    <w:p w:rsidR="00DA0337" w:rsidRPr="003F6C10" w:rsidRDefault="00DA0337" w:rsidP="00E55AED">
                      <w:pPr>
                        <w:jc w:val="center"/>
                        <w:textAlignment w:val="baseline"/>
                        <w:rPr>
                          <w:rFonts w:ascii="Segoe UI" w:hAnsi="Segoe UI" w:cs="Segoe UI"/>
                          <w:sz w:val="22"/>
                        </w:rPr>
                      </w:pPr>
                      <w:r w:rsidRPr="00B85AE0">
                        <w:rPr>
                          <w:rFonts w:ascii="Segoe UI" w:eastAsia="Times New Roman" w:hAnsi="Segoe UI" w:cs="Segoe UI"/>
                          <w:color w:val="000000"/>
                          <w:kern w:val="24"/>
                          <w:sz w:val="8"/>
                          <w:szCs w:val="14"/>
                          <w:lang w:val="en-US" w:eastAsia="el-GR"/>
                        </w:rPr>
                        <w:t>X</w:t>
                      </w:r>
                      <w:proofErr w:type="spellStart"/>
                      <w:r w:rsidRPr="00B85AE0">
                        <w:rPr>
                          <w:rFonts w:ascii="Segoe UI" w:eastAsia="Times New Roman" w:hAnsi="Segoe UI" w:cs="Segoe UI"/>
                          <w:color w:val="000000"/>
                          <w:kern w:val="24"/>
                          <w:sz w:val="8"/>
                          <w:szCs w:val="14"/>
                          <w:lang w:eastAsia="el-GR"/>
                        </w:rPr>
                        <w:t>ρηματοδότηση</w:t>
                      </w:r>
                      <w:proofErr w:type="spellEnd"/>
                      <w:r w:rsidRPr="00B85AE0">
                        <w:rPr>
                          <w:rFonts w:ascii="Segoe UI" w:eastAsia="Times New Roman" w:hAnsi="Segoe UI" w:cs="Segoe UI"/>
                          <w:color w:val="000000"/>
                          <w:kern w:val="24"/>
                          <w:sz w:val="8"/>
                          <w:szCs w:val="14"/>
                          <w:lang w:eastAsia="el-GR"/>
                        </w:rPr>
                        <w:t xml:space="preserve"> μέσω συμφωνιών επαναγοράς (</w:t>
                      </w:r>
                      <w:r w:rsidRPr="00B85AE0">
                        <w:rPr>
                          <w:rFonts w:ascii="Segoe UI" w:eastAsia="Times New Roman" w:hAnsi="Segoe UI" w:cs="Segoe UI"/>
                          <w:color w:val="000000"/>
                          <w:kern w:val="24"/>
                          <w:sz w:val="8"/>
                          <w:szCs w:val="14"/>
                          <w:lang w:val="en-US" w:eastAsia="el-GR"/>
                        </w:rPr>
                        <w:t>repos</w:t>
                      </w:r>
                      <w:r w:rsidRPr="00B85AE0">
                        <w:rPr>
                          <w:rFonts w:ascii="Segoe UI" w:eastAsia="Times New Roman" w:hAnsi="Segoe UI" w:cs="Segoe UI"/>
                          <w:color w:val="000000"/>
                          <w:kern w:val="24"/>
                          <w:sz w:val="8"/>
                          <w:szCs w:val="14"/>
                          <w:lang w:eastAsia="el-GR"/>
                        </w:rPr>
                        <w:t xml:space="preserve">, </w:t>
                      </w:r>
                      <w:r w:rsidRPr="00B85AE0">
                        <w:rPr>
                          <w:rFonts w:ascii="Segoe UI" w:eastAsia="Times New Roman" w:hAnsi="Segoe UI" w:cs="Segoe UI"/>
                          <w:color w:val="000000"/>
                          <w:kern w:val="24"/>
                          <w:sz w:val="8"/>
                          <w:szCs w:val="14"/>
                          <w:lang w:val="en-US" w:eastAsia="el-GR"/>
                        </w:rPr>
                        <w:t>net</w:t>
                      </w:r>
                      <w:r w:rsidRPr="00B85AE0">
                        <w:rPr>
                          <w:rFonts w:ascii="Segoe UI" w:eastAsia="Times New Roman" w:hAnsi="Segoe UI" w:cs="Segoe UI"/>
                          <w:color w:val="000000"/>
                          <w:kern w:val="24"/>
                          <w:sz w:val="8"/>
                          <w:szCs w:val="14"/>
                          <w:lang w:eastAsia="el-GR"/>
                        </w:rPr>
                        <w:t>)</w:t>
                      </w:r>
                      <w:r w:rsidRPr="003F6C10">
                        <w:rPr>
                          <w:rFonts w:ascii="Segoe UI" w:eastAsia="Times New Roman" w:hAnsi="Segoe UI" w:cs="Segoe UI"/>
                          <w:color w:val="000000"/>
                          <w:kern w:val="24"/>
                          <w:sz w:val="8"/>
                          <w:szCs w:val="14"/>
                          <w:lang w:eastAsia="el-GR"/>
                        </w:rPr>
                        <w:t>: -</w:t>
                      </w:r>
                      <w:r w:rsidRPr="00B85AE0">
                        <w:rPr>
                          <w:rFonts w:ascii="Segoe UI" w:eastAsia="Times New Roman" w:hAnsi="Segoe UI" w:cs="Segoe UI"/>
                          <w:color w:val="000000"/>
                          <w:kern w:val="24"/>
                          <w:sz w:val="8"/>
                          <w:szCs w:val="14"/>
                          <w:lang w:eastAsia="el-GR"/>
                        </w:rPr>
                        <w:t>€</w:t>
                      </w:r>
                      <w:r w:rsidRPr="003F6C10">
                        <w:rPr>
                          <w:rFonts w:ascii="Segoe UI" w:eastAsia="Times New Roman" w:hAnsi="Segoe UI" w:cs="Segoe UI"/>
                          <w:color w:val="000000"/>
                          <w:kern w:val="24"/>
                          <w:sz w:val="8"/>
                          <w:szCs w:val="14"/>
                          <w:lang w:eastAsia="el-GR"/>
                        </w:rPr>
                        <w:t>2</w:t>
                      </w:r>
                      <w:proofErr w:type="gramStart"/>
                      <w:r w:rsidRPr="00B85AE0">
                        <w:rPr>
                          <w:rFonts w:ascii="Segoe UI" w:eastAsia="Times New Roman" w:hAnsi="Segoe UI" w:cs="Segoe UI"/>
                          <w:color w:val="000000"/>
                          <w:kern w:val="24"/>
                          <w:sz w:val="8"/>
                          <w:szCs w:val="14"/>
                          <w:lang w:eastAsia="el-GR"/>
                        </w:rPr>
                        <w:t>,5</w:t>
                      </w:r>
                      <w:proofErr w:type="gramEnd"/>
                      <w:r w:rsidRPr="00B85AE0">
                        <w:rPr>
                          <w:rFonts w:ascii="Segoe UI" w:eastAsia="Times New Roman" w:hAnsi="Segoe UI" w:cs="Segoe UI"/>
                          <w:color w:val="000000"/>
                          <w:kern w:val="24"/>
                          <w:sz w:val="8"/>
                          <w:szCs w:val="14"/>
                          <w:lang w:eastAsia="el-GR"/>
                        </w:rPr>
                        <w:t xml:space="preserve"> δισ.</w:t>
                      </w:r>
                      <w:bookmarkEnd w:id="1"/>
                    </w:p>
                  </w:txbxContent>
                </v:textbox>
              </v:shape>
            </w:pict>
          </mc:Fallback>
        </mc:AlternateContent>
      </w:r>
      <w:r w:rsidR="00790F31">
        <w:rPr>
          <w:rFonts w:ascii="Segoe UI" w:hAnsi="Segoe UI" w:cs="Segoe UI"/>
          <w:noProof/>
          <w:lang w:eastAsia="el-GR"/>
        </w:rPr>
        <mc:AlternateContent>
          <mc:Choice Requires="wps">
            <w:drawing>
              <wp:anchor distT="0" distB="0" distL="114300" distR="114300" simplePos="0" relativeHeight="251663872" behindDoc="0" locked="0" layoutInCell="1" allowOverlap="1" wp14:anchorId="24094768" wp14:editId="13052857">
                <wp:simplePos x="0" y="0"/>
                <wp:positionH relativeFrom="column">
                  <wp:posOffset>-41275</wp:posOffset>
                </wp:positionH>
                <wp:positionV relativeFrom="paragraph">
                  <wp:posOffset>1562840</wp:posOffset>
                </wp:positionV>
                <wp:extent cx="388620" cy="197485"/>
                <wp:effectExtent l="0" t="0" r="0" b="0"/>
                <wp:wrapNone/>
                <wp:docPr id="63"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 cy="197485"/>
                        </a:xfrm>
                        <a:prstGeom prst="rect">
                          <a:avLst/>
                        </a:prstGeom>
                        <a:noFill/>
                      </wps:spPr>
                      <wps:txbx>
                        <w:txbxContent>
                          <w:p w:rsidR="00DA0337" w:rsidRPr="00842227" w:rsidRDefault="00DA0337" w:rsidP="00E55AED">
                            <w:pPr>
                              <w:textAlignment w:val="baseline"/>
                            </w:pPr>
                            <w:r w:rsidRPr="00842227">
                              <w:rPr>
                                <w:rFonts w:cs="Arial"/>
                                <w:b/>
                                <w:bCs/>
                                <w:color w:val="000000" w:themeColor="text1"/>
                                <w:kern w:val="24"/>
                                <w:sz w:val="14"/>
                                <w:szCs w:val="16"/>
                                <w:lang w:val="en-US"/>
                              </w:rPr>
                              <w:t>E</w:t>
                            </w:r>
                            <w:r>
                              <w:rPr>
                                <w:rFonts w:cs="Arial"/>
                                <w:b/>
                                <w:bCs/>
                                <w:color w:val="000000" w:themeColor="text1"/>
                                <w:kern w:val="24"/>
                                <w:sz w:val="14"/>
                                <w:szCs w:val="16"/>
                                <w:lang w:val="en-US"/>
                              </w:rPr>
                              <w:t>KT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4094768" id="_x0000_t202" coordsize="21600,21600" o:spt="202" path="m,l,21600r21600,l21600,xe">
                <v:stroke joinstyle="miter"/>
                <v:path gradientshapeok="t" o:connecttype="rect"/>
              </v:shapetype>
              <v:shape id="TextBox 15" o:spid="_x0000_s1045" type="#_x0000_t202" style="position:absolute;margin-left:-3.25pt;margin-top:123.05pt;width:30.6pt;height:15.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" filled="f" stroked="f">
                <v:path arrowok="t"/>
                <v:textbox>
                  <w:txbxContent>
                    <w:p w:rsidR="00DA0337" w:rsidRPr="00842227" w:rsidRDefault="00DA0337" w:rsidP="00E55AED">
                      <w:pPr>
                        <w:textAlignment w:val="baseline"/>
                      </w:pPr>
                      <w:r w:rsidRPr="00842227">
                        <w:rPr>
                          <w:rFonts w:cs="Arial"/>
                          <w:b/>
                          <w:bCs/>
                          <w:color w:val="000000" w:themeColor="text1"/>
                          <w:kern w:val="24"/>
                          <w:sz w:val="14"/>
                          <w:szCs w:val="16"/>
                          <w:lang w:val="en-US"/>
                        </w:rPr>
                        <w:t>E</w:t>
                      </w:r>
                      <w:r>
                        <w:rPr>
                          <w:rFonts w:cs="Arial"/>
                          <w:b/>
                          <w:bCs/>
                          <w:color w:val="000000" w:themeColor="text1"/>
                          <w:kern w:val="24"/>
                          <w:sz w:val="14"/>
                          <w:szCs w:val="16"/>
                          <w:lang w:val="en-US"/>
                        </w:rPr>
                        <w:t>KT</w:t>
                      </w:r>
                    </w:p>
                  </w:txbxContent>
                </v:textbox>
              </v:shape>
            </w:pict>
          </mc:Fallback>
        </mc:AlternateContent>
      </w:r>
      <w:r w:rsidR="00E55AED" w:rsidRPr="00EE40A0">
        <w:rPr>
          <w:rFonts w:ascii="Segoe UI" w:hAnsi="Segoe UI" w:cs="Segoe UI"/>
          <w:b/>
          <w:noProof/>
          <w:color w:val="000000"/>
          <w:sz w:val="20"/>
          <w:lang w:eastAsia="el-GR"/>
        </w:rPr>
        <w:drawing>
          <wp:inline distT="0" distB="0" distL="0" distR="0" wp14:anchorId="6B64273A" wp14:editId="7C41DD78">
            <wp:extent cx="3130278" cy="2322464"/>
            <wp:effectExtent l="0" t="0" r="13335" b="20955"/>
            <wp:docPr id="750847115"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E74B88">
        <w:rPr>
          <w:rFonts w:ascii="Segoe UI" w:hAnsi="Segoe UI" w:cs="Segoe UI"/>
          <w:b/>
          <w:color w:val="000000"/>
          <w:sz w:val="20"/>
        </w:rPr>
        <w:t xml:space="preserve">   </w:t>
      </w:r>
      <w:r w:rsidR="00E74B88" w:rsidRPr="00801AF8">
        <w:rPr>
          <w:rFonts w:ascii="Segoe UI" w:hAnsi="Segoe UI" w:cs="Segoe UI"/>
          <w:b/>
          <w:noProof/>
          <w:color w:val="000000"/>
          <w:sz w:val="20"/>
          <w:lang w:eastAsia="el-GR"/>
        </w:rPr>
        <w:drawing>
          <wp:inline distT="0" distB="0" distL="0" distR="0" wp14:anchorId="05DA391C" wp14:editId="1FCDAC09">
            <wp:extent cx="3132161" cy="2326944"/>
            <wp:effectExtent l="0" t="0" r="11430" b="16510"/>
            <wp:docPr id="750847107" name="Chart 75084710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6376C" w:rsidRPr="00E54A27" w:rsidRDefault="0016376C" w:rsidP="00E55AED">
      <w:pPr>
        <w:kinsoku w:val="0"/>
        <w:overflowPunct w:val="0"/>
        <w:spacing w:before="40"/>
        <w:ind w:left="547" w:hanging="547"/>
        <w:textAlignment w:val="baseline"/>
        <w:rPr>
          <w:rFonts w:ascii="Segoe UI" w:eastAsia="Segoe UI" w:hAnsi="Segoe UI" w:cs="Segoe UI"/>
          <w:b/>
          <w:color w:val="008080"/>
          <w:kern w:val="24"/>
          <w:sz w:val="18"/>
          <w:lang w:eastAsia="el-GR"/>
        </w:rPr>
      </w:pPr>
    </w:p>
    <w:p w:rsidR="00E55AED" w:rsidRPr="005B3204" w:rsidRDefault="008E01D0" w:rsidP="00E55AED">
      <w:pPr>
        <w:kinsoku w:val="0"/>
        <w:overflowPunct w:val="0"/>
        <w:spacing w:before="40"/>
        <w:ind w:left="547" w:hanging="547"/>
        <w:textAlignment w:val="baseline"/>
        <w:rPr>
          <w:rFonts w:ascii="Segoe UI" w:eastAsia="Segoe UI" w:hAnsi="Segoe UI" w:cs="Segoe UI"/>
          <w:b/>
          <w:color w:val="008080"/>
          <w:kern w:val="24"/>
          <w:sz w:val="18"/>
          <w:lang w:eastAsia="el-GR"/>
        </w:rPr>
      </w:pPr>
      <w:r w:rsidRPr="005B3204">
        <w:rPr>
          <w:rFonts w:ascii="Segoe UI" w:eastAsia="Segoe UI" w:hAnsi="Segoe UI" w:cs="Segoe UI"/>
          <w:b/>
          <w:color w:val="008080"/>
          <w:kern w:val="24"/>
          <w:sz w:val="18"/>
          <w:lang w:eastAsia="el-GR"/>
        </w:rPr>
        <w:t>Εγχώριες ροές καταθέσεων (€ δισ.</w:t>
      </w:r>
      <w:r w:rsidR="00E55AED" w:rsidRPr="005B3204">
        <w:rPr>
          <w:rFonts w:ascii="Segoe UI" w:eastAsia="Segoe UI" w:hAnsi="Segoe UI" w:cs="Segoe UI"/>
          <w:b/>
          <w:color w:val="008080"/>
          <w:kern w:val="24"/>
          <w:sz w:val="18"/>
          <w:lang w:eastAsia="el-GR"/>
        </w:rPr>
        <w:t>)</w:t>
      </w:r>
      <w:r w:rsidR="000A7D9C" w:rsidRPr="005B3204">
        <w:rPr>
          <w:noProof/>
          <w:sz w:val="22"/>
          <w:lang w:eastAsia="el-GR"/>
        </w:rPr>
        <w:t xml:space="preserve"> </w:t>
      </w:r>
    </w:p>
    <w:p w:rsidR="00E55AED" w:rsidRPr="00EE40A0" w:rsidRDefault="00312443" w:rsidP="0016376C">
      <w:pPr>
        <w:kinsoku w:val="0"/>
        <w:overflowPunct w:val="0"/>
        <w:spacing w:before="40"/>
        <w:ind w:left="547" w:hanging="547"/>
        <w:textAlignment w:val="baseline"/>
        <w:rPr>
          <w:rFonts w:ascii="Segoe UI" w:eastAsia="Segoe UI" w:hAnsi="Segoe UI" w:cs="Segoe UI"/>
          <w:b/>
          <w:color w:val="008080"/>
          <w:kern w:val="24"/>
          <w:sz w:val="18"/>
          <w:lang w:val="en-US" w:eastAsia="el-GR"/>
        </w:rPr>
      </w:pPr>
      <w:r>
        <w:rPr>
          <w:rFonts w:ascii="Segoe UI" w:hAnsi="Segoe UI" w:cs="Segoe UI"/>
          <w:noProof/>
          <w:lang w:eastAsia="el-GR"/>
        </w:rPr>
        <mc:AlternateContent>
          <mc:Choice Requires="wps">
            <w:drawing>
              <wp:anchor distT="0" distB="0" distL="114300" distR="114300" simplePos="0" relativeHeight="251674112" behindDoc="0" locked="0" layoutInCell="1" allowOverlap="1" wp14:anchorId="7CAAF0B4" wp14:editId="44E11CDB">
                <wp:simplePos x="0" y="0"/>
                <wp:positionH relativeFrom="column">
                  <wp:posOffset>-1259</wp:posOffset>
                </wp:positionH>
                <wp:positionV relativeFrom="paragraph">
                  <wp:posOffset>29430</wp:posOffset>
                </wp:positionV>
                <wp:extent cx="2006600" cy="1823085"/>
                <wp:effectExtent l="0" t="0" r="12700" b="24765"/>
                <wp:wrapNone/>
                <wp:docPr id="4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6600" cy="1823085"/>
                        </a:xfrm>
                        <a:prstGeom prst="rect">
                          <a:avLst/>
                        </a:prstGeom>
                        <a:noFill/>
                        <a:ln w="19050">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85632" id="Rectangle 40" o:spid="_x0000_s1026" style="position:absolute;margin-left:-.1pt;margin-top:2.3pt;width:158pt;height:143.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" filled="f" strokecolor="#7f7f7f [1612]" strokeweight="1.5pt">
                <v:stroke dashstyle="3 1"/>
                <v:path arrowok="t"/>
              </v:rect>
            </w:pict>
          </mc:Fallback>
        </mc:AlternateContent>
      </w:r>
      <w:r w:rsidR="00AA6B31">
        <w:rPr>
          <w:rFonts w:ascii="Segoe UI" w:hAnsi="Segoe UI" w:cs="Segoe UI"/>
          <w:noProof/>
          <w:lang w:eastAsia="el-GR"/>
        </w:rPr>
        <mc:AlternateContent>
          <mc:Choice Requires="wps">
            <w:drawing>
              <wp:anchor distT="0" distB="0" distL="114300" distR="114300" simplePos="0" relativeHeight="251730432" behindDoc="0" locked="0" layoutInCell="1" allowOverlap="1" wp14:anchorId="1992B2B2" wp14:editId="2BDE1A2D">
                <wp:simplePos x="0" y="0"/>
                <wp:positionH relativeFrom="column">
                  <wp:posOffset>2155245</wp:posOffset>
                </wp:positionH>
                <wp:positionV relativeFrom="paragraph">
                  <wp:posOffset>29430</wp:posOffset>
                </wp:positionV>
                <wp:extent cx="4225929" cy="1823515"/>
                <wp:effectExtent l="0" t="0" r="22225" b="24765"/>
                <wp:wrapNone/>
                <wp:docPr id="75084711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5929" cy="1823515"/>
                        </a:xfrm>
                        <a:prstGeom prst="rect">
                          <a:avLst/>
                        </a:prstGeom>
                        <a:noFill/>
                        <a:ln w="19050" cap="flat" cmpd="sng" algn="ctr">
                          <a:solidFill>
                            <a:sysClr val="window" lastClr="FFFFFF">
                              <a:lumMod val="50000"/>
                            </a:sys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EE42C" id="Rectangle 40" o:spid="_x0000_s1026" style="position:absolute;margin-left:169.7pt;margin-top:2.3pt;width:332.75pt;height:143.6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" filled="f" strokecolor="#7f7f7f" strokeweight="1.5pt">
                <v:stroke dashstyle="3 1"/>
                <v:path arrowok="t"/>
              </v:rect>
            </w:pict>
          </mc:Fallback>
        </mc:AlternateContent>
      </w:r>
      <w:r w:rsidR="00E55AED" w:rsidRPr="00EE40A0">
        <w:rPr>
          <w:rFonts w:ascii="Segoe UI" w:eastAsia="Segoe UI" w:hAnsi="Segoe UI" w:cs="Segoe UI"/>
          <w:b/>
          <w:noProof/>
          <w:color w:val="008080"/>
          <w:kern w:val="24"/>
          <w:sz w:val="18"/>
          <w:lang w:eastAsia="el-GR"/>
        </w:rPr>
        <w:drawing>
          <wp:inline distT="0" distB="0" distL="0" distR="0" wp14:anchorId="08321D9F" wp14:editId="05A71A0F">
            <wp:extent cx="6422066" cy="1871330"/>
            <wp:effectExtent l="0" t="0" r="0" b="0"/>
            <wp:docPr id="75084711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55AED" w:rsidRPr="00EE40A0" w:rsidRDefault="00312443" w:rsidP="00E55AED">
      <w:pPr>
        <w:kinsoku w:val="0"/>
        <w:overflowPunct w:val="0"/>
        <w:spacing w:before="40"/>
        <w:ind w:left="547" w:hanging="547"/>
        <w:textAlignment w:val="baseline"/>
        <w:rPr>
          <w:rFonts w:ascii="Segoe UI" w:eastAsia="Segoe UI" w:hAnsi="Segoe UI" w:cs="Segoe UI"/>
          <w:b/>
          <w:color w:val="008080"/>
          <w:kern w:val="24"/>
          <w:sz w:val="18"/>
          <w:lang w:val="en-US" w:eastAsia="el-GR"/>
        </w:rPr>
      </w:pPr>
      <w:r w:rsidRPr="004578EA">
        <w:rPr>
          <w:noProof/>
          <w:lang w:eastAsia="el-GR"/>
        </w:rPr>
        <mc:AlternateContent>
          <mc:Choice Requires="wps">
            <w:drawing>
              <wp:anchor distT="0" distB="0" distL="114300" distR="114300" simplePos="0" relativeHeight="251709952" behindDoc="0" locked="0" layoutInCell="1" allowOverlap="1" wp14:anchorId="16FE4C10" wp14:editId="34B8C3FA">
                <wp:simplePos x="0" y="0"/>
                <wp:positionH relativeFrom="page">
                  <wp:posOffset>6226175</wp:posOffset>
                </wp:positionH>
                <wp:positionV relativeFrom="paragraph">
                  <wp:posOffset>177800</wp:posOffset>
                </wp:positionV>
                <wp:extent cx="1049020" cy="461645"/>
                <wp:effectExtent l="0" t="133350" r="17780" b="14605"/>
                <wp:wrapNone/>
                <wp:docPr id="7" name="Rectangular Callout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9020" cy="461645"/>
                        </a:xfrm>
                        <a:prstGeom prst="wedgeRectCallout">
                          <a:avLst>
                            <a:gd name="adj1" fmla="val -18358"/>
                            <a:gd name="adj2" fmla="val -78711"/>
                          </a:avLst>
                        </a:prstGeom>
                        <a:solidFill>
                          <a:sysClr val="window" lastClr="FFFFFF"/>
                        </a:solidFill>
                        <a:ln w="9525" cap="flat" cmpd="sng" algn="ctr">
                          <a:solidFill>
                            <a:sysClr val="window" lastClr="FFFFFF">
                              <a:lumMod val="50000"/>
                            </a:sysClr>
                          </a:solidFill>
                          <a:prstDash val="solid"/>
                        </a:ln>
                        <a:effectLst/>
                      </wps:spPr>
                      <wps:txbx>
                        <w:txbxContent>
                          <w:p w:rsidR="00DA0337" w:rsidRPr="00D56836" w:rsidRDefault="00DA0337" w:rsidP="000A7D9C">
                            <w:pPr>
                              <w:pStyle w:val="NormalWeb"/>
                              <w:spacing w:before="0" w:beforeAutospacing="0" w:after="0" w:afterAutospacing="0"/>
                              <w:rPr>
                                <w:rFonts w:ascii="Segoe UI" w:hAnsi="Segoe UI" w:cs="Segoe UI"/>
                                <w:color w:val="000000"/>
                                <w:sz w:val="8"/>
                                <w:szCs w:val="14"/>
                              </w:rPr>
                            </w:pPr>
                            <w:r w:rsidRPr="00D56836">
                              <w:rPr>
                                <w:rFonts w:ascii="Segoe UI" w:hAnsi="Segoe UI" w:cs="Segoe UI"/>
                                <w:color w:val="000000"/>
                                <w:sz w:val="8"/>
                                <w:szCs w:val="14"/>
                              </w:rPr>
                              <w:t xml:space="preserve">Όψεως &amp; Ταμιευτηρίου: +€3,4 δισ.. </w:t>
                            </w:r>
                          </w:p>
                          <w:p w:rsidR="00DA0337" w:rsidRPr="00D56836" w:rsidRDefault="00DA0337" w:rsidP="000A7D9C">
                            <w:pPr>
                              <w:pStyle w:val="NormalWeb"/>
                              <w:spacing w:before="0" w:beforeAutospacing="0" w:after="0" w:afterAutospacing="0"/>
                              <w:rPr>
                                <w:rFonts w:ascii="Segoe UI" w:hAnsi="Segoe UI" w:cs="Segoe UI"/>
                                <w:color w:val="000000"/>
                                <w:sz w:val="8"/>
                                <w:szCs w:val="14"/>
                              </w:rPr>
                            </w:pPr>
                            <w:r w:rsidRPr="00D56836">
                              <w:rPr>
                                <w:rFonts w:ascii="Segoe UI" w:hAnsi="Segoe UI" w:cs="Segoe UI"/>
                                <w:color w:val="000000"/>
                                <w:sz w:val="8"/>
                                <w:szCs w:val="14"/>
                              </w:rPr>
                              <w:t>Προθεσμίας: -€0,5 δισ.</w:t>
                            </w:r>
                          </w:p>
                          <w:p w:rsidR="00DA0337" w:rsidRPr="00D56836" w:rsidRDefault="00DA0337" w:rsidP="000A7D9C">
                            <w:pPr>
                              <w:pStyle w:val="NormalWeb"/>
                              <w:spacing w:before="0" w:beforeAutospacing="0" w:after="0" w:afterAutospacing="0"/>
                              <w:rPr>
                                <w:rFonts w:ascii="Segoe UI" w:hAnsi="Segoe UI" w:cs="Segoe UI"/>
                                <w:color w:val="000000"/>
                                <w:sz w:val="2"/>
                                <w:szCs w:val="6"/>
                              </w:rPr>
                            </w:pPr>
                            <w:r w:rsidRPr="00D56836">
                              <w:rPr>
                                <w:rFonts w:ascii="Segoe UI" w:hAnsi="Segoe UI" w:cs="Segoe UI"/>
                                <w:color w:val="000000"/>
                                <w:sz w:val="2"/>
                                <w:szCs w:val="6"/>
                              </w:rPr>
                              <w:t xml:space="preserve"> </w:t>
                            </w:r>
                          </w:p>
                          <w:p w:rsidR="00DA0337" w:rsidRPr="00D56836" w:rsidRDefault="00DA0337" w:rsidP="000A7D9C">
                            <w:pPr>
                              <w:pStyle w:val="NormalWeb"/>
                              <w:spacing w:before="0" w:beforeAutospacing="0" w:after="0" w:afterAutospacing="0"/>
                              <w:rPr>
                                <w:rFonts w:ascii="Segoe UI" w:hAnsi="Segoe UI" w:cs="Segoe UI"/>
                                <w:color w:val="000000"/>
                                <w:sz w:val="8"/>
                                <w:szCs w:val="14"/>
                              </w:rPr>
                            </w:pPr>
                            <w:r w:rsidRPr="00D56836">
                              <w:rPr>
                                <w:rFonts w:ascii="Segoe UI" w:hAnsi="Segoe UI" w:cs="Segoe UI"/>
                                <w:i/>
                                <w:color w:val="000000"/>
                                <w:sz w:val="8"/>
                                <w:szCs w:val="14"/>
                              </w:rPr>
                              <w:t>εκ των οποίων</w:t>
                            </w:r>
                            <w:r w:rsidRPr="00D56836">
                              <w:rPr>
                                <w:rFonts w:ascii="Segoe UI" w:hAnsi="Segoe UI" w:cs="Segoe UI"/>
                                <w:color w:val="000000"/>
                                <w:sz w:val="8"/>
                                <w:szCs w:val="14"/>
                              </w:rPr>
                              <w:t>:</w:t>
                            </w:r>
                          </w:p>
                          <w:p w:rsidR="00DA0337" w:rsidRPr="00D56836" w:rsidRDefault="00DA0337" w:rsidP="000A7D9C">
                            <w:pPr>
                              <w:pStyle w:val="NormalWeb"/>
                              <w:spacing w:before="0" w:beforeAutospacing="0" w:after="0" w:afterAutospacing="0"/>
                              <w:rPr>
                                <w:rFonts w:ascii="Segoe UI" w:hAnsi="Segoe UI" w:cs="Segoe UI"/>
                                <w:color w:val="000000"/>
                                <w:sz w:val="8"/>
                                <w:szCs w:val="14"/>
                              </w:rPr>
                            </w:pPr>
                            <w:r w:rsidRPr="00D56836">
                              <w:rPr>
                                <w:rFonts w:ascii="Segoe UI" w:hAnsi="Segoe UI" w:cs="Segoe UI"/>
                                <w:color w:val="000000"/>
                                <w:sz w:val="8"/>
                                <w:szCs w:val="14"/>
                              </w:rPr>
                              <w:t>Ιδιώτες (</w:t>
                            </w:r>
                            <w:r w:rsidRPr="00D56836">
                              <w:rPr>
                                <w:rFonts w:ascii="Segoe UI" w:hAnsi="Segoe UI" w:cs="Segoe UI"/>
                                <w:color w:val="000000"/>
                                <w:sz w:val="8"/>
                                <w:szCs w:val="14"/>
                                <w:lang w:val="en-US"/>
                              </w:rPr>
                              <w:t>premium</w:t>
                            </w:r>
                            <w:r w:rsidRPr="00D56836">
                              <w:rPr>
                                <w:rFonts w:ascii="Segoe UI" w:hAnsi="Segoe UI" w:cs="Segoe UI"/>
                                <w:color w:val="000000"/>
                                <w:sz w:val="8"/>
                                <w:szCs w:val="14"/>
                              </w:rPr>
                              <w:t xml:space="preserve"> &amp; </w:t>
                            </w:r>
                            <w:r w:rsidRPr="00D56836">
                              <w:rPr>
                                <w:rFonts w:ascii="Segoe UI" w:hAnsi="Segoe UI" w:cs="Segoe UI"/>
                                <w:color w:val="000000"/>
                                <w:sz w:val="8"/>
                                <w:szCs w:val="14"/>
                                <w:lang w:val="en-US"/>
                              </w:rPr>
                              <w:t>mass</w:t>
                            </w:r>
                            <w:r w:rsidRPr="00D56836">
                              <w:rPr>
                                <w:rFonts w:ascii="Segoe UI" w:hAnsi="Segoe UI" w:cs="Segoe UI"/>
                                <w:color w:val="000000"/>
                                <w:sz w:val="8"/>
                                <w:szCs w:val="14"/>
                              </w:rPr>
                              <w:t>): +€1.0 δισ.</w:t>
                            </w:r>
                          </w:p>
                          <w:p w:rsidR="00DA0337" w:rsidRPr="000A7D9C" w:rsidRDefault="00DA0337" w:rsidP="000A7D9C">
                            <w:pPr>
                              <w:pStyle w:val="NormalWeb"/>
                              <w:spacing w:before="0" w:beforeAutospacing="0" w:after="0" w:afterAutospacing="0"/>
                              <w:rPr>
                                <w:rFonts w:ascii="Segoe UI" w:hAnsi="Segoe UI" w:cs="Segoe UI"/>
                                <w:color w:val="000000"/>
                                <w:sz w:val="8"/>
                                <w:szCs w:val="14"/>
                              </w:rPr>
                            </w:pPr>
                            <w:r w:rsidRPr="00D56836">
                              <w:rPr>
                                <w:rFonts w:ascii="Segoe UI" w:hAnsi="Segoe UI" w:cs="Segoe UI"/>
                                <w:color w:val="000000"/>
                                <w:sz w:val="8"/>
                                <w:szCs w:val="14"/>
                              </w:rPr>
                              <w:t>Επιχειρήσεις: +€1.9 δισ.</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16FE4C10" id="_x0000_s1046" type="#_x0000_t61" style="position:absolute;left:0;text-align:left;margin-left:490.25pt;margin-top:14pt;width:82.6pt;height:36.3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" adj="6835,-6202" fillcolor="window" strokecolor="#7f7f7f">
                <v:path arrowok="t"/>
                <v:textbox>
                  <w:txbxContent>
                    <w:p w:rsidR="00DA0337" w:rsidRPr="00D56836" w:rsidRDefault="00DA0337" w:rsidP="000A7D9C">
                      <w:pPr>
                        <w:pStyle w:val="Web"/>
                        <w:spacing w:before="0" w:beforeAutospacing="0" w:after="0" w:afterAutospacing="0"/>
                        <w:rPr>
                          <w:rFonts w:ascii="Segoe UI" w:hAnsi="Segoe UI" w:cs="Segoe UI"/>
                          <w:color w:val="000000"/>
                          <w:sz w:val="8"/>
                          <w:szCs w:val="14"/>
                        </w:rPr>
                      </w:pPr>
                      <w:r w:rsidRPr="00D56836">
                        <w:rPr>
                          <w:rFonts w:ascii="Segoe UI" w:hAnsi="Segoe UI" w:cs="Segoe UI"/>
                          <w:color w:val="000000"/>
                          <w:sz w:val="8"/>
                          <w:szCs w:val="14"/>
                        </w:rPr>
                        <w:t xml:space="preserve">Όψεως &amp; Ταμιευτηρίου: +€3,4 δισ.. </w:t>
                      </w:r>
                    </w:p>
                    <w:p w:rsidR="00DA0337" w:rsidRPr="00D56836" w:rsidRDefault="00DA0337" w:rsidP="000A7D9C">
                      <w:pPr>
                        <w:pStyle w:val="Web"/>
                        <w:spacing w:before="0" w:beforeAutospacing="0" w:after="0" w:afterAutospacing="0"/>
                        <w:rPr>
                          <w:rFonts w:ascii="Segoe UI" w:hAnsi="Segoe UI" w:cs="Segoe UI"/>
                          <w:color w:val="000000"/>
                          <w:sz w:val="8"/>
                          <w:szCs w:val="14"/>
                        </w:rPr>
                      </w:pPr>
                      <w:r w:rsidRPr="00D56836">
                        <w:rPr>
                          <w:rFonts w:ascii="Segoe UI" w:hAnsi="Segoe UI" w:cs="Segoe UI"/>
                          <w:color w:val="000000"/>
                          <w:sz w:val="8"/>
                          <w:szCs w:val="14"/>
                        </w:rPr>
                        <w:t>Προθεσμίας: -€0,5 δισ.</w:t>
                      </w:r>
                    </w:p>
                    <w:p w:rsidR="00DA0337" w:rsidRPr="00D56836" w:rsidRDefault="00DA0337" w:rsidP="000A7D9C">
                      <w:pPr>
                        <w:pStyle w:val="Web"/>
                        <w:spacing w:before="0" w:beforeAutospacing="0" w:after="0" w:afterAutospacing="0"/>
                        <w:rPr>
                          <w:rFonts w:ascii="Segoe UI" w:hAnsi="Segoe UI" w:cs="Segoe UI"/>
                          <w:color w:val="000000"/>
                          <w:sz w:val="2"/>
                          <w:szCs w:val="6"/>
                        </w:rPr>
                      </w:pPr>
                      <w:r w:rsidRPr="00D56836">
                        <w:rPr>
                          <w:rFonts w:ascii="Segoe UI" w:hAnsi="Segoe UI" w:cs="Segoe UI"/>
                          <w:color w:val="000000"/>
                          <w:sz w:val="2"/>
                          <w:szCs w:val="6"/>
                        </w:rPr>
                        <w:t xml:space="preserve"> </w:t>
                      </w:r>
                    </w:p>
                    <w:p w:rsidR="00DA0337" w:rsidRPr="00D56836" w:rsidRDefault="00DA0337" w:rsidP="000A7D9C">
                      <w:pPr>
                        <w:pStyle w:val="Web"/>
                        <w:spacing w:before="0" w:beforeAutospacing="0" w:after="0" w:afterAutospacing="0"/>
                        <w:rPr>
                          <w:rFonts w:ascii="Segoe UI" w:hAnsi="Segoe UI" w:cs="Segoe UI"/>
                          <w:color w:val="000000"/>
                          <w:sz w:val="8"/>
                          <w:szCs w:val="14"/>
                        </w:rPr>
                      </w:pPr>
                      <w:r w:rsidRPr="00D56836">
                        <w:rPr>
                          <w:rFonts w:ascii="Segoe UI" w:hAnsi="Segoe UI" w:cs="Segoe UI"/>
                          <w:i/>
                          <w:color w:val="000000"/>
                          <w:sz w:val="8"/>
                          <w:szCs w:val="14"/>
                        </w:rPr>
                        <w:t>εκ των οποίων</w:t>
                      </w:r>
                      <w:r w:rsidRPr="00D56836">
                        <w:rPr>
                          <w:rFonts w:ascii="Segoe UI" w:hAnsi="Segoe UI" w:cs="Segoe UI"/>
                          <w:color w:val="000000"/>
                          <w:sz w:val="8"/>
                          <w:szCs w:val="14"/>
                        </w:rPr>
                        <w:t>:</w:t>
                      </w:r>
                    </w:p>
                    <w:p w:rsidR="00DA0337" w:rsidRPr="00D56836" w:rsidRDefault="00DA0337" w:rsidP="000A7D9C">
                      <w:pPr>
                        <w:pStyle w:val="Web"/>
                        <w:spacing w:before="0" w:beforeAutospacing="0" w:after="0" w:afterAutospacing="0"/>
                        <w:rPr>
                          <w:rFonts w:ascii="Segoe UI" w:hAnsi="Segoe UI" w:cs="Segoe UI"/>
                          <w:color w:val="000000"/>
                          <w:sz w:val="8"/>
                          <w:szCs w:val="14"/>
                        </w:rPr>
                      </w:pPr>
                      <w:r w:rsidRPr="00D56836">
                        <w:rPr>
                          <w:rFonts w:ascii="Segoe UI" w:hAnsi="Segoe UI" w:cs="Segoe UI"/>
                          <w:color w:val="000000"/>
                          <w:sz w:val="8"/>
                          <w:szCs w:val="14"/>
                        </w:rPr>
                        <w:t>Ιδιώτες (</w:t>
                      </w:r>
                      <w:r w:rsidRPr="00D56836">
                        <w:rPr>
                          <w:rFonts w:ascii="Segoe UI" w:hAnsi="Segoe UI" w:cs="Segoe UI"/>
                          <w:color w:val="000000"/>
                          <w:sz w:val="8"/>
                          <w:szCs w:val="14"/>
                          <w:lang w:val="en-US"/>
                        </w:rPr>
                        <w:t>premium</w:t>
                      </w:r>
                      <w:r w:rsidRPr="00D56836">
                        <w:rPr>
                          <w:rFonts w:ascii="Segoe UI" w:hAnsi="Segoe UI" w:cs="Segoe UI"/>
                          <w:color w:val="000000"/>
                          <w:sz w:val="8"/>
                          <w:szCs w:val="14"/>
                        </w:rPr>
                        <w:t xml:space="preserve"> &amp; </w:t>
                      </w:r>
                      <w:r w:rsidRPr="00D56836">
                        <w:rPr>
                          <w:rFonts w:ascii="Segoe UI" w:hAnsi="Segoe UI" w:cs="Segoe UI"/>
                          <w:color w:val="000000"/>
                          <w:sz w:val="8"/>
                          <w:szCs w:val="14"/>
                          <w:lang w:val="en-US"/>
                        </w:rPr>
                        <w:t>mass</w:t>
                      </w:r>
                      <w:r w:rsidRPr="00D56836">
                        <w:rPr>
                          <w:rFonts w:ascii="Segoe UI" w:hAnsi="Segoe UI" w:cs="Segoe UI"/>
                          <w:color w:val="000000"/>
                          <w:sz w:val="8"/>
                          <w:szCs w:val="14"/>
                        </w:rPr>
                        <w:t>): +€1.0 δισ.</w:t>
                      </w:r>
                    </w:p>
                    <w:p w:rsidR="00DA0337" w:rsidRPr="000A7D9C" w:rsidRDefault="00DA0337" w:rsidP="000A7D9C">
                      <w:pPr>
                        <w:pStyle w:val="Web"/>
                        <w:spacing w:before="0" w:beforeAutospacing="0" w:after="0" w:afterAutospacing="0"/>
                        <w:rPr>
                          <w:rFonts w:ascii="Segoe UI" w:hAnsi="Segoe UI" w:cs="Segoe UI"/>
                          <w:color w:val="000000"/>
                          <w:sz w:val="8"/>
                          <w:szCs w:val="14"/>
                        </w:rPr>
                      </w:pPr>
                      <w:r w:rsidRPr="00D56836">
                        <w:rPr>
                          <w:rFonts w:ascii="Segoe UI" w:hAnsi="Segoe UI" w:cs="Segoe UI"/>
                          <w:color w:val="000000"/>
                          <w:sz w:val="8"/>
                          <w:szCs w:val="14"/>
                        </w:rPr>
                        <w:t>Επιχειρήσεις: +€1.9 δισ.</w:t>
                      </w:r>
                    </w:p>
                  </w:txbxContent>
                </v:textbox>
                <w10:wrap anchorx="page"/>
              </v:shape>
            </w:pict>
          </mc:Fallback>
        </mc:AlternateContent>
      </w:r>
      <w:r>
        <w:rPr>
          <w:rFonts w:ascii="Segoe UI" w:hAnsi="Segoe UI" w:cs="Segoe UI"/>
          <w:noProof/>
          <w:lang w:eastAsia="el-GR"/>
        </w:rPr>
        <mc:AlternateContent>
          <mc:Choice Requires="wps">
            <w:drawing>
              <wp:anchor distT="0" distB="0" distL="114300" distR="114300" simplePos="0" relativeHeight="251664896" behindDoc="0" locked="0" layoutInCell="1" allowOverlap="1" wp14:anchorId="76365E1D" wp14:editId="1EC57EE4">
                <wp:simplePos x="0" y="0"/>
                <wp:positionH relativeFrom="column">
                  <wp:posOffset>3806825</wp:posOffset>
                </wp:positionH>
                <wp:positionV relativeFrom="paragraph">
                  <wp:posOffset>102029</wp:posOffset>
                </wp:positionV>
                <wp:extent cx="810260" cy="245110"/>
                <wp:effectExtent l="0" t="76200" r="27940" b="21590"/>
                <wp:wrapNone/>
                <wp:docPr id="38" name="Rectangular Callout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0260" cy="245110"/>
                        </a:xfrm>
                        <a:prstGeom prst="wedgeRectCallout">
                          <a:avLst>
                            <a:gd name="adj1" fmla="val -3033"/>
                            <a:gd name="adj2" fmla="val -73557"/>
                          </a:avLst>
                        </a:prstGeom>
                        <a:solidFill>
                          <a:srgbClr val="FFFFFF"/>
                        </a:solidFill>
                        <a:ln w="12700" cap="flat" cmpd="sng" algn="ctr">
                          <a:solidFill>
                            <a:srgbClr val="56608A"/>
                          </a:solidFill>
                          <a:prstDash val="solid"/>
                        </a:ln>
                        <a:effectLst/>
                      </wps:spPr>
                      <wps:txbx>
                        <w:txbxContent>
                          <w:p w:rsidR="00DA0337" w:rsidRPr="009815F1" w:rsidRDefault="00DA0337" w:rsidP="00E55AED">
                            <w:pPr>
                              <w:jc w:val="center"/>
                              <w:textAlignment w:val="baseline"/>
                              <w:rPr>
                                <w:color w:val="008080"/>
                              </w:rPr>
                            </w:pPr>
                            <w:r w:rsidRPr="009815F1">
                              <w:rPr>
                                <w:rFonts w:ascii="Segoe UI" w:eastAsia="+mn-ea" w:hAnsi="Segoe UI" w:cs="+mn-cs"/>
                                <w:b/>
                                <w:bCs/>
                                <w:color w:val="008080"/>
                                <w:kern w:val="24"/>
                                <w:sz w:val="16"/>
                                <w:szCs w:val="16"/>
                                <w:lang w:val="en-US"/>
                              </w:rPr>
                              <w:t>+</w:t>
                            </w:r>
                            <w:r w:rsidRPr="009815F1">
                              <w:rPr>
                                <w:rFonts w:ascii="Segoe UI" w:eastAsia="+mn-ea" w:hAnsi="Segoe UI" w:cs="+mn-cs"/>
                                <w:b/>
                                <w:bCs/>
                                <w:color w:val="008080"/>
                                <w:kern w:val="24"/>
                                <w:sz w:val="16"/>
                                <w:szCs w:val="16"/>
                              </w:rPr>
                              <w:t>€1</w:t>
                            </w:r>
                            <w:r w:rsidRPr="009815F1">
                              <w:rPr>
                                <w:rFonts w:ascii="Segoe UI" w:eastAsia="+mn-ea" w:hAnsi="Segoe UI" w:cs="+mn-cs"/>
                                <w:b/>
                                <w:bCs/>
                                <w:color w:val="008080"/>
                                <w:kern w:val="24"/>
                                <w:sz w:val="16"/>
                                <w:szCs w:val="16"/>
                                <w:lang w:val="en-US"/>
                              </w:rPr>
                              <w:t>4</w:t>
                            </w:r>
                            <w:r w:rsidRPr="009815F1">
                              <w:rPr>
                                <w:rFonts w:ascii="Segoe UI" w:eastAsia="+mn-ea" w:hAnsi="Segoe UI" w:cs="+mn-cs"/>
                                <w:b/>
                                <w:bCs/>
                                <w:color w:val="008080"/>
                                <w:kern w:val="24"/>
                                <w:sz w:val="16"/>
                                <w:szCs w:val="16"/>
                              </w:rPr>
                              <w:t>,</w:t>
                            </w:r>
                            <w:r>
                              <w:rPr>
                                <w:rFonts w:ascii="Segoe UI" w:eastAsia="+mn-ea" w:hAnsi="Segoe UI" w:cs="+mn-cs"/>
                                <w:b/>
                                <w:bCs/>
                                <w:color w:val="008080"/>
                                <w:kern w:val="24"/>
                                <w:sz w:val="16"/>
                                <w:szCs w:val="16"/>
                                <w:lang w:val="en-US"/>
                              </w:rPr>
                              <w:t>1</w:t>
                            </w:r>
                            <w:r w:rsidRPr="009815F1">
                              <w:rPr>
                                <w:rFonts w:ascii="Segoe UI" w:eastAsia="+mn-ea" w:hAnsi="Segoe UI" w:cs="+mn-cs"/>
                                <w:b/>
                                <w:bCs/>
                                <w:color w:val="008080"/>
                                <w:kern w:val="24"/>
                                <w:sz w:val="16"/>
                                <w:szCs w:val="16"/>
                              </w:rPr>
                              <w:t xml:space="preserve"> δισ.</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76365E1D" id="Rectangular Callout 37" o:spid="_x0000_s1047" type="#_x0000_t61" style="position:absolute;left:0;text-align:left;margin-left:299.75pt;margin-top:8.05pt;width:63.8pt;height:19.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" adj="10145,-5088" strokecolor="#56608a" strokeweight="1pt">
                <v:path arrowok="t"/>
                <v:textbox>
                  <w:txbxContent>
                    <w:p w:rsidR="00DA0337" w:rsidRPr="009815F1" w:rsidRDefault="00DA0337" w:rsidP="00E55AED">
                      <w:pPr>
                        <w:jc w:val="center"/>
                        <w:textAlignment w:val="baseline"/>
                        <w:rPr>
                          <w:color w:val="008080"/>
                        </w:rPr>
                      </w:pPr>
                      <w:r w:rsidRPr="009815F1">
                        <w:rPr>
                          <w:rFonts w:ascii="Segoe UI" w:eastAsia="+mn-ea" w:hAnsi="Segoe UI" w:cs="+mn-cs"/>
                          <w:b/>
                          <w:bCs/>
                          <w:color w:val="008080"/>
                          <w:kern w:val="24"/>
                          <w:sz w:val="16"/>
                          <w:szCs w:val="16"/>
                          <w:lang w:val="en-US"/>
                        </w:rPr>
                        <w:t>+</w:t>
                      </w:r>
                      <w:r w:rsidRPr="009815F1">
                        <w:rPr>
                          <w:rFonts w:ascii="Segoe UI" w:eastAsia="+mn-ea" w:hAnsi="Segoe UI" w:cs="+mn-cs"/>
                          <w:b/>
                          <w:bCs/>
                          <w:color w:val="008080"/>
                          <w:kern w:val="24"/>
                          <w:sz w:val="16"/>
                          <w:szCs w:val="16"/>
                        </w:rPr>
                        <w:t>€1</w:t>
                      </w:r>
                      <w:r w:rsidRPr="009815F1">
                        <w:rPr>
                          <w:rFonts w:ascii="Segoe UI" w:eastAsia="+mn-ea" w:hAnsi="Segoe UI" w:cs="+mn-cs"/>
                          <w:b/>
                          <w:bCs/>
                          <w:color w:val="008080"/>
                          <w:kern w:val="24"/>
                          <w:sz w:val="16"/>
                          <w:szCs w:val="16"/>
                          <w:lang w:val="en-US"/>
                        </w:rPr>
                        <w:t>4</w:t>
                      </w:r>
                      <w:r w:rsidRPr="009815F1">
                        <w:rPr>
                          <w:rFonts w:ascii="Segoe UI" w:eastAsia="+mn-ea" w:hAnsi="Segoe UI" w:cs="+mn-cs"/>
                          <w:b/>
                          <w:bCs/>
                          <w:color w:val="008080"/>
                          <w:kern w:val="24"/>
                          <w:sz w:val="16"/>
                          <w:szCs w:val="16"/>
                        </w:rPr>
                        <w:t>,</w:t>
                      </w:r>
                      <w:r>
                        <w:rPr>
                          <w:rFonts w:ascii="Segoe UI" w:eastAsia="+mn-ea" w:hAnsi="Segoe UI" w:cs="+mn-cs"/>
                          <w:b/>
                          <w:bCs/>
                          <w:color w:val="008080"/>
                          <w:kern w:val="24"/>
                          <w:sz w:val="16"/>
                          <w:szCs w:val="16"/>
                          <w:lang w:val="en-US"/>
                        </w:rPr>
                        <w:t>1</w:t>
                      </w:r>
                      <w:r w:rsidRPr="009815F1">
                        <w:rPr>
                          <w:rFonts w:ascii="Segoe UI" w:eastAsia="+mn-ea" w:hAnsi="Segoe UI" w:cs="+mn-cs"/>
                          <w:b/>
                          <w:bCs/>
                          <w:color w:val="008080"/>
                          <w:kern w:val="24"/>
                          <w:sz w:val="16"/>
                          <w:szCs w:val="16"/>
                        </w:rPr>
                        <w:t xml:space="preserve"> δισ.</w:t>
                      </w:r>
                    </w:p>
                  </w:txbxContent>
                </v:textbox>
              </v:shape>
            </w:pict>
          </mc:Fallback>
        </mc:AlternateContent>
      </w:r>
      <w:r>
        <w:rPr>
          <w:rFonts w:ascii="Segoe UI" w:hAnsi="Segoe UI" w:cs="Segoe UI"/>
          <w:noProof/>
          <w:lang w:eastAsia="el-GR"/>
        </w:rPr>
        <mc:AlternateContent>
          <mc:Choice Requires="wps">
            <w:drawing>
              <wp:anchor distT="0" distB="0" distL="114300" distR="114300" simplePos="0" relativeHeight="251665920" behindDoc="0" locked="0" layoutInCell="1" allowOverlap="1" wp14:anchorId="627ACFD0" wp14:editId="1C835A92">
                <wp:simplePos x="0" y="0"/>
                <wp:positionH relativeFrom="column">
                  <wp:posOffset>638810</wp:posOffset>
                </wp:positionH>
                <wp:positionV relativeFrom="paragraph">
                  <wp:posOffset>93139</wp:posOffset>
                </wp:positionV>
                <wp:extent cx="810260" cy="245110"/>
                <wp:effectExtent l="0" t="76200" r="27940" b="21590"/>
                <wp:wrapNone/>
                <wp:docPr id="24" name="Rectangular Callout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0260" cy="245110"/>
                        </a:xfrm>
                        <a:prstGeom prst="wedgeRectCallout">
                          <a:avLst>
                            <a:gd name="adj1" fmla="val -3033"/>
                            <a:gd name="adj2" fmla="val -73557"/>
                          </a:avLst>
                        </a:prstGeom>
                        <a:solidFill>
                          <a:srgbClr val="FFFFFF"/>
                        </a:solidFill>
                        <a:ln w="12700" cap="flat" cmpd="sng" algn="ctr">
                          <a:solidFill>
                            <a:srgbClr val="56608A"/>
                          </a:solidFill>
                          <a:prstDash val="solid"/>
                        </a:ln>
                        <a:effectLst/>
                      </wps:spPr>
                      <wps:txbx>
                        <w:txbxContent>
                          <w:p w:rsidR="00DA0337" w:rsidRPr="00D23243" w:rsidRDefault="00DA0337" w:rsidP="00E55AED">
                            <w:pPr>
                              <w:jc w:val="center"/>
                              <w:textAlignment w:val="baseline"/>
                              <w:rPr>
                                <w:color w:val="FF0000"/>
                              </w:rPr>
                            </w:pPr>
                            <w:r w:rsidRPr="00D23243">
                              <w:rPr>
                                <w:rFonts w:ascii="Segoe UI" w:eastAsia="+mn-ea" w:hAnsi="Segoe UI" w:cs="+mn-cs"/>
                                <w:b/>
                                <w:bCs/>
                                <w:color w:val="FF0000"/>
                                <w:kern w:val="24"/>
                                <w:sz w:val="16"/>
                                <w:szCs w:val="16"/>
                                <w:lang w:val="en-US"/>
                              </w:rPr>
                              <w:t>-</w:t>
                            </w:r>
                            <w:r w:rsidRPr="00D23243">
                              <w:rPr>
                                <w:rFonts w:ascii="Segoe UI" w:eastAsia="+mn-ea" w:hAnsi="Segoe UI" w:cs="+mn-cs"/>
                                <w:b/>
                                <w:bCs/>
                                <w:color w:val="FF0000"/>
                                <w:kern w:val="24"/>
                                <w:sz w:val="16"/>
                                <w:szCs w:val="16"/>
                              </w:rPr>
                              <w:t>€</w:t>
                            </w:r>
                            <w:r w:rsidRPr="00D23243">
                              <w:rPr>
                                <w:rFonts w:ascii="Segoe UI" w:eastAsia="+mn-ea" w:hAnsi="Segoe UI" w:cs="+mn-cs"/>
                                <w:b/>
                                <w:bCs/>
                                <w:color w:val="FF0000"/>
                                <w:kern w:val="24"/>
                                <w:sz w:val="16"/>
                                <w:szCs w:val="16"/>
                                <w:lang w:val="en-US"/>
                              </w:rPr>
                              <w:t>10</w:t>
                            </w:r>
                            <w:r>
                              <w:rPr>
                                <w:rFonts w:ascii="Segoe UI" w:eastAsia="+mn-ea" w:hAnsi="Segoe UI" w:cs="+mn-cs"/>
                                <w:b/>
                                <w:bCs/>
                                <w:color w:val="FF0000"/>
                                <w:kern w:val="24"/>
                                <w:sz w:val="16"/>
                                <w:szCs w:val="16"/>
                                <w:lang w:val="en-US"/>
                              </w:rPr>
                              <w:t>,</w:t>
                            </w:r>
                            <w:r w:rsidRPr="00D23243">
                              <w:rPr>
                                <w:rFonts w:ascii="Segoe UI" w:eastAsia="+mn-ea" w:hAnsi="Segoe UI" w:cs="+mn-cs"/>
                                <w:b/>
                                <w:bCs/>
                                <w:color w:val="FF0000"/>
                                <w:kern w:val="24"/>
                                <w:sz w:val="16"/>
                                <w:szCs w:val="16"/>
                                <w:lang w:val="en-US"/>
                              </w:rPr>
                              <w:t>6</w:t>
                            </w:r>
                            <w:r>
                              <w:rPr>
                                <w:rFonts w:ascii="Segoe UI" w:eastAsia="+mn-ea" w:hAnsi="Segoe UI" w:cs="+mn-cs"/>
                                <w:b/>
                                <w:bCs/>
                                <w:color w:val="FF0000"/>
                                <w:kern w:val="24"/>
                                <w:sz w:val="16"/>
                                <w:szCs w:val="16"/>
                              </w:rPr>
                              <w:t xml:space="preserve"> δισ.</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627ACFD0" id="_x0000_s1048" type="#_x0000_t61" style="position:absolute;left:0;text-align:left;margin-left:50.3pt;margin-top:7.35pt;width:63.8pt;height:19.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" adj="10145,-5088" strokecolor="#56608a" strokeweight="1pt">
                <v:path arrowok="t"/>
                <v:textbox>
                  <w:txbxContent>
                    <w:p w:rsidR="00DA0337" w:rsidRPr="00D23243" w:rsidRDefault="00DA0337" w:rsidP="00E55AED">
                      <w:pPr>
                        <w:jc w:val="center"/>
                        <w:textAlignment w:val="baseline"/>
                        <w:rPr>
                          <w:color w:val="FF0000"/>
                        </w:rPr>
                      </w:pPr>
                      <w:r w:rsidRPr="00D23243">
                        <w:rPr>
                          <w:rFonts w:ascii="Segoe UI" w:eastAsia="+mn-ea" w:hAnsi="Segoe UI" w:cs="+mn-cs"/>
                          <w:b/>
                          <w:bCs/>
                          <w:color w:val="FF0000"/>
                          <w:kern w:val="24"/>
                          <w:sz w:val="16"/>
                          <w:szCs w:val="16"/>
                          <w:lang w:val="en-US"/>
                        </w:rPr>
                        <w:t>-</w:t>
                      </w:r>
                      <w:r w:rsidRPr="00D23243">
                        <w:rPr>
                          <w:rFonts w:ascii="Segoe UI" w:eastAsia="+mn-ea" w:hAnsi="Segoe UI" w:cs="+mn-cs"/>
                          <w:b/>
                          <w:bCs/>
                          <w:color w:val="FF0000"/>
                          <w:kern w:val="24"/>
                          <w:sz w:val="16"/>
                          <w:szCs w:val="16"/>
                        </w:rPr>
                        <w:t>€</w:t>
                      </w:r>
                      <w:r w:rsidRPr="00D23243">
                        <w:rPr>
                          <w:rFonts w:ascii="Segoe UI" w:eastAsia="+mn-ea" w:hAnsi="Segoe UI" w:cs="+mn-cs"/>
                          <w:b/>
                          <w:bCs/>
                          <w:color w:val="FF0000"/>
                          <w:kern w:val="24"/>
                          <w:sz w:val="16"/>
                          <w:szCs w:val="16"/>
                          <w:lang w:val="en-US"/>
                        </w:rPr>
                        <w:t>10</w:t>
                      </w:r>
                      <w:r>
                        <w:rPr>
                          <w:rFonts w:ascii="Segoe UI" w:eastAsia="+mn-ea" w:hAnsi="Segoe UI" w:cs="+mn-cs"/>
                          <w:b/>
                          <w:bCs/>
                          <w:color w:val="FF0000"/>
                          <w:kern w:val="24"/>
                          <w:sz w:val="16"/>
                          <w:szCs w:val="16"/>
                          <w:lang w:val="en-US"/>
                        </w:rPr>
                        <w:t>,</w:t>
                      </w:r>
                      <w:r w:rsidRPr="00D23243">
                        <w:rPr>
                          <w:rFonts w:ascii="Segoe UI" w:eastAsia="+mn-ea" w:hAnsi="Segoe UI" w:cs="+mn-cs"/>
                          <w:b/>
                          <w:bCs/>
                          <w:color w:val="FF0000"/>
                          <w:kern w:val="24"/>
                          <w:sz w:val="16"/>
                          <w:szCs w:val="16"/>
                          <w:lang w:val="en-US"/>
                        </w:rPr>
                        <w:t>6</w:t>
                      </w:r>
                      <w:r>
                        <w:rPr>
                          <w:rFonts w:ascii="Segoe UI" w:eastAsia="+mn-ea" w:hAnsi="Segoe UI" w:cs="+mn-cs"/>
                          <w:b/>
                          <w:bCs/>
                          <w:color w:val="FF0000"/>
                          <w:kern w:val="24"/>
                          <w:sz w:val="16"/>
                          <w:szCs w:val="16"/>
                        </w:rPr>
                        <w:t xml:space="preserve"> δισ.</w:t>
                      </w:r>
                    </w:p>
                  </w:txbxContent>
                </v:textbox>
              </v:shape>
            </w:pict>
          </mc:Fallback>
        </mc:AlternateContent>
      </w:r>
    </w:p>
    <w:p w:rsidR="00E55AED" w:rsidRPr="00EE40A0" w:rsidRDefault="00E55AED" w:rsidP="00E55AED">
      <w:pPr>
        <w:kinsoku w:val="0"/>
        <w:overflowPunct w:val="0"/>
        <w:spacing w:before="40"/>
        <w:ind w:left="547" w:hanging="547"/>
        <w:textAlignment w:val="baseline"/>
        <w:rPr>
          <w:rFonts w:ascii="Segoe UI" w:eastAsia="Segoe UI" w:hAnsi="Segoe UI" w:cs="Segoe UI"/>
          <w:b/>
          <w:color w:val="008080"/>
          <w:kern w:val="24"/>
          <w:sz w:val="18"/>
          <w:lang w:val="en-US" w:eastAsia="el-GR"/>
        </w:rPr>
      </w:pPr>
    </w:p>
    <w:p w:rsidR="00E55AED" w:rsidRPr="00EE40A0" w:rsidRDefault="00E55AED" w:rsidP="00E55AED">
      <w:pPr>
        <w:kinsoku w:val="0"/>
        <w:overflowPunct w:val="0"/>
        <w:spacing w:before="40"/>
        <w:ind w:left="547" w:hanging="547"/>
        <w:textAlignment w:val="baseline"/>
        <w:rPr>
          <w:rFonts w:ascii="Segoe UI" w:eastAsia="Segoe UI" w:hAnsi="Segoe UI" w:cs="Segoe UI"/>
          <w:b/>
          <w:color w:val="008080"/>
          <w:kern w:val="24"/>
          <w:sz w:val="18"/>
          <w:lang w:val="en-US" w:eastAsia="el-GR"/>
        </w:rPr>
      </w:pPr>
    </w:p>
    <w:p w:rsidR="00E55AED" w:rsidRPr="00EE40A0" w:rsidRDefault="00E55AED" w:rsidP="00E55AED">
      <w:pPr>
        <w:autoSpaceDE w:val="0"/>
        <w:autoSpaceDN w:val="0"/>
        <w:adjustRightInd w:val="0"/>
        <w:spacing w:after="160" w:line="320" w:lineRule="atLeast"/>
        <w:jc w:val="both"/>
        <w:rPr>
          <w:rFonts w:ascii="Segoe UI" w:hAnsi="Segoe UI" w:cs="Segoe UI"/>
          <w:noProof/>
          <w:color w:val="000000"/>
          <w:sz w:val="2"/>
          <w:lang w:val="en-US" w:eastAsia="el-GR"/>
        </w:rPr>
      </w:pPr>
      <w:r w:rsidRPr="00EE40A0">
        <w:rPr>
          <w:rFonts w:ascii="Segoe UI" w:hAnsi="Segoe UI" w:cs="Segoe UI"/>
          <w:noProof/>
          <w:color w:val="000000"/>
          <w:sz w:val="2"/>
          <w:lang w:val="en-US" w:eastAsia="el-GR"/>
        </w:rPr>
        <w:br w:type="page"/>
      </w:r>
    </w:p>
    <w:p w:rsidR="009450BE" w:rsidRPr="000F701B" w:rsidRDefault="000F701B" w:rsidP="009450BE">
      <w:pPr>
        <w:pStyle w:val="TITLE2"/>
        <w:rPr>
          <w:rFonts w:ascii="Segoe UI" w:hAnsi="Segoe UI" w:cs="Segoe UI"/>
          <w:sz w:val="18"/>
          <w:szCs w:val="18"/>
          <w:lang w:val="el-GR"/>
        </w:rPr>
      </w:pPr>
      <w:r>
        <w:rPr>
          <w:rFonts w:ascii="Segoe UI" w:hAnsi="Segoe UI" w:cs="Segoe UI"/>
          <w:sz w:val="18"/>
          <w:szCs w:val="18"/>
          <w:lang w:val="el-GR"/>
        </w:rPr>
        <w:lastRenderedPageBreak/>
        <w:t>Ο</w:t>
      </w:r>
      <w:r w:rsidRPr="000F701B">
        <w:rPr>
          <w:rFonts w:ascii="Segoe UI" w:hAnsi="Segoe UI" w:cs="Segoe UI"/>
          <w:sz w:val="18"/>
          <w:szCs w:val="18"/>
          <w:lang w:val="el-GR"/>
        </w:rPr>
        <w:t>ρισμ</w:t>
      </w:r>
      <w:r>
        <w:rPr>
          <w:rFonts w:ascii="Segoe UI" w:hAnsi="Segoe UI" w:cs="Segoe UI"/>
          <w:sz w:val="18"/>
          <w:szCs w:val="18"/>
          <w:lang w:val="el-GR"/>
        </w:rPr>
        <w:t>ός</w:t>
      </w:r>
      <w:r w:rsidRPr="000F701B">
        <w:rPr>
          <w:rFonts w:ascii="Segoe UI" w:hAnsi="Segoe UI" w:cs="Segoe UI"/>
          <w:sz w:val="18"/>
          <w:szCs w:val="18"/>
          <w:lang w:val="el-GR"/>
        </w:rPr>
        <w:t xml:space="preserve"> των </w:t>
      </w:r>
      <w:r>
        <w:rPr>
          <w:rFonts w:ascii="Segoe UI" w:hAnsi="Segoe UI" w:cs="Segoe UI"/>
          <w:sz w:val="18"/>
          <w:szCs w:val="18"/>
          <w:lang w:val="el-GR"/>
        </w:rPr>
        <w:t>Χ</w:t>
      </w:r>
      <w:r w:rsidRPr="000F701B">
        <w:rPr>
          <w:rFonts w:ascii="Segoe UI" w:hAnsi="Segoe UI" w:cs="Segoe UI"/>
          <w:sz w:val="18"/>
          <w:szCs w:val="18"/>
          <w:lang w:val="el-GR"/>
        </w:rPr>
        <w:t>ρηματοοικονομικ</w:t>
      </w:r>
      <w:r>
        <w:rPr>
          <w:rFonts w:ascii="Segoe UI" w:hAnsi="Segoe UI" w:cs="Segoe UI"/>
          <w:sz w:val="18"/>
          <w:szCs w:val="18"/>
          <w:lang w:val="el-GR"/>
        </w:rPr>
        <w:t>ώ</w:t>
      </w:r>
      <w:r w:rsidRPr="000F701B">
        <w:rPr>
          <w:rFonts w:ascii="Segoe UI" w:hAnsi="Segoe UI" w:cs="Segoe UI"/>
          <w:sz w:val="18"/>
          <w:szCs w:val="18"/>
          <w:lang w:val="el-GR"/>
        </w:rPr>
        <w:t xml:space="preserve">ν </w:t>
      </w:r>
      <w:r>
        <w:rPr>
          <w:rFonts w:ascii="Segoe UI" w:hAnsi="Segoe UI" w:cs="Segoe UI"/>
          <w:sz w:val="18"/>
          <w:szCs w:val="18"/>
          <w:lang w:val="el-GR"/>
        </w:rPr>
        <w:t>Στοιχεί</w:t>
      </w:r>
      <w:r w:rsidRPr="000F701B">
        <w:rPr>
          <w:rFonts w:ascii="Segoe UI" w:hAnsi="Segoe UI" w:cs="Segoe UI"/>
          <w:sz w:val="18"/>
          <w:szCs w:val="18"/>
          <w:lang w:val="el-GR"/>
        </w:rPr>
        <w:t xml:space="preserve">ων και των </w:t>
      </w:r>
      <w:r>
        <w:rPr>
          <w:rFonts w:ascii="Segoe UI" w:hAnsi="Segoe UI" w:cs="Segoe UI"/>
          <w:sz w:val="18"/>
          <w:szCs w:val="18"/>
          <w:lang w:val="el-GR"/>
        </w:rPr>
        <w:t>Δ</w:t>
      </w:r>
      <w:r w:rsidRPr="000F701B">
        <w:rPr>
          <w:rFonts w:ascii="Segoe UI" w:hAnsi="Segoe UI" w:cs="Segoe UI"/>
          <w:sz w:val="18"/>
          <w:szCs w:val="18"/>
          <w:lang w:val="el-GR"/>
        </w:rPr>
        <w:t>εικτ</w:t>
      </w:r>
      <w:r>
        <w:rPr>
          <w:rFonts w:ascii="Segoe UI" w:hAnsi="Segoe UI" w:cs="Segoe UI"/>
          <w:sz w:val="18"/>
          <w:szCs w:val="18"/>
          <w:lang w:val="el-GR"/>
        </w:rPr>
        <w:t>ώ</w:t>
      </w:r>
      <w:r w:rsidRPr="000F701B">
        <w:rPr>
          <w:rFonts w:ascii="Segoe UI" w:hAnsi="Segoe UI" w:cs="Segoe UI"/>
          <w:sz w:val="18"/>
          <w:szCs w:val="18"/>
          <w:lang w:val="el-GR"/>
        </w:rPr>
        <w:t xml:space="preserve">ν που </w:t>
      </w:r>
      <w:r>
        <w:rPr>
          <w:rFonts w:ascii="Segoe UI" w:hAnsi="Segoe UI" w:cs="Segoe UI"/>
          <w:sz w:val="18"/>
          <w:szCs w:val="18"/>
          <w:lang w:val="el-GR"/>
        </w:rPr>
        <w:t>Χ</w:t>
      </w:r>
      <w:r w:rsidRPr="000F701B">
        <w:rPr>
          <w:rFonts w:ascii="Segoe UI" w:hAnsi="Segoe UI" w:cs="Segoe UI"/>
          <w:sz w:val="18"/>
          <w:szCs w:val="18"/>
          <w:lang w:val="el-GR"/>
        </w:rPr>
        <w:t>ρησιμοποι</w:t>
      </w:r>
      <w:r>
        <w:rPr>
          <w:rFonts w:ascii="Segoe UI" w:hAnsi="Segoe UI" w:cs="Segoe UI"/>
          <w:sz w:val="18"/>
          <w:szCs w:val="18"/>
          <w:lang w:val="el-GR"/>
        </w:rPr>
        <w:t>ή</w:t>
      </w:r>
      <w:r w:rsidRPr="000F701B">
        <w:rPr>
          <w:rFonts w:ascii="Segoe UI" w:hAnsi="Segoe UI" w:cs="Segoe UI"/>
          <w:sz w:val="18"/>
          <w:szCs w:val="18"/>
          <w:lang w:val="el-GR"/>
        </w:rPr>
        <w:t>θηκαν</w:t>
      </w:r>
    </w:p>
    <w:p w:rsidR="000F701B" w:rsidRPr="000F701B" w:rsidRDefault="000F701B" w:rsidP="003474E1">
      <w:pPr>
        <w:spacing w:after="160"/>
        <w:jc w:val="both"/>
        <w:rPr>
          <w:rFonts w:ascii="Segoe UI" w:hAnsi="Segoe UI" w:cs="Segoe UI"/>
          <w:sz w:val="15"/>
          <w:szCs w:val="15"/>
        </w:rPr>
      </w:pPr>
      <w:r w:rsidRPr="000F701B">
        <w:rPr>
          <w:rFonts w:ascii="Segoe UI" w:hAnsi="Segoe UI" w:cs="Segoe UI"/>
          <w:sz w:val="15"/>
          <w:szCs w:val="15"/>
          <w:lang w:val="en-US"/>
        </w:rPr>
        <w:t>To</w:t>
      </w:r>
      <w:r w:rsidRPr="000F701B">
        <w:rPr>
          <w:rFonts w:ascii="Segoe UI" w:hAnsi="Segoe UI" w:cs="Segoe UI"/>
          <w:sz w:val="15"/>
          <w:szCs w:val="15"/>
        </w:rPr>
        <w:t xml:space="preserve"> παρόν Δελτίο Τύπου των Αποτελεσμάτων </w:t>
      </w:r>
      <w:r w:rsidR="00B33F26">
        <w:rPr>
          <w:rFonts w:ascii="Segoe UI" w:hAnsi="Segoe UI" w:cs="Segoe UI"/>
          <w:sz w:val="15"/>
          <w:szCs w:val="15"/>
        </w:rPr>
        <w:t xml:space="preserve">του </w:t>
      </w:r>
      <w:r w:rsidR="00E85434">
        <w:rPr>
          <w:rFonts w:ascii="Segoe UI" w:hAnsi="Segoe UI" w:cs="Segoe UI"/>
          <w:sz w:val="15"/>
          <w:szCs w:val="15"/>
          <w:lang w:val="en-US"/>
        </w:rPr>
        <w:t>B</w:t>
      </w:r>
      <w:r w:rsidR="002B6641">
        <w:rPr>
          <w:rFonts w:ascii="Segoe UI" w:hAnsi="Segoe UI" w:cs="Segoe UI"/>
          <w:sz w:val="15"/>
          <w:szCs w:val="15"/>
        </w:rPr>
        <w:t>’ τριμήνου 202</w:t>
      </w:r>
      <w:r w:rsidR="00107B3F">
        <w:rPr>
          <w:rFonts w:ascii="Segoe UI" w:hAnsi="Segoe UI" w:cs="Segoe UI"/>
          <w:sz w:val="15"/>
          <w:szCs w:val="15"/>
        </w:rPr>
        <w:t>1</w:t>
      </w:r>
      <w:r w:rsidRPr="000F701B">
        <w:rPr>
          <w:rFonts w:ascii="Segoe UI" w:hAnsi="Segoe UI" w:cs="Segoe UI"/>
          <w:sz w:val="15"/>
          <w:szCs w:val="15"/>
        </w:rPr>
        <w:t xml:space="preserve"> περιλαμβάνει χρηματοοικονομικές αναφορές και μεγέθη όπως προέρχονται από τις χρηματοοικονομικές καταστάσεις του Ομίλου και της Τράπεζας </w:t>
      </w:r>
      <w:r w:rsidR="00E53565" w:rsidRPr="00E53565">
        <w:rPr>
          <w:rFonts w:ascii="Segoe UI" w:hAnsi="Segoe UI" w:cs="Segoe UI"/>
          <w:sz w:val="15"/>
          <w:szCs w:val="15"/>
        </w:rPr>
        <w:t>για την περίοδο που έληξε</w:t>
      </w:r>
      <w:r w:rsidR="00E53565">
        <w:rPr>
          <w:rFonts w:ascii="Segoe UI" w:hAnsi="Segoe UI" w:cs="Segoe UI"/>
          <w:sz w:val="15"/>
          <w:szCs w:val="15"/>
        </w:rPr>
        <w:t xml:space="preserve"> </w:t>
      </w:r>
      <w:r w:rsidRPr="000F701B">
        <w:rPr>
          <w:rFonts w:ascii="Segoe UI" w:hAnsi="Segoe UI" w:cs="Segoe UI"/>
          <w:sz w:val="15"/>
          <w:szCs w:val="15"/>
        </w:rPr>
        <w:t>3</w:t>
      </w:r>
      <w:r w:rsidR="00E85434" w:rsidRPr="00E54A27">
        <w:rPr>
          <w:rFonts w:ascii="Segoe UI" w:hAnsi="Segoe UI" w:cs="Segoe UI"/>
          <w:sz w:val="15"/>
          <w:szCs w:val="15"/>
        </w:rPr>
        <w:t xml:space="preserve">0 </w:t>
      </w:r>
      <w:r w:rsidR="00E85434">
        <w:rPr>
          <w:rFonts w:ascii="Segoe UI" w:hAnsi="Segoe UI" w:cs="Segoe UI"/>
          <w:sz w:val="15"/>
          <w:szCs w:val="15"/>
        </w:rPr>
        <w:t>Ιουνίου</w:t>
      </w:r>
      <w:r w:rsidR="00107B3F">
        <w:rPr>
          <w:rFonts w:ascii="Segoe UI" w:hAnsi="Segoe UI" w:cs="Segoe UI"/>
          <w:sz w:val="15"/>
          <w:szCs w:val="15"/>
        </w:rPr>
        <w:t xml:space="preserve"> </w:t>
      </w:r>
      <w:r w:rsidR="00FB540B">
        <w:rPr>
          <w:rFonts w:ascii="Segoe UI" w:hAnsi="Segoe UI" w:cs="Segoe UI"/>
          <w:sz w:val="15"/>
          <w:szCs w:val="15"/>
        </w:rPr>
        <w:t>202</w:t>
      </w:r>
      <w:r w:rsidR="00107B3F">
        <w:rPr>
          <w:rFonts w:ascii="Segoe UI" w:hAnsi="Segoe UI" w:cs="Segoe UI"/>
          <w:sz w:val="15"/>
          <w:szCs w:val="15"/>
        </w:rPr>
        <w:t>1</w:t>
      </w:r>
      <w:r w:rsidR="00E53565">
        <w:rPr>
          <w:rFonts w:ascii="Segoe UI" w:hAnsi="Segoe UI" w:cs="Segoe UI"/>
          <w:sz w:val="15"/>
          <w:szCs w:val="15"/>
        </w:rPr>
        <w:t xml:space="preserve"> και τη</w:t>
      </w:r>
      <w:r w:rsidRPr="000F701B">
        <w:rPr>
          <w:rFonts w:ascii="Segoe UI" w:hAnsi="Segoe UI" w:cs="Segoe UI"/>
          <w:sz w:val="15"/>
          <w:szCs w:val="15"/>
        </w:rPr>
        <w:t xml:space="preserve"> χρήση που έληξε 31 Δεκεμβρίου 20</w:t>
      </w:r>
      <w:r w:rsidR="00107B3F">
        <w:rPr>
          <w:rFonts w:ascii="Segoe UI" w:hAnsi="Segoe UI" w:cs="Segoe UI"/>
          <w:sz w:val="15"/>
          <w:szCs w:val="15"/>
        </w:rPr>
        <w:t>20</w:t>
      </w:r>
      <w:r w:rsidR="009608A0">
        <w:rPr>
          <w:rFonts w:ascii="Segoe UI" w:hAnsi="Segoe UI" w:cs="Segoe UI"/>
          <w:sz w:val="15"/>
          <w:szCs w:val="15"/>
        </w:rPr>
        <w:t>,</w:t>
      </w:r>
      <w:r w:rsidRPr="000F701B">
        <w:rPr>
          <w:rFonts w:ascii="Segoe UI" w:hAnsi="Segoe UI" w:cs="Segoe UI"/>
          <w:sz w:val="15"/>
          <w:szCs w:val="15"/>
        </w:rPr>
        <w:t xml:space="preserve"> </w:t>
      </w:r>
      <w:r w:rsidR="003474E1" w:rsidRPr="003474E1">
        <w:rPr>
          <w:rFonts w:ascii="Segoe UI" w:hAnsi="Segoe UI" w:cs="Segoe UI"/>
          <w:sz w:val="15"/>
          <w:szCs w:val="15"/>
        </w:rPr>
        <w:t>οι οποίες έχουν συνταχθεί με βάση το Διεθνές Λογιστικό Πρότυπο 34 («Ενδιάμεσες Οικονομικές Καταστάσεις») και με τα Διεθνή Πρότυπα</w:t>
      </w:r>
      <w:r w:rsidR="003474E1">
        <w:rPr>
          <w:rFonts w:ascii="Segoe UI" w:hAnsi="Segoe UI" w:cs="Segoe UI"/>
          <w:sz w:val="15"/>
          <w:szCs w:val="15"/>
        </w:rPr>
        <w:t xml:space="preserve"> </w:t>
      </w:r>
      <w:r w:rsidR="003474E1" w:rsidRPr="003474E1">
        <w:rPr>
          <w:rFonts w:ascii="Segoe UI" w:hAnsi="Segoe UI" w:cs="Segoe UI"/>
          <w:sz w:val="15"/>
          <w:szCs w:val="15"/>
        </w:rPr>
        <w:t>Χρηματοοικονομικής Αναφοράς («ΔΠΧΑ»), όπως αυτά έχουν υιοθετηθεί από την Ευρωπαϊκή Ένωση («ΕΕ»)</w:t>
      </w:r>
      <w:r w:rsidR="009608A0" w:rsidRPr="009608A0">
        <w:rPr>
          <w:rFonts w:ascii="Segoe UI" w:hAnsi="Segoe UI" w:cs="Segoe UI"/>
          <w:sz w:val="15"/>
          <w:szCs w:val="15"/>
        </w:rPr>
        <w:t>.</w:t>
      </w:r>
      <w:r w:rsidRPr="000F701B">
        <w:rPr>
          <w:rFonts w:ascii="Segoe UI" w:hAnsi="Segoe UI" w:cs="Segoe UI"/>
          <w:sz w:val="15"/>
          <w:szCs w:val="15"/>
        </w:rPr>
        <w:t xml:space="preserve"> Επίσης, περιλαμβάνει χρηματοοικονομικές πληροφορίες οι οποίες αντλούνται από την κανονική ροή των συστημάτων χρηματοοικονομικής και διοικητικής πληροφόρησης, όπως αυτές κατηγοριοποιούνται σε ξένες και εγχώριες δραστηριότητες βάσει της χώρας προέλευσης των χρηματοοικονομικών καταστάσεων των εταιρειών του Ομίλου.</w:t>
      </w:r>
    </w:p>
    <w:p w:rsidR="000F701B" w:rsidRPr="000F701B" w:rsidRDefault="000F701B" w:rsidP="000F701B">
      <w:pPr>
        <w:spacing w:after="160"/>
        <w:jc w:val="both"/>
        <w:rPr>
          <w:rFonts w:ascii="Segoe UI" w:hAnsi="Segoe UI" w:cs="Segoe UI"/>
          <w:sz w:val="15"/>
          <w:szCs w:val="15"/>
        </w:rPr>
      </w:pPr>
      <w:r w:rsidRPr="000F701B">
        <w:rPr>
          <w:rFonts w:ascii="Segoe UI" w:hAnsi="Segoe UI" w:cs="Segoe UI"/>
          <w:sz w:val="15"/>
          <w:szCs w:val="15"/>
        </w:rPr>
        <w:t>Επιπρόσθετα, περιλαμβάνει αναφορές σε συγκεκριμένα μεγέθη τα οποία δεν ορίζονται από τα ΔΠΧΑ, και συγκεκριμένα αναφέρονται σε «κέρδη</w:t>
      </w:r>
      <w:r w:rsidR="00F74EC6">
        <w:rPr>
          <w:rFonts w:ascii="Segoe UI" w:hAnsi="Segoe UI" w:cs="Segoe UI"/>
          <w:sz w:val="15"/>
          <w:szCs w:val="15"/>
        </w:rPr>
        <w:t xml:space="preserve"> </w:t>
      </w:r>
      <w:r w:rsidRPr="000F701B">
        <w:rPr>
          <w:rFonts w:ascii="Segoe UI" w:hAnsi="Segoe UI" w:cs="Segoe UI"/>
          <w:sz w:val="15"/>
          <w:szCs w:val="15"/>
        </w:rPr>
        <w:t>/</w:t>
      </w:r>
      <w:r w:rsidR="00F74EC6">
        <w:rPr>
          <w:rFonts w:ascii="Segoe UI" w:hAnsi="Segoe UI" w:cs="Segoe UI"/>
          <w:sz w:val="15"/>
          <w:szCs w:val="15"/>
        </w:rPr>
        <w:t xml:space="preserve"> </w:t>
      </w:r>
      <w:r w:rsidR="00066AAA" w:rsidRPr="000F701B">
        <w:rPr>
          <w:rFonts w:ascii="Segoe UI" w:hAnsi="Segoe UI" w:cs="Segoe UI"/>
          <w:sz w:val="15"/>
          <w:szCs w:val="15"/>
        </w:rPr>
        <w:t>(</w:t>
      </w:r>
      <w:r w:rsidR="00066AAA">
        <w:rPr>
          <w:rFonts w:ascii="Segoe UI" w:hAnsi="Segoe UI" w:cs="Segoe UI"/>
          <w:sz w:val="15"/>
          <w:szCs w:val="15"/>
        </w:rPr>
        <w:t>ζημίες</w:t>
      </w:r>
      <w:r w:rsidRPr="000F701B">
        <w:rPr>
          <w:rFonts w:ascii="Segoe UI" w:hAnsi="Segoe UI" w:cs="Segoe UI"/>
          <w:sz w:val="15"/>
          <w:szCs w:val="15"/>
        </w:rPr>
        <w:t>) προ προβλέψεων», «καθαρό επιτοκιακό περιθώριο» και άλλα, όπως διατυπώνονται ανωτέρω. Αυτά είναι εκτός πλαισίου ΔΠΧΑ χρηματοοικονομικά μεγέθη. Ένα μη οριζόμενο από τα ΔΠΧΑ κονδύλι μετρά την ιστορική ή μελλοντική χρηματοοικονομική επίδοση, χρηματοοικονομική θέση ή τις ταμιακές ροές, και περιλαμβάνει ή εξαιρεί ποσά τα οποία δεν προβλέπονται από τα ΔΠΧΑ. Ο Όμιλος πιστεύει ότι τα μη οριζόμενα από τα ΔΠΧΑ κονδύλια παρουσιάζουν μια πιο ουσιαστική ανάλυση της χρηματοοικονομικής του κατάστασης και των αποτελεσμάτων των εργασιών του. Ωστόσο, τα μη οριζόμενα από τα ΔΠΧΑ κονδύλια δεν αποτελούν υποκατάστατο των ΔΠΧΑ</w:t>
      </w:r>
      <w:r>
        <w:rPr>
          <w:rFonts w:ascii="Segoe UI" w:hAnsi="Segoe UI" w:cs="Segoe UI"/>
          <w:sz w:val="15"/>
          <w:szCs w:val="15"/>
        </w:rPr>
        <w:t>.</w:t>
      </w:r>
      <w:r w:rsidR="00237972">
        <w:rPr>
          <w:rFonts w:ascii="Segoe UI" w:hAnsi="Segoe UI" w:cs="Segoe UI"/>
          <w:sz w:val="15"/>
          <w:szCs w:val="15"/>
        </w:rPr>
        <w:t xml:space="preserve"> </w:t>
      </w:r>
    </w:p>
    <w:p w:rsidR="00D56B7A" w:rsidRDefault="00D56B7A">
      <w:pPr>
        <w:rPr>
          <w:rFonts w:ascii="Segoe UI" w:hAnsi="Segoe UI" w:cs="Segoe UI"/>
          <w:sz w:val="15"/>
          <w:szCs w:val="15"/>
        </w:rPr>
      </w:pPr>
      <w:r w:rsidRPr="00F04303">
        <w:rPr>
          <w:rFonts w:ascii="Segoe UI" w:hAnsi="Segoe UI" w:cs="Segoe UI"/>
          <w:sz w:val="15"/>
          <w:szCs w:val="15"/>
        </w:rPr>
        <w:br w:type="page"/>
      </w:r>
    </w:p>
    <w:tbl>
      <w:tblPr>
        <w:tblW w:w="10193" w:type="dxa"/>
        <w:tblInd w:w="108" w:type="dxa"/>
        <w:tblBorders>
          <w:top w:val="dotted" w:sz="4" w:space="0" w:color="007180"/>
          <w:left w:val="dotted" w:sz="4" w:space="0" w:color="007180"/>
          <w:bottom w:val="single" w:sz="12" w:space="0" w:color="007180"/>
          <w:right w:val="dotted" w:sz="4" w:space="0" w:color="007180"/>
          <w:insideH w:val="dotted" w:sz="4" w:space="0" w:color="007180"/>
          <w:insideV w:val="dotted" w:sz="4" w:space="0" w:color="007180"/>
        </w:tblBorders>
        <w:tblLook w:val="04A0" w:firstRow="1" w:lastRow="0" w:firstColumn="1" w:lastColumn="0" w:noHBand="0" w:noVBand="1"/>
      </w:tblPr>
      <w:tblGrid>
        <w:gridCol w:w="1972"/>
        <w:gridCol w:w="1134"/>
        <w:gridCol w:w="7087"/>
      </w:tblGrid>
      <w:tr w:rsidR="0027264F" w:rsidRPr="00CB691B" w:rsidTr="00B87F4B">
        <w:trPr>
          <w:trHeight w:val="283"/>
        </w:trPr>
        <w:tc>
          <w:tcPr>
            <w:tcW w:w="1972" w:type="dxa"/>
            <w:shd w:val="clear" w:color="auto" w:fill="007180"/>
            <w:noWrap/>
            <w:vAlign w:val="bottom"/>
            <w:hideMark/>
          </w:tcPr>
          <w:p w:rsidR="0027264F" w:rsidRPr="00B87F4B" w:rsidRDefault="0027264F" w:rsidP="00D95F56">
            <w:pPr>
              <w:rPr>
                <w:rFonts w:ascii="Segoe UI" w:hAnsi="Segoe UI" w:cs="Segoe UI"/>
                <w:b/>
                <w:color w:val="FFFFFF" w:themeColor="background1"/>
                <w:sz w:val="16"/>
                <w:szCs w:val="13"/>
              </w:rPr>
            </w:pPr>
            <w:r w:rsidRPr="00B87F4B">
              <w:rPr>
                <w:rFonts w:ascii="Segoe UI" w:hAnsi="Segoe UI" w:cs="Segoe UI"/>
                <w:b/>
                <w:color w:val="FFFFFF" w:themeColor="background1"/>
                <w:sz w:val="16"/>
                <w:szCs w:val="13"/>
              </w:rPr>
              <w:lastRenderedPageBreak/>
              <w:t>Ονομασία</w:t>
            </w:r>
          </w:p>
        </w:tc>
        <w:tc>
          <w:tcPr>
            <w:tcW w:w="1134" w:type="dxa"/>
            <w:shd w:val="clear" w:color="auto" w:fill="007180"/>
            <w:noWrap/>
            <w:vAlign w:val="bottom"/>
            <w:hideMark/>
          </w:tcPr>
          <w:p w:rsidR="0027264F" w:rsidRPr="00B87F4B" w:rsidRDefault="0027264F" w:rsidP="00D95F56">
            <w:pPr>
              <w:rPr>
                <w:rFonts w:ascii="Segoe UI" w:hAnsi="Segoe UI" w:cs="Segoe UI"/>
                <w:b/>
                <w:color w:val="FFFFFF" w:themeColor="background1"/>
                <w:sz w:val="16"/>
                <w:szCs w:val="13"/>
              </w:rPr>
            </w:pPr>
            <w:r w:rsidRPr="00B87F4B">
              <w:rPr>
                <w:rFonts w:ascii="Segoe UI" w:hAnsi="Segoe UI" w:cs="Segoe UI"/>
                <w:b/>
                <w:color w:val="FFFFFF" w:themeColor="background1"/>
                <w:sz w:val="16"/>
                <w:szCs w:val="13"/>
              </w:rPr>
              <w:t>Συντομ/φία</w:t>
            </w:r>
          </w:p>
        </w:tc>
        <w:tc>
          <w:tcPr>
            <w:tcW w:w="7087" w:type="dxa"/>
            <w:shd w:val="clear" w:color="auto" w:fill="007180"/>
            <w:noWrap/>
            <w:vAlign w:val="bottom"/>
            <w:hideMark/>
          </w:tcPr>
          <w:p w:rsidR="0027264F" w:rsidRPr="00B87F4B" w:rsidRDefault="0027264F" w:rsidP="00D95F56">
            <w:pPr>
              <w:rPr>
                <w:rFonts w:ascii="Segoe UI" w:hAnsi="Segoe UI" w:cs="Segoe UI"/>
                <w:b/>
                <w:color w:val="FFFFFF" w:themeColor="background1"/>
                <w:sz w:val="16"/>
                <w:szCs w:val="13"/>
              </w:rPr>
            </w:pPr>
            <w:r w:rsidRPr="00B87F4B">
              <w:rPr>
                <w:rFonts w:ascii="Segoe UI" w:hAnsi="Segoe UI" w:cs="Segoe UI"/>
                <w:b/>
                <w:color w:val="FFFFFF" w:themeColor="background1"/>
                <w:sz w:val="16"/>
                <w:szCs w:val="13"/>
              </w:rPr>
              <w:t>Ορισμός</w:t>
            </w:r>
          </w:p>
        </w:tc>
      </w:tr>
      <w:tr w:rsidR="0027264F" w:rsidRPr="00CB691B" w:rsidTr="00D95F56">
        <w:trPr>
          <w:trHeight w:val="113"/>
        </w:trPr>
        <w:tc>
          <w:tcPr>
            <w:tcW w:w="1972" w:type="dxa"/>
            <w:shd w:val="clear" w:color="auto" w:fill="F2F2F2" w:themeFill="background1" w:themeFillShade="F2"/>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Αποσβέσεις</w:t>
            </w:r>
          </w:p>
        </w:tc>
        <w:tc>
          <w:tcPr>
            <w:tcW w:w="1134" w:type="dxa"/>
            <w:shd w:val="clear" w:color="auto" w:fill="F2F2F2" w:themeFill="background1" w:themeFillShade="F2"/>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w:t>
            </w:r>
          </w:p>
        </w:tc>
        <w:tc>
          <w:tcPr>
            <w:tcW w:w="7087" w:type="dxa"/>
            <w:shd w:val="clear" w:color="auto" w:fill="F2F2F2" w:themeFill="background1" w:themeFillShade="F2"/>
            <w:noWrap/>
            <w:vAlign w:val="center"/>
          </w:tcPr>
          <w:p w:rsidR="0027264F" w:rsidRPr="00285C10" w:rsidRDefault="00B36D8D"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Αποσβέσεις και προβλέψεις απομείωσης αξίας ακινήτων επενδύσεων, ενσώματων παγίων συμπεριλαμβανομένων των δικαιωμάτων χρήσης, λογισμικού και λοιπών άυλων περιουσιακών στοιχείων</w:t>
            </w:r>
          </w:p>
        </w:tc>
      </w:tr>
      <w:tr w:rsidR="0027264F" w:rsidRPr="00CB691B" w:rsidTr="00D95F56">
        <w:trPr>
          <w:trHeight w:val="113"/>
        </w:trPr>
        <w:tc>
          <w:tcPr>
            <w:tcW w:w="1972" w:type="dxa"/>
            <w:shd w:val="clear" w:color="auto" w:fill="auto"/>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Γενικά Διοικητικά Έξοδα </w:t>
            </w:r>
          </w:p>
        </w:tc>
        <w:tc>
          <w:tcPr>
            <w:tcW w:w="1134" w:type="dxa"/>
            <w:shd w:val="clear" w:color="auto" w:fill="auto"/>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w:t>
            </w:r>
          </w:p>
        </w:tc>
        <w:tc>
          <w:tcPr>
            <w:tcW w:w="7087" w:type="dxa"/>
            <w:shd w:val="clear" w:color="auto" w:fill="auto"/>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Γενικά διοικητικά και λοιπά λειτουργικά έξοδα</w:t>
            </w:r>
          </w:p>
        </w:tc>
      </w:tr>
      <w:tr w:rsidR="0027264F" w:rsidRPr="00CB691B" w:rsidTr="00D95F56">
        <w:trPr>
          <w:trHeight w:val="113"/>
        </w:trPr>
        <w:tc>
          <w:tcPr>
            <w:tcW w:w="1972" w:type="dxa"/>
            <w:shd w:val="clear" w:color="auto" w:fill="F2F2F2" w:themeFill="background1" w:themeFillShade="F2"/>
            <w:noWrap/>
            <w:vAlign w:val="center"/>
            <w:hideMark/>
          </w:tcPr>
          <w:p w:rsidR="0027264F" w:rsidRPr="00285C10" w:rsidRDefault="00055D4C" w:rsidP="00055D4C">
            <w:pPr>
              <w:rPr>
                <w:rFonts w:ascii="Segoe UI" w:eastAsia="MS Mincho" w:hAnsi="Segoe UI" w:cs="Segoe UI"/>
                <w:color w:val="000000"/>
                <w:sz w:val="13"/>
                <w:szCs w:val="13"/>
              </w:rPr>
            </w:pPr>
            <w:r>
              <w:rPr>
                <w:rFonts w:ascii="Segoe UI" w:eastAsia="MS Mincho" w:hAnsi="Segoe UI" w:cs="Segoe UI"/>
                <w:color w:val="000000"/>
                <w:sz w:val="13"/>
                <w:szCs w:val="13"/>
              </w:rPr>
              <w:t xml:space="preserve">Δάνεια μετά </w:t>
            </w:r>
            <w:r w:rsidR="0027264F" w:rsidRPr="00285C10">
              <w:rPr>
                <w:rFonts w:ascii="Segoe UI" w:eastAsia="MS Mincho" w:hAnsi="Segoe UI" w:cs="Segoe UI"/>
                <w:color w:val="000000"/>
                <w:sz w:val="13"/>
                <w:szCs w:val="13"/>
              </w:rPr>
              <w:t>από Προβλέψεις</w:t>
            </w:r>
          </w:p>
        </w:tc>
        <w:tc>
          <w:tcPr>
            <w:tcW w:w="1134" w:type="dxa"/>
            <w:shd w:val="clear" w:color="auto" w:fill="F2F2F2" w:themeFill="background1" w:themeFillShade="F2"/>
            <w:noWrap/>
            <w:vAlign w:val="center"/>
            <w:hideMark/>
          </w:tcPr>
          <w:p w:rsidR="0027264F" w:rsidRPr="00285C10" w:rsidRDefault="0027264F" w:rsidP="00D95F56">
            <w:pPr>
              <w:rPr>
                <w:rFonts w:ascii="Segoe UI" w:eastAsia="MS Mincho" w:hAnsi="Segoe UI" w:cs="Segoe UI"/>
                <w:color w:val="000000"/>
                <w:sz w:val="13"/>
                <w:szCs w:val="13"/>
                <w:lang w:val="en-GB"/>
              </w:rPr>
            </w:pPr>
            <w:r w:rsidRPr="00285C10">
              <w:rPr>
                <w:rFonts w:ascii="Segoe UI" w:eastAsia="MS Mincho" w:hAnsi="Segoe UI" w:cs="Segoe UI"/>
                <w:color w:val="000000"/>
                <w:sz w:val="13"/>
                <w:szCs w:val="13"/>
                <w:lang w:val="en-GB"/>
              </w:rPr>
              <w:t>--</w:t>
            </w:r>
          </w:p>
        </w:tc>
        <w:tc>
          <w:tcPr>
            <w:tcW w:w="7087" w:type="dxa"/>
            <w:shd w:val="clear" w:color="auto" w:fill="F2F2F2" w:themeFill="background1" w:themeFillShade="F2"/>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Δάνεια και απαιτήσεις κατά πελατών</w:t>
            </w:r>
          </w:p>
        </w:tc>
      </w:tr>
      <w:tr w:rsidR="0027264F" w:rsidRPr="00CB691B" w:rsidTr="00D95F56">
        <w:trPr>
          <w:trHeight w:val="113"/>
        </w:trPr>
        <w:tc>
          <w:tcPr>
            <w:tcW w:w="1972" w:type="dxa"/>
            <w:shd w:val="clear" w:color="000000" w:fill="FFFFFF"/>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Δάνεια προ Προβλέψεων</w:t>
            </w:r>
          </w:p>
        </w:tc>
        <w:tc>
          <w:tcPr>
            <w:tcW w:w="1134" w:type="dxa"/>
            <w:shd w:val="clear" w:color="000000" w:fill="FFFFFF"/>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w:t>
            </w:r>
          </w:p>
        </w:tc>
        <w:tc>
          <w:tcPr>
            <w:tcW w:w="7087" w:type="dxa"/>
            <w:shd w:val="clear" w:color="000000" w:fill="FFFFFF"/>
            <w:noWrap/>
            <w:vAlign w:val="center"/>
            <w:hideMark/>
          </w:tcPr>
          <w:p w:rsidR="0027264F" w:rsidRPr="00285C10" w:rsidRDefault="00B36D8D"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Δάνεια και απαιτήσεις κατά πελατών σε αποσβεσμένο κόστος προ πρόβλεψης ΑΠΖ δανείων και απαιτήσεων κατά πελατών σε αποσβεσμένο κόστος, πλέον δανείων και απαιτήσεων κατά πελατών επιμετρούμενων υποχρεωτικά σε ΕΑΜΑ</w:t>
            </w:r>
          </w:p>
        </w:tc>
      </w:tr>
      <w:tr w:rsidR="0027264F" w:rsidRPr="00CB691B" w:rsidTr="00D95F56">
        <w:trPr>
          <w:trHeight w:val="113"/>
        </w:trPr>
        <w:tc>
          <w:tcPr>
            <w:tcW w:w="1972" w:type="dxa"/>
            <w:shd w:val="clear" w:color="auto" w:fill="F2F2F2" w:themeFill="background1" w:themeFillShade="F2"/>
            <w:noWrap/>
            <w:vAlign w:val="center"/>
            <w:hideMark/>
          </w:tcPr>
          <w:p w:rsidR="0027264F" w:rsidRPr="00055D4C" w:rsidRDefault="00055D4C" w:rsidP="00055D4C">
            <w:pPr>
              <w:rPr>
                <w:rFonts w:ascii="Segoe UI" w:eastAsia="MS Mincho" w:hAnsi="Segoe UI" w:cs="Segoe UI"/>
                <w:color w:val="000000"/>
                <w:sz w:val="13"/>
                <w:szCs w:val="13"/>
              </w:rPr>
            </w:pPr>
            <w:r>
              <w:rPr>
                <w:rFonts w:ascii="Segoe UI" w:eastAsia="MS Mincho" w:hAnsi="Segoe UI" w:cs="Segoe UI"/>
                <w:color w:val="000000"/>
                <w:sz w:val="13"/>
                <w:szCs w:val="13"/>
              </w:rPr>
              <w:t xml:space="preserve">Δείκτης Δάνεια </w:t>
            </w:r>
            <w:r w:rsidR="0027264F" w:rsidRPr="00285C10">
              <w:rPr>
                <w:rFonts w:ascii="Segoe UI" w:eastAsia="MS Mincho" w:hAnsi="Segoe UI" w:cs="Segoe UI"/>
                <w:color w:val="000000"/>
                <w:sz w:val="13"/>
                <w:szCs w:val="13"/>
                <w:lang w:val="en-GB"/>
              </w:rPr>
              <w:t xml:space="preserve">προς </w:t>
            </w:r>
            <w:r>
              <w:rPr>
                <w:rFonts w:ascii="Segoe UI" w:eastAsia="MS Mincho" w:hAnsi="Segoe UI" w:cs="Segoe UI"/>
                <w:color w:val="000000"/>
                <w:sz w:val="13"/>
                <w:szCs w:val="13"/>
              </w:rPr>
              <w:t>Καταθέσεις</w:t>
            </w:r>
          </w:p>
        </w:tc>
        <w:tc>
          <w:tcPr>
            <w:tcW w:w="1134" w:type="dxa"/>
            <w:shd w:val="clear" w:color="auto" w:fill="F2F2F2" w:themeFill="background1" w:themeFillShade="F2"/>
            <w:noWrap/>
            <w:vAlign w:val="center"/>
            <w:hideMark/>
          </w:tcPr>
          <w:p w:rsidR="0027264F" w:rsidRPr="00285C10" w:rsidRDefault="0027264F" w:rsidP="00D95F56">
            <w:pPr>
              <w:rPr>
                <w:rFonts w:ascii="Segoe UI" w:eastAsia="MS Mincho" w:hAnsi="Segoe UI" w:cs="Segoe UI"/>
                <w:color w:val="000000"/>
                <w:sz w:val="13"/>
                <w:szCs w:val="13"/>
                <w:lang w:val="en-GB"/>
              </w:rPr>
            </w:pPr>
            <w:r w:rsidRPr="00285C10">
              <w:rPr>
                <w:rFonts w:ascii="Segoe UI" w:eastAsia="MS Mincho" w:hAnsi="Segoe UI" w:cs="Segoe UI"/>
                <w:color w:val="000000"/>
                <w:sz w:val="13"/>
                <w:szCs w:val="13"/>
                <w:lang w:val="en-GB"/>
              </w:rPr>
              <w:t>--</w:t>
            </w:r>
          </w:p>
        </w:tc>
        <w:tc>
          <w:tcPr>
            <w:tcW w:w="7087" w:type="dxa"/>
            <w:shd w:val="clear" w:color="auto" w:fill="F2F2F2" w:themeFill="background1" w:themeFillShade="F2"/>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Δάνεια μετά από προβλέψεις προς καταθέσεις, τέλος </w:t>
            </w:r>
            <w:r w:rsidR="00D96BA6" w:rsidRPr="00285C10">
              <w:rPr>
                <w:rFonts w:ascii="Segoe UI" w:eastAsia="MS Mincho" w:hAnsi="Segoe UI" w:cs="Segoe UI"/>
                <w:color w:val="000000"/>
                <w:sz w:val="13"/>
                <w:szCs w:val="13"/>
              </w:rPr>
              <w:t>χρήσης</w:t>
            </w:r>
            <w:r w:rsidR="00941D74" w:rsidRPr="00285C10">
              <w:rPr>
                <w:rFonts w:ascii="Segoe UI" w:eastAsia="MS Mincho" w:hAnsi="Segoe UI" w:cs="Segoe UI"/>
                <w:color w:val="000000"/>
                <w:sz w:val="13"/>
                <w:szCs w:val="13"/>
              </w:rPr>
              <w:t xml:space="preserve"> </w:t>
            </w:r>
            <w:r w:rsidR="00D96BA6" w:rsidRPr="00285C10">
              <w:rPr>
                <w:rFonts w:ascii="Segoe UI" w:eastAsia="MS Mincho" w:hAnsi="Segoe UI" w:cs="Segoe UI"/>
                <w:color w:val="000000"/>
                <w:sz w:val="13"/>
                <w:szCs w:val="13"/>
              </w:rPr>
              <w:t>/</w:t>
            </w:r>
            <w:r w:rsidR="00941D74" w:rsidRPr="00285C10">
              <w:rPr>
                <w:rFonts w:ascii="Segoe UI" w:eastAsia="MS Mincho" w:hAnsi="Segoe UI" w:cs="Segoe UI"/>
                <w:color w:val="000000"/>
                <w:sz w:val="13"/>
                <w:szCs w:val="13"/>
              </w:rPr>
              <w:t xml:space="preserve"> </w:t>
            </w:r>
            <w:r w:rsidRPr="00285C10">
              <w:rPr>
                <w:rFonts w:ascii="Segoe UI" w:eastAsia="MS Mincho" w:hAnsi="Segoe UI" w:cs="Segoe UI"/>
                <w:color w:val="000000"/>
                <w:sz w:val="13"/>
                <w:szCs w:val="13"/>
              </w:rPr>
              <w:t>περιόδου</w:t>
            </w:r>
            <w:r w:rsidR="0077650F" w:rsidRPr="0077650F">
              <w:rPr>
                <w:rFonts w:ascii="Segoe UI" w:eastAsia="MS Mincho" w:hAnsi="Segoe UI" w:cs="Segoe UI"/>
                <w:color w:val="000000"/>
                <w:sz w:val="13"/>
                <w:szCs w:val="13"/>
              </w:rPr>
              <w:t>, εξαιρουμένης της σύντομης συμφωνίας αγοράς &amp; επαναπώλησης ύψους €3.0 δισ. την 30 Ιουνίου 2021</w:t>
            </w:r>
          </w:p>
        </w:tc>
      </w:tr>
      <w:tr w:rsidR="0027264F" w:rsidRPr="00CB691B" w:rsidTr="00D95F56">
        <w:trPr>
          <w:trHeight w:val="113"/>
        </w:trPr>
        <w:tc>
          <w:tcPr>
            <w:tcW w:w="1972" w:type="dxa"/>
            <w:shd w:val="clear" w:color="000000" w:fill="FFFFFF"/>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Δείκτης Δανείων σε Καθυστέρηση +90 Ημερών / Μη Εξυπηρετούμενων Δανείων</w:t>
            </w:r>
          </w:p>
        </w:tc>
        <w:tc>
          <w:tcPr>
            <w:tcW w:w="1134" w:type="dxa"/>
            <w:shd w:val="clear" w:color="000000" w:fill="FFFFFF"/>
            <w:noWrap/>
            <w:vAlign w:val="center"/>
            <w:hideMark/>
          </w:tcPr>
          <w:p w:rsidR="0027264F" w:rsidRPr="00285C10" w:rsidRDefault="0027264F" w:rsidP="00D95F56">
            <w:pPr>
              <w:rPr>
                <w:rFonts w:ascii="Segoe UI" w:eastAsia="MS Mincho" w:hAnsi="Segoe UI" w:cs="Segoe UI"/>
                <w:color w:val="000000"/>
                <w:sz w:val="13"/>
                <w:szCs w:val="13"/>
                <w:lang w:val="en-GB"/>
              </w:rPr>
            </w:pPr>
            <w:r w:rsidRPr="00285C10">
              <w:rPr>
                <w:rFonts w:ascii="Segoe UI" w:eastAsia="MS Mincho" w:hAnsi="Segoe UI" w:cs="Segoe UI"/>
                <w:color w:val="000000"/>
                <w:sz w:val="13"/>
                <w:szCs w:val="13"/>
                <w:lang w:val="en-GB"/>
              </w:rPr>
              <w:t xml:space="preserve">-- </w:t>
            </w:r>
          </w:p>
        </w:tc>
        <w:tc>
          <w:tcPr>
            <w:tcW w:w="7087" w:type="dxa"/>
            <w:shd w:val="clear" w:color="000000" w:fill="FFFFFF"/>
            <w:noWrap/>
            <w:vAlign w:val="center"/>
            <w:hideMark/>
          </w:tcPr>
          <w:p w:rsidR="0027264F" w:rsidRPr="00285C10" w:rsidRDefault="0027264F" w:rsidP="00505CD8">
            <w:pPr>
              <w:rPr>
                <w:rFonts w:ascii="Segoe UI" w:eastAsia="MS Mincho" w:hAnsi="Segoe UI" w:cs="Segoe UI"/>
                <w:color w:val="000000"/>
                <w:sz w:val="13"/>
                <w:szCs w:val="13"/>
              </w:rPr>
            </w:pPr>
            <w:r w:rsidRPr="00285C10">
              <w:rPr>
                <w:rFonts w:ascii="Segoe UI" w:eastAsia="MS Mincho" w:hAnsi="Segoe UI" w:cs="Segoe UI"/>
                <w:color w:val="000000"/>
                <w:sz w:val="13"/>
                <w:szCs w:val="13"/>
              </w:rPr>
              <w:t>Δάνεια προ προβλέψεων σε καθυστέρηση άνω των 90 ημερών σε αναπόσβεστη αξία προς δάνεια προ προβλέψεω</w:t>
            </w:r>
            <w:r w:rsidR="00640061">
              <w:rPr>
                <w:rFonts w:ascii="Segoe UI" w:eastAsia="MS Mincho" w:hAnsi="Segoe UI" w:cs="Segoe UI"/>
                <w:color w:val="000000"/>
                <w:sz w:val="13"/>
                <w:szCs w:val="13"/>
              </w:rPr>
              <w:t>ν</w:t>
            </w:r>
            <w:r w:rsidRPr="00285C10">
              <w:rPr>
                <w:rFonts w:ascii="Segoe UI" w:eastAsia="MS Mincho" w:hAnsi="Segoe UI" w:cs="Segoe UI"/>
                <w:color w:val="000000"/>
                <w:sz w:val="13"/>
                <w:szCs w:val="13"/>
              </w:rPr>
              <w:t xml:space="preserve">, τέλος </w:t>
            </w:r>
            <w:r w:rsidR="00D96BA6" w:rsidRPr="00285C10">
              <w:rPr>
                <w:rFonts w:ascii="Segoe UI" w:eastAsia="MS Mincho" w:hAnsi="Segoe UI" w:cs="Segoe UI"/>
                <w:color w:val="000000"/>
                <w:sz w:val="13"/>
                <w:szCs w:val="13"/>
              </w:rPr>
              <w:t>χρήσης</w:t>
            </w:r>
            <w:r w:rsidR="00941D74" w:rsidRPr="00285C10">
              <w:rPr>
                <w:rFonts w:ascii="Segoe UI" w:eastAsia="MS Mincho" w:hAnsi="Segoe UI" w:cs="Segoe UI"/>
                <w:color w:val="000000"/>
                <w:sz w:val="13"/>
                <w:szCs w:val="13"/>
              </w:rPr>
              <w:t xml:space="preserve"> </w:t>
            </w:r>
            <w:r w:rsidR="00D96BA6" w:rsidRPr="00285C10">
              <w:rPr>
                <w:rFonts w:ascii="Segoe UI" w:eastAsia="MS Mincho" w:hAnsi="Segoe UI" w:cs="Segoe UI"/>
                <w:color w:val="000000"/>
                <w:sz w:val="13"/>
                <w:szCs w:val="13"/>
              </w:rPr>
              <w:t>/</w:t>
            </w:r>
            <w:r w:rsidR="00941D74" w:rsidRPr="00285C10">
              <w:rPr>
                <w:rFonts w:ascii="Segoe UI" w:eastAsia="MS Mincho" w:hAnsi="Segoe UI" w:cs="Segoe UI"/>
                <w:color w:val="000000"/>
                <w:sz w:val="13"/>
                <w:szCs w:val="13"/>
              </w:rPr>
              <w:t xml:space="preserve"> </w:t>
            </w:r>
            <w:r w:rsidRPr="00285C10">
              <w:rPr>
                <w:rFonts w:ascii="Segoe UI" w:eastAsia="MS Mincho" w:hAnsi="Segoe UI" w:cs="Segoe UI"/>
                <w:color w:val="000000"/>
                <w:sz w:val="13"/>
                <w:szCs w:val="13"/>
              </w:rPr>
              <w:t>περιόδου</w:t>
            </w:r>
            <w:r w:rsidR="00386DE7" w:rsidRPr="00386DE7">
              <w:rPr>
                <w:rFonts w:ascii="Segoe UI" w:eastAsia="MS Mincho" w:hAnsi="Segoe UI" w:cs="Segoe UI"/>
                <w:color w:val="000000"/>
                <w:sz w:val="13"/>
                <w:szCs w:val="13"/>
              </w:rPr>
              <w:t>, εξαιρουμένης της σύντομης συμφωνίας αγοράς &amp; επαναπώλησης ύψους €3.0 δισ. την 30 Ιουνίου 2021</w:t>
            </w:r>
          </w:p>
        </w:tc>
      </w:tr>
      <w:tr w:rsidR="0027264F" w:rsidRPr="00CB691B" w:rsidTr="00D95F56">
        <w:trPr>
          <w:trHeight w:val="113"/>
        </w:trPr>
        <w:tc>
          <w:tcPr>
            <w:tcW w:w="1972" w:type="dxa"/>
            <w:shd w:val="clear" w:color="auto" w:fill="F2F2F2" w:themeFill="background1" w:themeFillShade="F2"/>
            <w:noWrap/>
            <w:vAlign w:val="center"/>
          </w:tcPr>
          <w:p w:rsidR="0027264F" w:rsidRPr="00285C10" w:rsidRDefault="0027264F" w:rsidP="00D95F56">
            <w:pPr>
              <w:rPr>
                <w:rFonts w:ascii="Segoe UI" w:eastAsia="MS Mincho" w:hAnsi="Segoe UI" w:cs="Segoe UI"/>
                <w:sz w:val="13"/>
                <w:szCs w:val="13"/>
              </w:rPr>
            </w:pPr>
            <w:r w:rsidRPr="00285C10">
              <w:rPr>
                <w:rFonts w:ascii="Segoe UI" w:eastAsia="MS Mincho" w:hAnsi="Segoe UI" w:cs="Segoe UI"/>
                <w:sz w:val="13"/>
                <w:szCs w:val="13"/>
              </w:rPr>
              <w:t>Δείκτης Καθαρής Σταθερής Χρηματοδότησης</w:t>
            </w:r>
          </w:p>
        </w:tc>
        <w:tc>
          <w:tcPr>
            <w:tcW w:w="1134" w:type="dxa"/>
            <w:shd w:val="clear" w:color="auto" w:fill="F2F2F2" w:themeFill="background1" w:themeFillShade="F2"/>
            <w:noWrap/>
            <w:vAlign w:val="center"/>
          </w:tcPr>
          <w:p w:rsidR="0027264F" w:rsidRPr="00285C10" w:rsidRDefault="0027264F" w:rsidP="00D95F56">
            <w:pPr>
              <w:rPr>
                <w:rFonts w:ascii="Segoe UI" w:eastAsia="MS Mincho" w:hAnsi="Segoe UI" w:cs="Segoe UI"/>
                <w:sz w:val="13"/>
                <w:szCs w:val="13"/>
                <w:lang w:val="en-US"/>
              </w:rPr>
            </w:pPr>
            <w:r w:rsidRPr="00285C10">
              <w:rPr>
                <w:rFonts w:ascii="Segoe UI" w:eastAsia="MS Mincho" w:hAnsi="Segoe UI" w:cs="Segoe UI"/>
                <w:sz w:val="13"/>
                <w:szCs w:val="13"/>
              </w:rPr>
              <w:t xml:space="preserve">Δείκτης </w:t>
            </w:r>
            <w:r w:rsidRPr="00285C10">
              <w:rPr>
                <w:rFonts w:ascii="Segoe UI" w:eastAsia="MS Mincho" w:hAnsi="Segoe UI" w:cs="Segoe UI"/>
                <w:sz w:val="13"/>
                <w:szCs w:val="13"/>
                <w:lang w:val="en-US"/>
              </w:rPr>
              <w:t>NSFR</w:t>
            </w:r>
          </w:p>
        </w:tc>
        <w:tc>
          <w:tcPr>
            <w:tcW w:w="7087" w:type="dxa"/>
            <w:shd w:val="clear" w:color="auto" w:fill="F2F2F2" w:themeFill="background1" w:themeFillShade="F2"/>
            <w:noWrap/>
            <w:vAlign w:val="center"/>
          </w:tcPr>
          <w:p w:rsidR="0027264F" w:rsidRPr="00285C10" w:rsidRDefault="00B36D8D" w:rsidP="00271465">
            <w:pPr>
              <w:rPr>
                <w:rFonts w:ascii="Segoe UI" w:eastAsia="MS Mincho" w:hAnsi="Segoe UI" w:cs="Segoe UI"/>
                <w:sz w:val="13"/>
                <w:szCs w:val="13"/>
              </w:rPr>
            </w:pPr>
            <w:r w:rsidRPr="00285C10">
              <w:rPr>
                <w:rFonts w:ascii="Segoe UI" w:eastAsia="MS Mincho" w:hAnsi="Segoe UI" w:cs="Segoe UI"/>
                <w:sz w:val="13"/>
                <w:szCs w:val="13"/>
              </w:rPr>
              <w:t>Ο Δείκτης Καθαρής Σταθερής Χρηματοδότησης αναφέρεται στο ποσό των υποχρεώσεων και του κεφαλαίου που αναμένεται να διατηρείται στον χρονικό ορίζοντα που έχει οριστεί από το NSFR προς του ποσού της σταθερής χρηματοδότησης που πρέπει να διανεμηθεί στα διάφορα περιουσιακά στοιχεία ανάλογα με τα χαρακτηριστικά ρευστότητας και τις υπολειπόμενες διάρκειες τους</w:t>
            </w:r>
          </w:p>
        </w:tc>
      </w:tr>
      <w:tr w:rsidR="0027264F" w:rsidRPr="00CB691B" w:rsidTr="00D95F56">
        <w:trPr>
          <w:trHeight w:val="113"/>
        </w:trPr>
        <w:tc>
          <w:tcPr>
            <w:tcW w:w="1972" w:type="dxa"/>
            <w:shd w:val="clear" w:color="auto" w:fill="auto"/>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Δείκτης Κάλυψης Δανείων σε Καθυστέρηση +90 Ημερών</w:t>
            </w:r>
          </w:p>
        </w:tc>
        <w:tc>
          <w:tcPr>
            <w:tcW w:w="1134" w:type="dxa"/>
            <w:shd w:val="clear" w:color="auto" w:fill="auto"/>
            <w:noWrap/>
            <w:vAlign w:val="center"/>
            <w:hideMark/>
          </w:tcPr>
          <w:p w:rsidR="0027264F" w:rsidRPr="00285C10" w:rsidRDefault="0027264F" w:rsidP="00D95F56">
            <w:pPr>
              <w:rPr>
                <w:rFonts w:ascii="Segoe UI" w:eastAsia="MS Mincho" w:hAnsi="Segoe UI" w:cs="Segoe UI"/>
                <w:color w:val="000000"/>
                <w:sz w:val="13"/>
                <w:szCs w:val="13"/>
                <w:lang w:val="en-GB"/>
              </w:rPr>
            </w:pPr>
            <w:r w:rsidRPr="00285C10">
              <w:rPr>
                <w:rFonts w:ascii="Segoe UI" w:eastAsia="MS Mincho" w:hAnsi="Segoe UI" w:cs="Segoe UI"/>
                <w:color w:val="000000"/>
                <w:sz w:val="13"/>
                <w:szCs w:val="13"/>
                <w:lang w:val="en-GB"/>
              </w:rPr>
              <w:t xml:space="preserve">-- </w:t>
            </w:r>
          </w:p>
        </w:tc>
        <w:tc>
          <w:tcPr>
            <w:tcW w:w="7087" w:type="dxa"/>
            <w:shd w:val="clear" w:color="auto" w:fill="auto"/>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Σωρευμένες προβλέψεις προς δάνεια προ προβλέψεων σε καθυστέρηση άνω των 90 ημερών, εξαιρουμένων των υποχρεωτικά ταξινομούμενων στην εύλογη αξία μέσω αποτελεσμάτων δανείων, τέλος </w:t>
            </w:r>
            <w:r w:rsidR="00D96BA6" w:rsidRPr="00285C10">
              <w:rPr>
                <w:rFonts w:ascii="Segoe UI" w:eastAsia="MS Mincho" w:hAnsi="Segoe UI" w:cs="Segoe UI"/>
                <w:color w:val="000000"/>
                <w:sz w:val="13"/>
                <w:szCs w:val="13"/>
              </w:rPr>
              <w:t>χρήσης/</w:t>
            </w:r>
            <w:r w:rsidRPr="00285C10">
              <w:rPr>
                <w:rFonts w:ascii="Segoe UI" w:eastAsia="MS Mincho" w:hAnsi="Segoe UI" w:cs="Segoe UI"/>
                <w:color w:val="000000"/>
                <w:sz w:val="13"/>
                <w:szCs w:val="13"/>
              </w:rPr>
              <w:t>περιόδου</w:t>
            </w:r>
          </w:p>
        </w:tc>
      </w:tr>
      <w:tr w:rsidR="0027264F" w:rsidRPr="00CB691B" w:rsidTr="00D95F56">
        <w:trPr>
          <w:trHeight w:val="113"/>
        </w:trPr>
        <w:tc>
          <w:tcPr>
            <w:tcW w:w="1972" w:type="dxa"/>
            <w:shd w:val="clear" w:color="auto" w:fill="F2F2F2" w:themeFill="background1" w:themeFillShade="F2"/>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Δείκτης Κάλυψης Μη Εξυπηρετούμενων Ανοιγμάτων</w:t>
            </w:r>
          </w:p>
        </w:tc>
        <w:tc>
          <w:tcPr>
            <w:tcW w:w="1134" w:type="dxa"/>
            <w:shd w:val="clear" w:color="auto" w:fill="F2F2F2" w:themeFill="background1" w:themeFillShade="F2"/>
            <w:noWrap/>
            <w:vAlign w:val="center"/>
            <w:hideMark/>
          </w:tcPr>
          <w:p w:rsidR="0027264F" w:rsidRPr="00285C10" w:rsidRDefault="0027264F" w:rsidP="00D95F56">
            <w:pPr>
              <w:rPr>
                <w:rFonts w:ascii="Segoe UI" w:eastAsia="MS Mincho" w:hAnsi="Segoe UI" w:cs="Segoe UI"/>
                <w:color w:val="000000"/>
                <w:sz w:val="13"/>
                <w:szCs w:val="13"/>
                <w:lang w:val="en-GB"/>
              </w:rPr>
            </w:pPr>
            <w:r w:rsidRPr="00285C10">
              <w:rPr>
                <w:rFonts w:ascii="Segoe UI" w:eastAsia="MS Mincho" w:hAnsi="Segoe UI" w:cs="Segoe UI"/>
                <w:color w:val="000000"/>
                <w:sz w:val="13"/>
                <w:szCs w:val="13"/>
              </w:rPr>
              <w:t>Δείκτης κάλυψης ΜΕΑ</w:t>
            </w:r>
          </w:p>
        </w:tc>
        <w:tc>
          <w:tcPr>
            <w:tcW w:w="7087" w:type="dxa"/>
            <w:shd w:val="clear" w:color="auto" w:fill="F2F2F2" w:themeFill="background1" w:themeFillShade="F2"/>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Σωρευμένες προβλέψεις προς Μη Εξυπηρετούμενα Ανοίγματα, εξαιρουμένων των υποχρεωτικά ταξινομούμενων στην εύλογη αξία μέσω αποτελεσμάτων δανείων, τέλος </w:t>
            </w:r>
            <w:r w:rsidR="00D96BA6" w:rsidRPr="00285C10">
              <w:rPr>
                <w:rFonts w:ascii="Segoe UI" w:eastAsia="MS Mincho" w:hAnsi="Segoe UI" w:cs="Segoe UI"/>
                <w:color w:val="000000"/>
                <w:sz w:val="13"/>
                <w:szCs w:val="13"/>
              </w:rPr>
              <w:t>χρήσης</w:t>
            </w:r>
            <w:r w:rsidR="00941D74" w:rsidRPr="00285C10">
              <w:rPr>
                <w:rFonts w:ascii="Segoe UI" w:eastAsia="MS Mincho" w:hAnsi="Segoe UI" w:cs="Segoe UI"/>
                <w:color w:val="000000"/>
                <w:sz w:val="13"/>
                <w:szCs w:val="13"/>
              </w:rPr>
              <w:t xml:space="preserve"> </w:t>
            </w:r>
            <w:r w:rsidR="00D96BA6" w:rsidRPr="00285C10">
              <w:rPr>
                <w:rFonts w:ascii="Segoe UI" w:eastAsia="MS Mincho" w:hAnsi="Segoe UI" w:cs="Segoe UI"/>
                <w:color w:val="000000"/>
                <w:sz w:val="13"/>
                <w:szCs w:val="13"/>
              </w:rPr>
              <w:t>/</w:t>
            </w:r>
            <w:r w:rsidR="00941D74" w:rsidRPr="00285C10">
              <w:rPr>
                <w:rFonts w:ascii="Segoe UI" w:eastAsia="MS Mincho" w:hAnsi="Segoe UI" w:cs="Segoe UI"/>
                <w:color w:val="000000"/>
                <w:sz w:val="13"/>
                <w:szCs w:val="13"/>
              </w:rPr>
              <w:t xml:space="preserve"> </w:t>
            </w:r>
            <w:r w:rsidRPr="00285C10">
              <w:rPr>
                <w:rFonts w:ascii="Segoe UI" w:eastAsia="MS Mincho" w:hAnsi="Segoe UI" w:cs="Segoe UI"/>
                <w:color w:val="000000"/>
                <w:sz w:val="13"/>
                <w:szCs w:val="13"/>
              </w:rPr>
              <w:t>περιόδου</w:t>
            </w:r>
          </w:p>
        </w:tc>
      </w:tr>
      <w:tr w:rsidR="0027264F" w:rsidRPr="00CB691B" w:rsidTr="00D95F56">
        <w:trPr>
          <w:trHeight w:val="113"/>
        </w:trPr>
        <w:tc>
          <w:tcPr>
            <w:tcW w:w="1972" w:type="dxa"/>
            <w:shd w:val="clear" w:color="auto" w:fill="auto"/>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Δείκτης Κάλυψης Ρευστότητας (</w:t>
            </w:r>
            <w:r w:rsidRPr="00285C10">
              <w:rPr>
                <w:rFonts w:ascii="Segoe UI" w:eastAsia="MS Mincho" w:hAnsi="Segoe UI" w:cs="Segoe UI"/>
                <w:color w:val="000000"/>
                <w:sz w:val="13"/>
                <w:szCs w:val="13"/>
                <w:lang w:val="en-US"/>
              </w:rPr>
              <w:t>Liquidity</w:t>
            </w:r>
            <w:r w:rsidRPr="00285C10">
              <w:rPr>
                <w:rFonts w:ascii="Segoe UI" w:eastAsia="MS Mincho" w:hAnsi="Segoe UI" w:cs="Segoe UI"/>
                <w:color w:val="000000"/>
                <w:sz w:val="13"/>
                <w:szCs w:val="13"/>
              </w:rPr>
              <w:t xml:space="preserve"> </w:t>
            </w:r>
            <w:r w:rsidRPr="00285C10">
              <w:rPr>
                <w:rFonts w:ascii="Segoe UI" w:eastAsia="MS Mincho" w:hAnsi="Segoe UI" w:cs="Segoe UI"/>
                <w:color w:val="000000"/>
                <w:sz w:val="13"/>
                <w:szCs w:val="13"/>
                <w:lang w:val="en-US"/>
              </w:rPr>
              <w:t>Coverage</w:t>
            </w:r>
            <w:r w:rsidRPr="00285C10">
              <w:rPr>
                <w:rFonts w:ascii="Segoe UI" w:eastAsia="MS Mincho" w:hAnsi="Segoe UI" w:cs="Segoe UI"/>
                <w:color w:val="000000"/>
                <w:sz w:val="13"/>
                <w:szCs w:val="13"/>
              </w:rPr>
              <w:t xml:space="preserve"> </w:t>
            </w:r>
            <w:r w:rsidRPr="00285C10">
              <w:rPr>
                <w:rFonts w:ascii="Segoe UI" w:eastAsia="MS Mincho" w:hAnsi="Segoe UI" w:cs="Segoe UI"/>
                <w:color w:val="000000"/>
                <w:sz w:val="13"/>
                <w:szCs w:val="13"/>
                <w:lang w:val="en-US"/>
              </w:rPr>
              <w:t>Ratio</w:t>
            </w:r>
            <w:r w:rsidRPr="00285C10">
              <w:rPr>
                <w:rFonts w:ascii="Segoe UI" w:eastAsia="MS Mincho" w:hAnsi="Segoe UI" w:cs="Segoe UI"/>
                <w:color w:val="000000"/>
                <w:sz w:val="13"/>
                <w:szCs w:val="13"/>
              </w:rPr>
              <w:t>)</w:t>
            </w:r>
          </w:p>
        </w:tc>
        <w:tc>
          <w:tcPr>
            <w:tcW w:w="1134" w:type="dxa"/>
            <w:shd w:val="clear" w:color="auto" w:fill="auto"/>
            <w:noWrap/>
            <w:vAlign w:val="center"/>
          </w:tcPr>
          <w:p w:rsidR="0027264F" w:rsidRPr="00285C10" w:rsidRDefault="0027264F" w:rsidP="00D95F56">
            <w:pPr>
              <w:rPr>
                <w:rFonts w:ascii="Segoe UI" w:eastAsia="MS Mincho" w:hAnsi="Segoe UI" w:cs="Segoe UI"/>
                <w:color w:val="000000"/>
                <w:sz w:val="13"/>
                <w:szCs w:val="13"/>
                <w:lang w:val="en-GB"/>
              </w:rPr>
            </w:pPr>
            <w:r w:rsidRPr="00285C10">
              <w:rPr>
                <w:rFonts w:ascii="Segoe UI" w:eastAsia="MS Mincho" w:hAnsi="Segoe UI" w:cs="Segoe UI"/>
                <w:color w:val="000000"/>
                <w:sz w:val="13"/>
                <w:szCs w:val="13"/>
              </w:rPr>
              <w:t xml:space="preserve">Δείκτης </w:t>
            </w:r>
            <w:r w:rsidRPr="00285C10">
              <w:rPr>
                <w:rFonts w:ascii="Segoe UI" w:eastAsia="MS Mincho" w:hAnsi="Segoe UI" w:cs="Segoe UI"/>
                <w:color w:val="000000"/>
                <w:sz w:val="13"/>
                <w:szCs w:val="13"/>
                <w:lang w:val="en-US"/>
              </w:rPr>
              <w:t>LCR</w:t>
            </w:r>
          </w:p>
        </w:tc>
        <w:tc>
          <w:tcPr>
            <w:tcW w:w="7087" w:type="dxa"/>
            <w:shd w:val="clear" w:color="auto" w:fill="auto"/>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Ο Δείκτης Κάλυψης Ρευστότητας ισούται με τον δείκτη του αποθέματος ασφαλείας ρευστότητας του πιστωτικού ιδρύματος προς τις καθαρές εκροές ρευστότητάς του κατά τη διάρκεια μιας περιόδου ακραίων συνθηκών 30 ημερολογιακών ημερών, σύμφωνα με τον Κανονισμό (ΕΕ) 2015/61 </w:t>
            </w:r>
          </w:p>
        </w:tc>
      </w:tr>
      <w:tr w:rsidR="0027264F" w:rsidRPr="00CB691B" w:rsidTr="00D95F56">
        <w:trPr>
          <w:trHeight w:val="113"/>
        </w:trPr>
        <w:tc>
          <w:tcPr>
            <w:tcW w:w="1972" w:type="dxa"/>
            <w:shd w:val="clear" w:color="auto" w:fill="F2F2F2" w:themeFill="background1" w:themeFillShade="F2"/>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Δείκτης Κόστους προς Λειτουργικά Έσοδα</w:t>
            </w:r>
          </w:p>
        </w:tc>
        <w:tc>
          <w:tcPr>
            <w:tcW w:w="1134" w:type="dxa"/>
            <w:shd w:val="clear" w:color="auto" w:fill="F2F2F2" w:themeFill="background1" w:themeFillShade="F2"/>
            <w:noWrap/>
            <w:vAlign w:val="center"/>
          </w:tcPr>
          <w:p w:rsidR="0027264F" w:rsidRPr="00285C10" w:rsidRDefault="0027264F" w:rsidP="00D95F56">
            <w:pPr>
              <w:rPr>
                <w:rFonts w:ascii="Segoe UI" w:eastAsia="MS Mincho" w:hAnsi="Segoe UI" w:cs="Segoe UI"/>
                <w:color w:val="000000"/>
                <w:sz w:val="13"/>
                <w:szCs w:val="13"/>
                <w:lang w:val="en-GB"/>
              </w:rPr>
            </w:pPr>
            <w:r w:rsidRPr="00285C10">
              <w:rPr>
                <w:rFonts w:ascii="Segoe UI" w:eastAsia="MS Mincho" w:hAnsi="Segoe UI" w:cs="Segoe UI"/>
                <w:color w:val="000000"/>
                <w:sz w:val="13"/>
                <w:szCs w:val="13"/>
                <w:lang w:val="en-GB"/>
              </w:rPr>
              <w:t>--</w:t>
            </w:r>
          </w:p>
        </w:tc>
        <w:tc>
          <w:tcPr>
            <w:tcW w:w="7087" w:type="dxa"/>
            <w:shd w:val="clear" w:color="auto" w:fill="F2F2F2" w:themeFill="background1" w:themeFillShade="F2"/>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Λειτουργικά έξοδα προς καθαρά λειτουργικά έσοδα </w:t>
            </w:r>
          </w:p>
        </w:tc>
      </w:tr>
      <w:tr w:rsidR="0027264F" w:rsidRPr="00CB691B" w:rsidTr="00D95F56">
        <w:trPr>
          <w:trHeight w:val="113"/>
        </w:trPr>
        <w:tc>
          <w:tcPr>
            <w:tcW w:w="1972" w:type="dxa"/>
            <w:shd w:val="clear" w:color="auto" w:fill="auto"/>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Δείκτης Κόστους προς Οργανικά Έσοδα</w:t>
            </w:r>
          </w:p>
        </w:tc>
        <w:tc>
          <w:tcPr>
            <w:tcW w:w="1134" w:type="dxa"/>
            <w:shd w:val="clear" w:color="auto" w:fill="auto"/>
            <w:noWrap/>
            <w:vAlign w:val="center"/>
            <w:hideMark/>
          </w:tcPr>
          <w:p w:rsidR="0027264F" w:rsidRPr="00285C10" w:rsidRDefault="0027264F" w:rsidP="00D95F56">
            <w:pPr>
              <w:rPr>
                <w:rFonts w:ascii="Segoe UI" w:eastAsia="MS Mincho" w:hAnsi="Segoe UI" w:cs="Segoe UI"/>
                <w:color w:val="000000"/>
                <w:sz w:val="13"/>
                <w:szCs w:val="13"/>
                <w:lang w:val="en-GB"/>
              </w:rPr>
            </w:pPr>
            <w:r w:rsidRPr="00285C10">
              <w:rPr>
                <w:rFonts w:ascii="Segoe UI" w:eastAsia="MS Mincho" w:hAnsi="Segoe UI" w:cs="Segoe UI"/>
                <w:color w:val="000000"/>
                <w:sz w:val="13"/>
                <w:szCs w:val="13"/>
                <w:lang w:val="en-GB"/>
              </w:rPr>
              <w:t>--</w:t>
            </w:r>
          </w:p>
        </w:tc>
        <w:tc>
          <w:tcPr>
            <w:tcW w:w="7087" w:type="dxa"/>
            <w:shd w:val="clear" w:color="auto" w:fill="auto"/>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Λειτουργικά έξοδα προς οργανικά έσοδα</w:t>
            </w:r>
          </w:p>
        </w:tc>
      </w:tr>
      <w:tr w:rsidR="0027264F" w:rsidRPr="00CB691B" w:rsidTr="00D95F56">
        <w:trPr>
          <w:trHeight w:val="113"/>
        </w:trPr>
        <w:tc>
          <w:tcPr>
            <w:tcW w:w="1972" w:type="dxa"/>
            <w:shd w:val="clear" w:color="auto" w:fill="F2F2F2" w:themeFill="background1" w:themeFillShade="F2"/>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Δείκτης κεφαλαίου κοινών μετοχών κατηγορίας 1 («Common Equity Tier 1», «CET1») 1 </w:t>
            </w:r>
          </w:p>
        </w:tc>
        <w:tc>
          <w:tcPr>
            <w:tcW w:w="1134" w:type="dxa"/>
            <w:shd w:val="clear" w:color="auto" w:fill="F2F2F2" w:themeFill="background1" w:themeFillShade="F2"/>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Δείκτης </w:t>
            </w:r>
            <w:r w:rsidRPr="00285C10">
              <w:rPr>
                <w:rFonts w:ascii="Segoe UI" w:eastAsia="MS Mincho" w:hAnsi="Segoe UI" w:cs="Segoe UI"/>
                <w:color w:val="000000"/>
                <w:sz w:val="13"/>
                <w:szCs w:val="13"/>
                <w:lang w:val="en-GB"/>
              </w:rPr>
              <w:t>CET</w:t>
            </w:r>
            <w:r w:rsidRPr="00285C10">
              <w:rPr>
                <w:rFonts w:ascii="Segoe UI" w:eastAsia="MS Mincho" w:hAnsi="Segoe UI" w:cs="Segoe UI"/>
                <w:color w:val="000000"/>
                <w:sz w:val="13"/>
                <w:szCs w:val="13"/>
              </w:rPr>
              <w:t>1</w:t>
            </w:r>
          </w:p>
        </w:tc>
        <w:tc>
          <w:tcPr>
            <w:tcW w:w="7087" w:type="dxa"/>
            <w:shd w:val="clear" w:color="auto" w:fill="F2F2F2" w:themeFill="background1" w:themeFillShade="F2"/>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Μέσα κεφαλαίου κοινών μετοχών κατηγορίας 1, με εφαρμογή των διατάξεων του Κανονισμού (EU) 575/2013 και των εποπτικών μεταβατικών ρυθμίσεων για την επίδραση του ΔΠΧΑ 9, αναφορικά με τα σταθμισμένα στοιχεία Ενεργητικού</w:t>
            </w:r>
          </w:p>
        </w:tc>
      </w:tr>
      <w:tr w:rsidR="0027264F" w:rsidRPr="00CB691B" w:rsidTr="00D95F56">
        <w:trPr>
          <w:trHeight w:val="113"/>
        </w:trPr>
        <w:tc>
          <w:tcPr>
            <w:tcW w:w="1972" w:type="dxa"/>
            <w:shd w:val="clear" w:color="auto" w:fill="auto"/>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Δείκτης Κεφαλαίου Κοινών Μετοχών Κατηγορίας 1 με πλήρη εφαρμογή του ΔΠΧΑ9 (“CET1 fully loaded”)</w:t>
            </w:r>
          </w:p>
        </w:tc>
        <w:tc>
          <w:tcPr>
            <w:tcW w:w="1134" w:type="dxa"/>
            <w:shd w:val="clear" w:color="auto" w:fill="auto"/>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Δείκτης </w:t>
            </w:r>
            <w:r w:rsidRPr="00285C10">
              <w:rPr>
                <w:rFonts w:ascii="Segoe UI" w:eastAsia="MS Mincho" w:hAnsi="Segoe UI" w:cs="Segoe UI"/>
                <w:color w:val="000000"/>
                <w:sz w:val="13"/>
                <w:szCs w:val="13"/>
                <w:lang w:val="en-GB"/>
              </w:rPr>
              <w:t>CET</w:t>
            </w:r>
            <w:r w:rsidRPr="00285C10">
              <w:rPr>
                <w:rFonts w:ascii="Segoe UI" w:eastAsia="MS Mincho" w:hAnsi="Segoe UI" w:cs="Segoe UI"/>
                <w:color w:val="000000"/>
                <w:sz w:val="13"/>
                <w:szCs w:val="13"/>
              </w:rPr>
              <w:t xml:space="preserve">1 </w:t>
            </w:r>
            <w:r w:rsidRPr="00285C10">
              <w:rPr>
                <w:rFonts w:ascii="Segoe UI" w:eastAsia="MS Mincho" w:hAnsi="Segoe UI" w:cs="Segoe UI"/>
                <w:color w:val="000000"/>
                <w:sz w:val="13"/>
                <w:szCs w:val="13"/>
                <w:lang w:val="en-GB"/>
              </w:rPr>
              <w:t>FL</w:t>
            </w:r>
          </w:p>
        </w:tc>
        <w:tc>
          <w:tcPr>
            <w:tcW w:w="7087" w:type="dxa"/>
            <w:shd w:val="clear" w:color="auto" w:fill="auto"/>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Μέσα κεφαλαίου κοινών μετοχών κατηγορίας 1, με εφαρμογή των διατάξεων του Κανονισμού (EU) 575/2013, χωρίς την εφαρμογή των εποπτικών μεταβατικών ρυθμίσεων για την επίδραση του ΔΠΧΑ 9, αναφορικά με τα σταθμισμένα στοιχεία Ενεργητικού</w:t>
            </w:r>
          </w:p>
        </w:tc>
      </w:tr>
      <w:tr w:rsidR="0027264F" w:rsidRPr="00CB691B" w:rsidTr="00D95F56">
        <w:trPr>
          <w:trHeight w:val="113"/>
        </w:trPr>
        <w:tc>
          <w:tcPr>
            <w:tcW w:w="1972" w:type="dxa"/>
            <w:shd w:val="clear" w:color="auto" w:fill="F2F2F2" w:themeFill="background1" w:themeFillShade="F2"/>
            <w:noWrap/>
            <w:vAlign w:val="center"/>
            <w:hideMark/>
          </w:tcPr>
          <w:p w:rsidR="0027264F" w:rsidRPr="00055D4C" w:rsidRDefault="00055D4C" w:rsidP="00055D4C">
            <w:pPr>
              <w:rPr>
                <w:rFonts w:ascii="Segoe UI" w:eastAsia="MS Mincho" w:hAnsi="Segoe UI" w:cs="Segoe UI"/>
                <w:color w:val="000000"/>
                <w:sz w:val="13"/>
                <w:szCs w:val="13"/>
              </w:rPr>
            </w:pPr>
            <w:r>
              <w:rPr>
                <w:rFonts w:ascii="Segoe UI" w:eastAsia="MS Mincho" w:hAnsi="Segoe UI" w:cs="Segoe UI"/>
                <w:color w:val="000000"/>
                <w:sz w:val="13"/>
                <w:szCs w:val="13"/>
              </w:rPr>
              <w:t>Δείκτης Μη</w:t>
            </w:r>
            <w:r w:rsidR="0027264F" w:rsidRPr="00285C10">
              <w:rPr>
                <w:rFonts w:ascii="Segoe UI" w:eastAsia="MS Mincho" w:hAnsi="Segoe UI" w:cs="Segoe UI"/>
                <w:color w:val="000000"/>
                <w:sz w:val="13"/>
                <w:szCs w:val="13"/>
                <w:lang w:val="en-GB"/>
              </w:rPr>
              <w:t xml:space="preserve"> </w:t>
            </w:r>
            <w:r>
              <w:rPr>
                <w:rFonts w:ascii="Segoe UI" w:eastAsia="MS Mincho" w:hAnsi="Segoe UI" w:cs="Segoe UI"/>
                <w:color w:val="000000"/>
                <w:sz w:val="13"/>
                <w:szCs w:val="13"/>
              </w:rPr>
              <w:t>Εξυπηρετούμενων</w:t>
            </w:r>
            <w:r w:rsidR="0027264F" w:rsidRPr="00285C10">
              <w:rPr>
                <w:rFonts w:ascii="Segoe UI" w:eastAsia="MS Mincho" w:hAnsi="Segoe UI" w:cs="Segoe UI"/>
                <w:color w:val="000000"/>
                <w:sz w:val="13"/>
                <w:szCs w:val="13"/>
                <w:lang w:val="en-GB"/>
              </w:rPr>
              <w:t xml:space="preserve"> </w:t>
            </w:r>
            <w:r>
              <w:rPr>
                <w:rFonts w:ascii="Segoe UI" w:eastAsia="MS Mincho" w:hAnsi="Segoe UI" w:cs="Segoe UI"/>
                <w:color w:val="000000"/>
                <w:sz w:val="13"/>
                <w:szCs w:val="13"/>
              </w:rPr>
              <w:t>Ανοιγμάτων</w:t>
            </w:r>
          </w:p>
        </w:tc>
        <w:tc>
          <w:tcPr>
            <w:tcW w:w="1134" w:type="dxa"/>
            <w:shd w:val="clear" w:color="auto" w:fill="F2F2F2" w:themeFill="background1" w:themeFillShade="F2"/>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Δείκτης ΜΕΑ </w:t>
            </w:r>
          </w:p>
        </w:tc>
        <w:tc>
          <w:tcPr>
            <w:tcW w:w="7087" w:type="dxa"/>
            <w:shd w:val="clear" w:color="auto" w:fill="F2F2F2" w:themeFill="background1" w:themeFillShade="F2"/>
            <w:noWrap/>
            <w:vAlign w:val="center"/>
            <w:hideMark/>
          </w:tcPr>
          <w:p w:rsidR="0027264F" w:rsidRPr="00285C10" w:rsidRDefault="0027264F" w:rsidP="003E28DD">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Μη Εξυπηρετούμενα Ανοίγματα προς δάνεια προ προβλέψεων, </w:t>
            </w:r>
            <w:r w:rsidR="00127029" w:rsidRPr="00285C10">
              <w:rPr>
                <w:rFonts w:ascii="Segoe UI" w:eastAsia="MS Mincho" w:hAnsi="Segoe UI" w:cs="Segoe UI"/>
                <w:color w:val="000000"/>
                <w:sz w:val="13"/>
                <w:szCs w:val="13"/>
              </w:rPr>
              <w:t xml:space="preserve">τέλος </w:t>
            </w:r>
            <w:r w:rsidR="00D96BA6" w:rsidRPr="00285C10">
              <w:rPr>
                <w:rFonts w:ascii="Segoe UI" w:eastAsia="MS Mincho" w:hAnsi="Segoe UI" w:cs="Segoe UI"/>
                <w:color w:val="000000"/>
                <w:sz w:val="13"/>
                <w:szCs w:val="13"/>
              </w:rPr>
              <w:t>χρήσης</w:t>
            </w:r>
            <w:r w:rsidR="00941D74" w:rsidRPr="00285C10">
              <w:rPr>
                <w:rFonts w:ascii="Segoe UI" w:eastAsia="MS Mincho" w:hAnsi="Segoe UI" w:cs="Segoe UI"/>
                <w:color w:val="000000"/>
                <w:sz w:val="13"/>
                <w:szCs w:val="13"/>
              </w:rPr>
              <w:t xml:space="preserve"> </w:t>
            </w:r>
            <w:r w:rsidR="00127029" w:rsidRPr="00285C10">
              <w:rPr>
                <w:rFonts w:ascii="Segoe UI" w:eastAsia="MS Mincho" w:hAnsi="Segoe UI" w:cs="Segoe UI"/>
                <w:color w:val="000000"/>
                <w:sz w:val="13"/>
                <w:szCs w:val="13"/>
              </w:rPr>
              <w:t>/</w:t>
            </w:r>
            <w:r w:rsidR="00941D74" w:rsidRPr="00285C10">
              <w:rPr>
                <w:rFonts w:ascii="Segoe UI" w:eastAsia="MS Mincho" w:hAnsi="Segoe UI" w:cs="Segoe UI"/>
                <w:color w:val="000000"/>
                <w:sz w:val="13"/>
                <w:szCs w:val="13"/>
              </w:rPr>
              <w:t xml:space="preserve"> </w:t>
            </w:r>
            <w:r w:rsidR="00127029" w:rsidRPr="00285C10">
              <w:rPr>
                <w:rFonts w:ascii="Segoe UI" w:eastAsia="MS Mincho" w:hAnsi="Segoe UI" w:cs="Segoe UI"/>
                <w:color w:val="000000"/>
                <w:sz w:val="13"/>
                <w:szCs w:val="13"/>
              </w:rPr>
              <w:t>περιόδου</w:t>
            </w:r>
            <w:r w:rsidR="003E28DD" w:rsidRPr="003E28DD">
              <w:rPr>
                <w:rFonts w:ascii="Segoe UI" w:eastAsia="MS Mincho" w:hAnsi="Segoe UI" w:cs="Segoe UI"/>
                <w:color w:val="000000"/>
                <w:sz w:val="13"/>
                <w:szCs w:val="13"/>
              </w:rPr>
              <w:t>, εξαιρουμέν</w:t>
            </w:r>
            <w:r w:rsidR="003E28DD">
              <w:rPr>
                <w:rFonts w:ascii="Segoe UI" w:eastAsia="MS Mincho" w:hAnsi="Segoe UI" w:cs="Segoe UI"/>
                <w:color w:val="000000"/>
                <w:sz w:val="13"/>
                <w:szCs w:val="13"/>
              </w:rPr>
              <w:t xml:space="preserve">ης </w:t>
            </w:r>
            <w:r w:rsidR="003E28DD" w:rsidRPr="003E28DD">
              <w:rPr>
                <w:rFonts w:ascii="Segoe UI" w:eastAsia="MS Mincho" w:hAnsi="Segoe UI" w:cs="Segoe UI"/>
                <w:color w:val="000000"/>
                <w:sz w:val="13"/>
                <w:szCs w:val="13"/>
              </w:rPr>
              <w:t>της σύντομης συμφωνίας αγοράς &amp; επαναπώλησης ύψους €3.0 δισ. την 30 Ιουνίου 2021</w:t>
            </w:r>
          </w:p>
        </w:tc>
      </w:tr>
      <w:tr w:rsidR="00DA32F6" w:rsidRPr="00CB691B" w:rsidTr="00D95F56">
        <w:trPr>
          <w:trHeight w:val="113"/>
        </w:trPr>
        <w:tc>
          <w:tcPr>
            <w:tcW w:w="1972" w:type="dxa"/>
            <w:shd w:val="clear" w:color="auto" w:fill="auto"/>
            <w:noWrap/>
            <w:vAlign w:val="center"/>
          </w:tcPr>
          <w:p w:rsidR="00DA32F6" w:rsidRPr="00285C10" w:rsidRDefault="00DA32F6" w:rsidP="00DA32F6">
            <w:pPr>
              <w:rPr>
                <w:rFonts w:ascii="Segoe UI" w:eastAsia="MS Mincho" w:hAnsi="Segoe UI" w:cs="Segoe UI"/>
                <w:color w:val="000000"/>
                <w:sz w:val="13"/>
                <w:szCs w:val="13"/>
              </w:rPr>
            </w:pPr>
            <w:r w:rsidRPr="00DA32F6">
              <w:rPr>
                <w:rFonts w:ascii="Segoe UI" w:eastAsia="MS Mincho" w:hAnsi="Segoe UI" w:cs="Segoe UI"/>
                <w:color w:val="000000"/>
                <w:sz w:val="13"/>
                <w:szCs w:val="13"/>
              </w:rPr>
              <w:t xml:space="preserve">Διακοπείσες δραστηριότητες, δικαιώματα μειοψηφίας και </w:t>
            </w:r>
            <w:r>
              <w:rPr>
                <w:rFonts w:ascii="Segoe UI" w:eastAsia="MS Mincho" w:hAnsi="Segoe UI" w:cs="Segoe UI"/>
                <w:color w:val="000000"/>
                <w:sz w:val="13"/>
                <w:szCs w:val="13"/>
              </w:rPr>
              <w:t>λοιπά</w:t>
            </w:r>
          </w:p>
        </w:tc>
        <w:tc>
          <w:tcPr>
            <w:tcW w:w="1134" w:type="dxa"/>
            <w:shd w:val="clear" w:color="auto" w:fill="auto"/>
            <w:noWrap/>
            <w:vAlign w:val="center"/>
          </w:tcPr>
          <w:p w:rsidR="00DA32F6" w:rsidRPr="00285C10" w:rsidRDefault="00DA32F6" w:rsidP="00D95F56">
            <w:pPr>
              <w:rPr>
                <w:rFonts w:ascii="Segoe UI" w:eastAsia="MS Mincho" w:hAnsi="Segoe UI" w:cs="Segoe UI"/>
                <w:color w:val="000000"/>
                <w:sz w:val="13"/>
                <w:szCs w:val="13"/>
              </w:rPr>
            </w:pPr>
          </w:p>
        </w:tc>
        <w:tc>
          <w:tcPr>
            <w:tcW w:w="7087" w:type="dxa"/>
            <w:shd w:val="clear" w:color="auto" w:fill="auto"/>
            <w:noWrap/>
            <w:vAlign w:val="center"/>
          </w:tcPr>
          <w:p w:rsidR="00DA32F6" w:rsidRPr="00285C10" w:rsidRDefault="00DA32F6" w:rsidP="00AA5251">
            <w:pPr>
              <w:rPr>
                <w:rFonts w:ascii="Segoe UI" w:eastAsia="MS Mincho" w:hAnsi="Segoe UI" w:cs="Segoe UI"/>
                <w:color w:val="000000"/>
                <w:sz w:val="13"/>
                <w:szCs w:val="13"/>
              </w:rPr>
            </w:pPr>
            <w:r w:rsidRPr="00DA32F6">
              <w:rPr>
                <w:rFonts w:ascii="Segoe UI" w:eastAsia="MS Mincho" w:hAnsi="Segoe UI" w:cs="Segoe UI"/>
                <w:color w:val="000000"/>
                <w:sz w:val="13"/>
                <w:szCs w:val="13"/>
              </w:rPr>
              <w:t xml:space="preserve">Περιλαμβάνουν τα κέρδη μετά από φόρους από διακοπείσες δραστηριότητες, </w:t>
            </w:r>
            <w:r w:rsidR="000B56AC">
              <w:rPr>
                <w:rFonts w:ascii="Segoe UI" w:eastAsia="MS Mincho" w:hAnsi="Segoe UI" w:cs="Segoe UI"/>
                <w:color w:val="000000"/>
                <w:sz w:val="13"/>
                <w:szCs w:val="13"/>
              </w:rPr>
              <w:t>τα κέρδη περιόδου αναλογούντα σε μετόχους μη</w:t>
            </w:r>
            <w:r w:rsidRPr="00DA32F6">
              <w:rPr>
                <w:rFonts w:ascii="Segoe UI" w:eastAsia="MS Mincho" w:hAnsi="Segoe UI" w:cs="Segoe UI"/>
                <w:color w:val="000000"/>
                <w:sz w:val="13"/>
                <w:szCs w:val="13"/>
              </w:rPr>
              <w:t xml:space="preserve"> ελ</w:t>
            </w:r>
            <w:r w:rsidR="000B56AC">
              <w:rPr>
                <w:rFonts w:ascii="Segoe UI" w:eastAsia="MS Mincho" w:hAnsi="Segoe UI" w:cs="Segoe UI"/>
                <w:color w:val="000000"/>
                <w:sz w:val="13"/>
                <w:szCs w:val="13"/>
              </w:rPr>
              <w:t>εγχουσών συμμετοχών</w:t>
            </w:r>
            <w:r w:rsidRPr="00DA32F6">
              <w:rPr>
                <w:rFonts w:ascii="Segoe UI" w:eastAsia="MS Mincho" w:hAnsi="Segoe UI" w:cs="Segoe UI"/>
                <w:color w:val="000000"/>
                <w:sz w:val="13"/>
                <w:szCs w:val="13"/>
              </w:rPr>
              <w:t xml:space="preserve">, καθώς και την ασφαλιστική εισφορά για τον ΛΕΠΕΤΕ στο e-ΕΦΚΑ, κόστη Εθελουσίας Εξόδου Προσωπικού και αναδιάρθρωσης, </w:t>
            </w:r>
            <w:r w:rsidR="00AA5251">
              <w:rPr>
                <w:rFonts w:ascii="Segoe UI" w:eastAsia="MS Mincho" w:hAnsi="Segoe UI" w:cs="Segoe UI"/>
                <w:color w:val="000000"/>
                <w:sz w:val="13"/>
                <w:szCs w:val="13"/>
              </w:rPr>
              <w:t xml:space="preserve">καθώς </w:t>
            </w:r>
            <w:r w:rsidRPr="00DA32F6">
              <w:rPr>
                <w:rFonts w:ascii="Segoe UI" w:eastAsia="MS Mincho" w:hAnsi="Segoe UI" w:cs="Segoe UI"/>
                <w:color w:val="000000"/>
                <w:sz w:val="13"/>
                <w:szCs w:val="13"/>
              </w:rPr>
              <w:t>και λοιπές μη επαναλαμβανόμενες δαπάνες</w:t>
            </w:r>
          </w:p>
        </w:tc>
      </w:tr>
      <w:tr w:rsidR="0027264F" w:rsidRPr="00CB691B" w:rsidTr="00466F50">
        <w:trPr>
          <w:trHeight w:val="113"/>
        </w:trPr>
        <w:tc>
          <w:tcPr>
            <w:tcW w:w="1972" w:type="dxa"/>
            <w:shd w:val="clear" w:color="auto" w:fill="F2F2F2" w:themeFill="background1" w:themeFillShade="F2"/>
            <w:noWrap/>
            <w:vAlign w:val="center"/>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Ενσώματα Ίδια Κεφάλαια</w:t>
            </w:r>
          </w:p>
        </w:tc>
        <w:tc>
          <w:tcPr>
            <w:tcW w:w="1134" w:type="dxa"/>
            <w:shd w:val="clear" w:color="auto" w:fill="F2F2F2" w:themeFill="background1" w:themeFillShade="F2"/>
            <w:noWrap/>
            <w:vAlign w:val="center"/>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w:t>
            </w:r>
          </w:p>
        </w:tc>
        <w:tc>
          <w:tcPr>
            <w:tcW w:w="7087" w:type="dxa"/>
            <w:shd w:val="clear" w:color="auto" w:fill="F2F2F2" w:themeFill="background1" w:themeFillShade="F2"/>
            <w:noWrap/>
            <w:vAlign w:val="center"/>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Ίδια κεφάλαια μετόχων Τράπεζας μείον υπεραξία επιχειρήσεων, λογισμικό και λοιπά άυλα</w:t>
            </w:r>
          </w:p>
        </w:tc>
      </w:tr>
      <w:tr w:rsidR="0027264F" w:rsidRPr="00CB691B" w:rsidTr="00466F50">
        <w:trPr>
          <w:trHeight w:val="113"/>
        </w:trPr>
        <w:tc>
          <w:tcPr>
            <w:tcW w:w="1972" w:type="dxa"/>
            <w:shd w:val="clear" w:color="auto" w:fill="auto"/>
            <w:noWrap/>
            <w:vAlign w:val="center"/>
          </w:tcPr>
          <w:p w:rsidR="0027264F" w:rsidRPr="00466F50" w:rsidRDefault="0027264F" w:rsidP="00454649">
            <w:pPr>
              <w:rPr>
                <w:rFonts w:ascii="Segoe UI" w:eastAsia="MS Mincho" w:hAnsi="Segoe UI" w:cs="Segoe UI"/>
                <w:color w:val="000000"/>
                <w:sz w:val="13"/>
                <w:szCs w:val="13"/>
              </w:rPr>
            </w:pPr>
            <w:r w:rsidRPr="00466F50">
              <w:rPr>
                <w:rFonts w:ascii="Segoe UI" w:eastAsia="MS Mincho" w:hAnsi="Segoe UI" w:cs="Segoe UI"/>
                <w:color w:val="000000"/>
                <w:sz w:val="13"/>
                <w:szCs w:val="13"/>
              </w:rPr>
              <w:t>Εξυπηρετούμενα Ανοίγματα</w:t>
            </w:r>
          </w:p>
        </w:tc>
        <w:tc>
          <w:tcPr>
            <w:tcW w:w="1134" w:type="dxa"/>
            <w:shd w:val="clear" w:color="auto" w:fill="auto"/>
            <w:noWrap/>
            <w:vAlign w:val="center"/>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w:t>
            </w:r>
          </w:p>
        </w:tc>
        <w:tc>
          <w:tcPr>
            <w:tcW w:w="7087" w:type="dxa"/>
            <w:shd w:val="clear" w:color="auto" w:fill="auto"/>
            <w:noWrap/>
            <w:vAlign w:val="center"/>
          </w:tcPr>
          <w:p w:rsidR="0027264F" w:rsidRPr="00466F50" w:rsidRDefault="0027264F" w:rsidP="00384F54">
            <w:pPr>
              <w:rPr>
                <w:rFonts w:ascii="Segoe UI" w:eastAsia="MS Mincho" w:hAnsi="Segoe UI" w:cs="Segoe UI"/>
                <w:color w:val="000000"/>
                <w:sz w:val="13"/>
                <w:szCs w:val="13"/>
              </w:rPr>
            </w:pPr>
            <w:r w:rsidRPr="00466F50">
              <w:rPr>
                <w:rFonts w:ascii="Segoe UI" w:eastAsia="MS Mincho" w:hAnsi="Segoe UI" w:cs="Segoe UI"/>
                <w:color w:val="000000"/>
                <w:sz w:val="13"/>
                <w:szCs w:val="13"/>
              </w:rPr>
              <w:t>Δάνεια προ προβλέψεων μείον Μη Εξυπηρετούμενα Ανοίγματα</w:t>
            </w:r>
            <w:r w:rsidR="00384F54">
              <w:rPr>
                <w:rFonts w:ascii="Segoe UI" w:eastAsia="MS Mincho" w:hAnsi="Segoe UI" w:cs="Segoe UI"/>
                <w:color w:val="000000"/>
                <w:sz w:val="13"/>
                <w:szCs w:val="13"/>
              </w:rPr>
              <w:t xml:space="preserve">, </w:t>
            </w:r>
            <w:r w:rsidR="00384F54" w:rsidRPr="00384F54">
              <w:rPr>
                <w:rFonts w:ascii="Segoe UI" w:eastAsia="MS Mincho" w:hAnsi="Segoe UI" w:cs="Segoe UI"/>
                <w:color w:val="000000"/>
                <w:sz w:val="13"/>
                <w:szCs w:val="13"/>
              </w:rPr>
              <w:t>εξαιρουμένης της σύντομης συμφωνίας αγοράς &amp; επαναπώλησης ύψους €3.0 δισ. την 30 Ιουνίου 2021</w:t>
            </w:r>
          </w:p>
        </w:tc>
      </w:tr>
      <w:tr w:rsidR="0027264F" w:rsidRPr="00CB691B" w:rsidTr="00466F50">
        <w:trPr>
          <w:trHeight w:val="113"/>
        </w:trPr>
        <w:tc>
          <w:tcPr>
            <w:tcW w:w="1972" w:type="dxa"/>
            <w:shd w:val="clear" w:color="auto" w:fill="F2F2F2" w:themeFill="background1" w:themeFillShade="F2"/>
            <w:noWrap/>
            <w:vAlign w:val="center"/>
            <w:hideMark/>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Έσοδα ή κέρδη (έξοδα ή ζημίες) από Χρηματ/κες Πράξεις &amp; Λοιπά Έσοδα (Έξοδα) / Μη Οργανικά Έσοδα</w:t>
            </w:r>
          </w:p>
        </w:tc>
        <w:tc>
          <w:tcPr>
            <w:tcW w:w="1134" w:type="dxa"/>
            <w:shd w:val="clear" w:color="auto" w:fill="F2F2F2" w:themeFill="background1" w:themeFillShade="F2"/>
            <w:noWrap/>
            <w:vAlign w:val="center"/>
            <w:hideMark/>
          </w:tcPr>
          <w:p w:rsidR="0027264F" w:rsidRPr="00466F50" w:rsidRDefault="0027264F" w:rsidP="00D95F56">
            <w:pPr>
              <w:rPr>
                <w:rFonts w:ascii="Segoe UI" w:eastAsia="MS Mincho" w:hAnsi="Segoe UI" w:cs="Segoe UI"/>
                <w:color w:val="000000"/>
                <w:sz w:val="13"/>
                <w:szCs w:val="13"/>
                <w:lang w:val="en-GB"/>
              </w:rPr>
            </w:pPr>
            <w:r w:rsidRPr="00466F50">
              <w:rPr>
                <w:rFonts w:ascii="Segoe UI" w:eastAsia="MS Mincho" w:hAnsi="Segoe UI" w:cs="Segoe UI"/>
                <w:color w:val="000000"/>
                <w:sz w:val="13"/>
                <w:szCs w:val="13"/>
                <w:lang w:val="en-GB"/>
              </w:rPr>
              <w:t>--</w:t>
            </w:r>
          </w:p>
        </w:tc>
        <w:tc>
          <w:tcPr>
            <w:tcW w:w="7087" w:type="dxa"/>
            <w:shd w:val="clear" w:color="auto" w:fill="F2F2F2" w:themeFill="background1" w:themeFillShade="F2"/>
            <w:noWrap/>
            <w:vAlign w:val="center"/>
            <w:hideMark/>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Αποτελέσματα χρηματοοικονομικών πράξεων &amp; τίτλων επενδυτικού χαρτοφυλακίου {«έσοδα ή κέρδη (έξοδα ή ζημίες) από χρηματοοικονομικές πράξεις»)+ καθαρά λοιπά έσοδα / (έξοδα) {«λοιπά έσοδα (έξοδα)»}</w:t>
            </w:r>
          </w:p>
        </w:tc>
      </w:tr>
      <w:tr w:rsidR="0027264F" w:rsidRPr="00CB691B" w:rsidTr="00466F50">
        <w:trPr>
          <w:trHeight w:val="113"/>
        </w:trPr>
        <w:tc>
          <w:tcPr>
            <w:tcW w:w="1972" w:type="dxa"/>
            <w:shd w:val="clear" w:color="auto" w:fill="auto"/>
            <w:noWrap/>
            <w:vAlign w:val="center"/>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Ίδια Κεφάλαια</w:t>
            </w:r>
          </w:p>
        </w:tc>
        <w:tc>
          <w:tcPr>
            <w:tcW w:w="1134" w:type="dxa"/>
            <w:shd w:val="clear" w:color="auto" w:fill="auto"/>
            <w:noWrap/>
            <w:vAlign w:val="center"/>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w:t>
            </w:r>
          </w:p>
        </w:tc>
        <w:tc>
          <w:tcPr>
            <w:tcW w:w="7087" w:type="dxa"/>
            <w:shd w:val="clear" w:color="auto" w:fill="auto"/>
            <w:noWrap/>
            <w:vAlign w:val="center"/>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 xml:space="preserve">Ίδια κεφάλαια μετόχων Τράπεζας </w:t>
            </w:r>
          </w:p>
        </w:tc>
      </w:tr>
      <w:tr w:rsidR="0027264F" w:rsidRPr="00CB691B" w:rsidTr="00466F50">
        <w:trPr>
          <w:trHeight w:val="113"/>
        </w:trPr>
        <w:tc>
          <w:tcPr>
            <w:tcW w:w="1972" w:type="dxa"/>
            <w:shd w:val="clear" w:color="auto" w:fill="F2F2F2" w:themeFill="background1" w:themeFillShade="F2"/>
            <w:noWrap/>
            <w:vAlign w:val="center"/>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 xml:space="preserve">Ισολογισμός </w:t>
            </w:r>
          </w:p>
        </w:tc>
        <w:tc>
          <w:tcPr>
            <w:tcW w:w="1134" w:type="dxa"/>
            <w:shd w:val="clear" w:color="auto" w:fill="F2F2F2" w:themeFill="background1" w:themeFillShade="F2"/>
            <w:noWrap/>
            <w:vAlign w:val="center"/>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w:t>
            </w:r>
          </w:p>
        </w:tc>
        <w:tc>
          <w:tcPr>
            <w:tcW w:w="7087" w:type="dxa"/>
            <w:shd w:val="clear" w:color="auto" w:fill="F2F2F2" w:themeFill="background1" w:themeFillShade="F2"/>
            <w:noWrap/>
            <w:vAlign w:val="center"/>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Κατάσταση χρηματοοικονομικής θέσης</w:t>
            </w:r>
          </w:p>
        </w:tc>
      </w:tr>
      <w:tr w:rsidR="0027264F" w:rsidRPr="00CB691B" w:rsidTr="00466F50">
        <w:trPr>
          <w:trHeight w:val="113"/>
        </w:trPr>
        <w:tc>
          <w:tcPr>
            <w:tcW w:w="1972" w:type="dxa"/>
            <w:shd w:val="clear" w:color="auto" w:fill="auto"/>
            <w:noWrap/>
            <w:vAlign w:val="center"/>
            <w:hideMark/>
          </w:tcPr>
          <w:p w:rsidR="0027264F" w:rsidRPr="00466F50" w:rsidRDefault="00055D4C" w:rsidP="00055D4C">
            <w:pPr>
              <w:rPr>
                <w:rFonts w:ascii="Segoe UI" w:eastAsia="MS Mincho" w:hAnsi="Segoe UI" w:cs="Segoe UI"/>
                <w:color w:val="000000"/>
                <w:sz w:val="13"/>
                <w:szCs w:val="13"/>
                <w:lang w:val="en-GB"/>
              </w:rPr>
            </w:pPr>
            <w:r>
              <w:rPr>
                <w:rFonts w:ascii="Segoe UI" w:eastAsia="MS Mincho" w:hAnsi="Segoe UI" w:cs="Segoe UI"/>
                <w:color w:val="000000"/>
                <w:sz w:val="13"/>
                <w:szCs w:val="13"/>
              </w:rPr>
              <w:t>Καθαρό Επιτοκιακό Περιθώριο</w:t>
            </w:r>
          </w:p>
        </w:tc>
        <w:tc>
          <w:tcPr>
            <w:tcW w:w="1134" w:type="dxa"/>
            <w:shd w:val="clear" w:color="auto" w:fill="auto"/>
            <w:noWrap/>
            <w:vAlign w:val="center"/>
            <w:hideMark/>
          </w:tcPr>
          <w:p w:rsidR="0027264F" w:rsidRPr="00466F50" w:rsidRDefault="0027264F" w:rsidP="00D95F56">
            <w:pPr>
              <w:rPr>
                <w:rFonts w:ascii="Segoe UI" w:eastAsia="MS Mincho" w:hAnsi="Segoe UI" w:cs="Segoe UI"/>
                <w:color w:val="000000"/>
                <w:sz w:val="13"/>
                <w:szCs w:val="13"/>
                <w:lang w:val="en-GB"/>
              </w:rPr>
            </w:pPr>
            <w:r w:rsidRPr="00466F50">
              <w:rPr>
                <w:rFonts w:ascii="Segoe UI" w:eastAsia="MS Mincho" w:hAnsi="Segoe UI" w:cs="Segoe UI"/>
                <w:color w:val="000000"/>
                <w:sz w:val="13"/>
                <w:szCs w:val="13"/>
                <w:lang w:val="en-GB"/>
              </w:rPr>
              <w:t>--</w:t>
            </w:r>
          </w:p>
        </w:tc>
        <w:tc>
          <w:tcPr>
            <w:tcW w:w="7087" w:type="dxa"/>
            <w:shd w:val="clear" w:color="auto" w:fill="auto"/>
            <w:noWrap/>
            <w:vAlign w:val="center"/>
            <w:hideMark/>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 xml:space="preserve">Καθαρά έσοδα από τόκους προς το μέσο όρο των τοκοφόρων στοιχείων ενεργητικού (ο μέσος όρος των τοκοφόρων στοιχείων του ενεργητικού υπολογίζεται ως το άθροισμα των υπολοίπων των τοκοφόρων στοιχείων του ενεργητικού στο τέλος του προηγούμενου έτους και στο τέλος του έτους αναφοράς καθώς και των ενδιάμεσων τριμήνων, δια τον αριθμό των περιόδων (πέντε περίοδοι) για τις ετήσιες χρήσεις). Σε επίπεδο τριμήνου, το καθαρό επιτοκιακό περιθώριο υπολογίζεται επί του μηνιαίου μέσου όρου των τοκοφόρων στοιχείων ενεργητικού </w:t>
            </w:r>
          </w:p>
        </w:tc>
      </w:tr>
      <w:tr w:rsidR="0027264F" w:rsidRPr="00CB691B" w:rsidTr="00466F50">
        <w:trPr>
          <w:trHeight w:val="113"/>
        </w:trPr>
        <w:tc>
          <w:tcPr>
            <w:tcW w:w="1972" w:type="dxa"/>
            <w:shd w:val="clear" w:color="auto" w:fill="F2F2F2" w:themeFill="background1" w:themeFillShade="F2"/>
            <w:noWrap/>
            <w:vAlign w:val="center"/>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 xml:space="preserve">Καθαρό Επιτοκιακό Περιθώριο Προσαρμοσμένο στον Κίνδυνο </w:t>
            </w:r>
          </w:p>
        </w:tc>
        <w:tc>
          <w:tcPr>
            <w:tcW w:w="1134" w:type="dxa"/>
            <w:shd w:val="clear" w:color="auto" w:fill="F2F2F2" w:themeFill="background1" w:themeFillShade="F2"/>
            <w:noWrap/>
            <w:vAlign w:val="center"/>
          </w:tcPr>
          <w:p w:rsidR="0027264F" w:rsidRPr="00466F50" w:rsidRDefault="0027264F" w:rsidP="00D95F56">
            <w:pPr>
              <w:rPr>
                <w:rFonts w:ascii="Segoe UI" w:eastAsia="MS Mincho" w:hAnsi="Segoe UI" w:cs="Segoe UI"/>
                <w:color w:val="000000"/>
                <w:sz w:val="13"/>
                <w:szCs w:val="13"/>
              </w:rPr>
            </w:pPr>
          </w:p>
        </w:tc>
        <w:tc>
          <w:tcPr>
            <w:tcW w:w="7087" w:type="dxa"/>
            <w:shd w:val="clear" w:color="auto" w:fill="F2F2F2" w:themeFill="background1" w:themeFillShade="F2"/>
            <w:noWrap/>
            <w:vAlign w:val="center"/>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Καθαρό επιτοκιακό περιθώριο μείον το κόστος πιστωτικού κινδύνου</w:t>
            </w:r>
          </w:p>
        </w:tc>
      </w:tr>
      <w:tr w:rsidR="0027264F" w:rsidRPr="00CB691B" w:rsidTr="00466F50">
        <w:trPr>
          <w:trHeight w:val="113"/>
        </w:trPr>
        <w:tc>
          <w:tcPr>
            <w:tcW w:w="1972" w:type="dxa"/>
            <w:shd w:val="clear" w:color="auto" w:fill="auto"/>
            <w:noWrap/>
            <w:vAlign w:val="center"/>
            <w:hideMark/>
          </w:tcPr>
          <w:p w:rsidR="0027264F" w:rsidRPr="00466F50" w:rsidRDefault="00055D4C" w:rsidP="00D95F56">
            <w:pPr>
              <w:rPr>
                <w:rFonts w:ascii="Segoe UI" w:eastAsia="MS Mincho" w:hAnsi="Segoe UI" w:cs="Segoe UI"/>
                <w:color w:val="000000"/>
                <w:sz w:val="13"/>
                <w:szCs w:val="13"/>
                <w:lang w:val="en-GB"/>
              </w:rPr>
            </w:pPr>
            <w:r>
              <w:rPr>
                <w:rFonts w:ascii="Segoe UI" w:eastAsia="MS Mincho" w:hAnsi="Segoe UI" w:cs="Segoe UI"/>
                <w:color w:val="000000"/>
                <w:sz w:val="13"/>
                <w:szCs w:val="13"/>
              </w:rPr>
              <w:t>Καταθέσεις</w:t>
            </w:r>
            <w:r w:rsidR="0027264F" w:rsidRPr="00466F50">
              <w:rPr>
                <w:rFonts w:ascii="Segoe UI" w:eastAsia="MS Mincho" w:hAnsi="Segoe UI" w:cs="Segoe UI"/>
                <w:color w:val="000000"/>
                <w:sz w:val="13"/>
                <w:szCs w:val="13"/>
                <w:lang w:val="en-GB"/>
              </w:rPr>
              <w:t xml:space="preserve"> </w:t>
            </w:r>
          </w:p>
        </w:tc>
        <w:tc>
          <w:tcPr>
            <w:tcW w:w="1134" w:type="dxa"/>
            <w:shd w:val="clear" w:color="auto" w:fill="auto"/>
            <w:noWrap/>
            <w:vAlign w:val="center"/>
            <w:hideMark/>
          </w:tcPr>
          <w:p w:rsidR="0027264F" w:rsidRPr="00466F50" w:rsidRDefault="0027264F" w:rsidP="00D95F56">
            <w:pPr>
              <w:rPr>
                <w:rFonts w:ascii="Segoe UI" w:eastAsia="MS Mincho" w:hAnsi="Segoe UI" w:cs="Segoe UI"/>
                <w:color w:val="000000"/>
                <w:sz w:val="13"/>
                <w:szCs w:val="13"/>
                <w:lang w:val="en-GB"/>
              </w:rPr>
            </w:pPr>
            <w:r w:rsidRPr="00466F50">
              <w:rPr>
                <w:rFonts w:ascii="Segoe UI" w:eastAsia="MS Mincho" w:hAnsi="Segoe UI" w:cs="Segoe UI"/>
                <w:color w:val="000000"/>
                <w:sz w:val="13"/>
                <w:szCs w:val="13"/>
                <w:lang w:val="en-GB"/>
              </w:rPr>
              <w:t>--</w:t>
            </w:r>
          </w:p>
        </w:tc>
        <w:tc>
          <w:tcPr>
            <w:tcW w:w="7087" w:type="dxa"/>
            <w:shd w:val="clear" w:color="auto" w:fill="auto"/>
            <w:noWrap/>
            <w:vAlign w:val="center"/>
            <w:hideMark/>
          </w:tcPr>
          <w:p w:rsidR="0027264F" w:rsidRPr="00466F50" w:rsidRDefault="0027264F" w:rsidP="00D95F56">
            <w:pPr>
              <w:rPr>
                <w:rFonts w:ascii="Segoe UI" w:eastAsia="MS Mincho" w:hAnsi="Segoe UI" w:cs="Segoe UI"/>
                <w:color w:val="000000"/>
                <w:sz w:val="13"/>
                <w:szCs w:val="13"/>
                <w:lang w:val="en-GB"/>
              </w:rPr>
            </w:pPr>
            <w:r w:rsidRPr="00466F50">
              <w:rPr>
                <w:rFonts w:ascii="Segoe UI" w:eastAsia="MS Mincho" w:hAnsi="Segoe UI" w:cs="Segoe UI"/>
                <w:color w:val="000000"/>
                <w:sz w:val="13"/>
                <w:szCs w:val="13"/>
                <w:lang w:val="en-GB"/>
              </w:rPr>
              <w:t>Υποχρεώσεις προς πελάτες</w:t>
            </w:r>
          </w:p>
        </w:tc>
      </w:tr>
      <w:tr w:rsidR="0027264F" w:rsidRPr="00CB691B" w:rsidTr="00466F50">
        <w:trPr>
          <w:trHeight w:val="113"/>
        </w:trPr>
        <w:tc>
          <w:tcPr>
            <w:tcW w:w="1972" w:type="dxa"/>
            <w:shd w:val="clear" w:color="auto" w:fill="F2F2F2" w:themeFill="background1" w:themeFillShade="F2"/>
            <w:noWrap/>
            <w:vAlign w:val="center"/>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Κέρδη / (ζημίες) από συνεχιζόμενες δραστηριότητες</w:t>
            </w:r>
          </w:p>
        </w:tc>
        <w:tc>
          <w:tcPr>
            <w:tcW w:w="1134" w:type="dxa"/>
            <w:shd w:val="clear" w:color="auto" w:fill="F2F2F2" w:themeFill="background1" w:themeFillShade="F2"/>
            <w:noWrap/>
            <w:vAlign w:val="center"/>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w:t>
            </w:r>
          </w:p>
        </w:tc>
        <w:tc>
          <w:tcPr>
            <w:tcW w:w="7087" w:type="dxa"/>
            <w:shd w:val="clear" w:color="auto" w:fill="F2F2F2" w:themeFill="background1" w:themeFillShade="F2"/>
            <w:noWrap/>
            <w:vAlign w:val="center"/>
          </w:tcPr>
          <w:p w:rsidR="0027264F" w:rsidRPr="00466F50" w:rsidRDefault="0027264F" w:rsidP="00641599">
            <w:pPr>
              <w:rPr>
                <w:rFonts w:ascii="Segoe UI" w:eastAsia="MS Mincho" w:hAnsi="Segoe UI" w:cs="Segoe UI"/>
                <w:color w:val="000000"/>
                <w:sz w:val="13"/>
                <w:szCs w:val="13"/>
              </w:rPr>
            </w:pPr>
            <w:r w:rsidRPr="00466F50">
              <w:rPr>
                <w:rFonts w:ascii="Segoe UI" w:eastAsia="MS Mincho" w:hAnsi="Segoe UI" w:cs="Segoe UI"/>
                <w:color w:val="000000"/>
                <w:sz w:val="13"/>
                <w:szCs w:val="13"/>
              </w:rPr>
              <w:t xml:space="preserve">Κέρδη / (ζημίες) από συνεχιζόμενες δραστηριότητες, </w:t>
            </w:r>
            <w:r w:rsidR="00F405A7" w:rsidRPr="00466F50">
              <w:rPr>
                <w:rFonts w:ascii="Segoe UI" w:eastAsia="MS Mincho" w:hAnsi="Segoe UI" w:cs="Segoe UI"/>
                <w:color w:val="000000"/>
                <w:sz w:val="13"/>
                <w:szCs w:val="13"/>
              </w:rPr>
              <w:t>εξαιρουμένης της ασφαλιστικής εισφορά για το</w:t>
            </w:r>
            <w:r w:rsidR="00FB3B59" w:rsidRPr="00466F50">
              <w:rPr>
                <w:rFonts w:ascii="Segoe UI" w:eastAsia="MS Mincho" w:hAnsi="Segoe UI" w:cs="Segoe UI"/>
                <w:color w:val="000000"/>
                <w:sz w:val="13"/>
                <w:szCs w:val="13"/>
              </w:rPr>
              <w:t>ν</w:t>
            </w:r>
            <w:r w:rsidR="00F405A7" w:rsidRPr="00466F50">
              <w:rPr>
                <w:rFonts w:ascii="Segoe UI" w:eastAsia="MS Mincho" w:hAnsi="Segoe UI" w:cs="Segoe UI"/>
                <w:color w:val="000000"/>
                <w:sz w:val="13"/>
                <w:szCs w:val="13"/>
              </w:rPr>
              <w:t xml:space="preserve"> ΛΕΠΕΤΕ στον κλάδο Επικουρικής Ασφάλισης του e-ΕΦΚΑ, </w:t>
            </w:r>
            <w:r w:rsidRPr="00466F50">
              <w:rPr>
                <w:rFonts w:ascii="Segoe UI" w:eastAsia="MS Mincho" w:hAnsi="Segoe UI" w:cs="Segoe UI"/>
                <w:color w:val="000000"/>
                <w:sz w:val="13"/>
                <w:szCs w:val="13"/>
              </w:rPr>
              <w:t>του κόστους του Προγράμματος Εθελουσίας Προσωπι</w:t>
            </w:r>
            <w:r w:rsidR="008960F5">
              <w:rPr>
                <w:rFonts w:ascii="Segoe UI" w:eastAsia="MS Mincho" w:hAnsi="Segoe UI" w:cs="Segoe UI"/>
                <w:color w:val="000000"/>
                <w:sz w:val="13"/>
                <w:szCs w:val="13"/>
              </w:rPr>
              <w:t xml:space="preserve">κού, του κόστους αναδιάρθρωσης </w:t>
            </w:r>
            <w:r w:rsidRPr="00466F50">
              <w:rPr>
                <w:rFonts w:ascii="Segoe UI" w:eastAsia="MS Mincho" w:hAnsi="Segoe UI" w:cs="Segoe UI"/>
                <w:color w:val="000000"/>
                <w:sz w:val="13"/>
                <w:szCs w:val="13"/>
              </w:rPr>
              <w:t>και λοιπ</w:t>
            </w:r>
            <w:r w:rsidR="00F405A7" w:rsidRPr="00466F50">
              <w:rPr>
                <w:rFonts w:ascii="Segoe UI" w:eastAsia="MS Mincho" w:hAnsi="Segoe UI" w:cs="Segoe UI"/>
                <w:color w:val="000000"/>
                <w:sz w:val="13"/>
                <w:szCs w:val="13"/>
              </w:rPr>
              <w:t>ών μη επαναλαμβανόμενων δαπανών</w:t>
            </w:r>
            <w:r w:rsidRPr="00466F50">
              <w:rPr>
                <w:rFonts w:ascii="Segoe UI" w:eastAsia="MS Mincho" w:hAnsi="Segoe UI" w:cs="Segoe UI"/>
                <w:color w:val="000000"/>
                <w:sz w:val="13"/>
                <w:szCs w:val="13"/>
              </w:rPr>
              <w:t xml:space="preserve">. Τα κέρδη / (ζημίες) από συνεχιζόμενες δραστηριότητες εξαιρούν </w:t>
            </w:r>
            <w:r w:rsidR="004D0113" w:rsidRPr="00466F50">
              <w:rPr>
                <w:rFonts w:ascii="Segoe UI" w:eastAsia="MS Mincho" w:hAnsi="Segoe UI" w:cs="Segoe UI"/>
                <w:color w:val="000000"/>
                <w:sz w:val="13"/>
                <w:szCs w:val="13"/>
              </w:rPr>
              <w:t>την ασφαλιστική εισφορά για το</w:t>
            </w:r>
            <w:r w:rsidR="00FB3B59" w:rsidRPr="00466F50">
              <w:rPr>
                <w:rFonts w:ascii="Segoe UI" w:eastAsia="MS Mincho" w:hAnsi="Segoe UI" w:cs="Segoe UI"/>
                <w:color w:val="000000"/>
                <w:sz w:val="13"/>
                <w:szCs w:val="13"/>
              </w:rPr>
              <w:t>ν</w:t>
            </w:r>
            <w:r w:rsidR="004D0113" w:rsidRPr="00466F50">
              <w:rPr>
                <w:rFonts w:ascii="Segoe UI" w:eastAsia="MS Mincho" w:hAnsi="Segoe UI" w:cs="Segoe UI"/>
                <w:color w:val="000000"/>
                <w:sz w:val="13"/>
                <w:szCs w:val="13"/>
              </w:rPr>
              <w:t xml:space="preserve"> ΛΕΠΕΤΕ στο e-ΕΦΚΑ (€</w:t>
            </w:r>
            <w:r w:rsidR="00641599" w:rsidRPr="003F6C10">
              <w:rPr>
                <w:rFonts w:ascii="Segoe UI" w:eastAsia="MS Mincho" w:hAnsi="Segoe UI" w:cs="Segoe UI"/>
                <w:color w:val="000000"/>
                <w:sz w:val="13"/>
                <w:szCs w:val="13"/>
              </w:rPr>
              <w:t>18</w:t>
            </w:r>
            <w:r w:rsidR="004D0113" w:rsidRPr="00466F50">
              <w:rPr>
                <w:rFonts w:ascii="Segoe UI" w:eastAsia="MS Mincho" w:hAnsi="Segoe UI" w:cs="Segoe UI"/>
                <w:color w:val="000000"/>
                <w:sz w:val="13"/>
                <w:szCs w:val="13"/>
              </w:rPr>
              <w:t xml:space="preserve"> εκατ.) </w:t>
            </w:r>
            <w:r w:rsidR="007D0860" w:rsidRPr="00466F50">
              <w:rPr>
                <w:rFonts w:ascii="Segoe UI" w:eastAsia="MS Mincho" w:hAnsi="Segoe UI" w:cs="Segoe UI"/>
                <w:color w:val="000000"/>
                <w:sz w:val="13"/>
                <w:szCs w:val="13"/>
              </w:rPr>
              <w:t xml:space="preserve">&amp; </w:t>
            </w:r>
            <w:r w:rsidRPr="00466F50">
              <w:rPr>
                <w:rFonts w:ascii="Segoe UI" w:eastAsia="MS Mincho" w:hAnsi="Segoe UI" w:cs="Segoe UI"/>
                <w:color w:val="000000"/>
                <w:sz w:val="13"/>
                <w:szCs w:val="13"/>
              </w:rPr>
              <w:t>κόστ</w:t>
            </w:r>
            <w:r w:rsidR="007D0860" w:rsidRPr="00466F50">
              <w:rPr>
                <w:rFonts w:ascii="Segoe UI" w:eastAsia="MS Mincho" w:hAnsi="Segoe UI" w:cs="Segoe UI"/>
                <w:color w:val="000000"/>
                <w:sz w:val="13"/>
                <w:szCs w:val="13"/>
              </w:rPr>
              <w:t>η</w:t>
            </w:r>
            <w:r w:rsidRPr="00466F50">
              <w:rPr>
                <w:rFonts w:ascii="Segoe UI" w:eastAsia="MS Mincho" w:hAnsi="Segoe UI" w:cs="Segoe UI"/>
                <w:color w:val="000000"/>
                <w:sz w:val="13"/>
                <w:szCs w:val="13"/>
              </w:rPr>
              <w:t xml:space="preserve"> Εθελουσίας Εξόδου Προσωπικού </w:t>
            </w:r>
            <w:r w:rsidR="007D0860" w:rsidRPr="00466F50">
              <w:rPr>
                <w:rFonts w:ascii="Segoe UI" w:eastAsia="MS Mincho" w:hAnsi="Segoe UI" w:cs="Segoe UI"/>
                <w:color w:val="000000"/>
                <w:sz w:val="13"/>
                <w:szCs w:val="13"/>
              </w:rPr>
              <w:t>και</w:t>
            </w:r>
            <w:r w:rsidRPr="00466F50">
              <w:rPr>
                <w:rFonts w:ascii="Segoe UI" w:eastAsia="MS Mincho" w:hAnsi="Segoe UI" w:cs="Segoe UI"/>
                <w:color w:val="000000"/>
                <w:sz w:val="13"/>
                <w:szCs w:val="13"/>
              </w:rPr>
              <w:t xml:space="preserve"> αναδιάρθρωσης και λοιπές μη επαναλαμβανόμενες δαπάνες </w:t>
            </w:r>
            <w:r w:rsidR="002876F2">
              <w:rPr>
                <w:rFonts w:ascii="Segoe UI" w:eastAsia="MS Mincho" w:hAnsi="Segoe UI" w:cs="Segoe UI"/>
                <w:color w:val="000000"/>
                <w:sz w:val="13"/>
                <w:szCs w:val="13"/>
              </w:rPr>
              <w:t xml:space="preserve">συνολικού ποσού </w:t>
            </w:r>
            <w:r w:rsidRPr="00466F50">
              <w:rPr>
                <w:rFonts w:ascii="Segoe UI" w:eastAsia="MS Mincho" w:hAnsi="Segoe UI" w:cs="Segoe UI"/>
                <w:color w:val="000000"/>
                <w:sz w:val="13"/>
                <w:szCs w:val="13"/>
              </w:rPr>
              <w:t>€</w:t>
            </w:r>
            <w:r w:rsidR="00641599" w:rsidRPr="003F6C10">
              <w:rPr>
                <w:rFonts w:ascii="Segoe UI" w:eastAsia="MS Mincho" w:hAnsi="Segoe UI" w:cs="Segoe UI"/>
                <w:color w:val="000000"/>
                <w:sz w:val="13"/>
                <w:szCs w:val="13"/>
              </w:rPr>
              <w:t>74</w:t>
            </w:r>
            <w:r w:rsidRPr="00466F50">
              <w:rPr>
                <w:rFonts w:ascii="Segoe UI" w:eastAsia="MS Mincho" w:hAnsi="Segoe UI" w:cs="Segoe UI"/>
                <w:color w:val="000000"/>
                <w:sz w:val="13"/>
                <w:szCs w:val="13"/>
              </w:rPr>
              <w:t xml:space="preserve"> εκατ.</w:t>
            </w:r>
            <w:r w:rsidR="002876F2">
              <w:rPr>
                <w:rFonts w:ascii="Segoe UI" w:eastAsia="MS Mincho" w:hAnsi="Segoe UI" w:cs="Segoe UI"/>
                <w:color w:val="000000"/>
                <w:sz w:val="13"/>
                <w:szCs w:val="13"/>
              </w:rPr>
              <w:t xml:space="preserve"> </w:t>
            </w:r>
            <w:r w:rsidRPr="00466F50">
              <w:rPr>
                <w:rFonts w:ascii="Segoe UI" w:eastAsia="MS Mincho" w:hAnsi="Segoe UI" w:cs="Segoe UI"/>
                <w:color w:val="000000"/>
                <w:sz w:val="13"/>
                <w:szCs w:val="13"/>
              </w:rPr>
              <w:t xml:space="preserve">για το </w:t>
            </w:r>
            <w:r w:rsidR="004D0113" w:rsidRPr="00466F50">
              <w:rPr>
                <w:rFonts w:ascii="Segoe UI" w:eastAsia="MS Mincho" w:hAnsi="Segoe UI" w:cs="Segoe UI"/>
                <w:color w:val="000000"/>
                <w:sz w:val="13"/>
                <w:szCs w:val="13"/>
              </w:rPr>
              <w:t xml:space="preserve">Α’ </w:t>
            </w:r>
            <w:r w:rsidR="00E85434">
              <w:rPr>
                <w:rFonts w:ascii="Segoe UI" w:eastAsia="MS Mincho" w:hAnsi="Segoe UI" w:cs="Segoe UI"/>
                <w:color w:val="000000"/>
                <w:sz w:val="13"/>
                <w:szCs w:val="13"/>
              </w:rPr>
              <w:t>εξάμηνο</w:t>
            </w:r>
            <w:r w:rsidR="004D0113" w:rsidRPr="00466F50">
              <w:rPr>
                <w:rFonts w:ascii="Segoe UI" w:eastAsia="MS Mincho" w:hAnsi="Segoe UI" w:cs="Segoe UI"/>
                <w:color w:val="000000"/>
                <w:sz w:val="13"/>
                <w:szCs w:val="13"/>
              </w:rPr>
              <w:t xml:space="preserve"> </w:t>
            </w:r>
            <w:r w:rsidRPr="00466F50">
              <w:rPr>
                <w:rFonts w:ascii="Segoe UI" w:eastAsia="MS Mincho" w:hAnsi="Segoe UI" w:cs="Segoe UI"/>
                <w:color w:val="000000"/>
                <w:sz w:val="13"/>
                <w:szCs w:val="13"/>
              </w:rPr>
              <w:t>202</w:t>
            </w:r>
            <w:r w:rsidR="004D0113" w:rsidRPr="00466F50">
              <w:rPr>
                <w:rFonts w:ascii="Segoe UI" w:eastAsia="MS Mincho" w:hAnsi="Segoe UI" w:cs="Segoe UI"/>
                <w:color w:val="000000"/>
                <w:sz w:val="13"/>
                <w:szCs w:val="13"/>
              </w:rPr>
              <w:t>1, καθώς και την ασφαλιστική εισφορά για το</w:t>
            </w:r>
            <w:r w:rsidR="00DD2F14" w:rsidRPr="00466F50">
              <w:rPr>
                <w:rFonts w:ascii="Segoe UI" w:eastAsia="MS Mincho" w:hAnsi="Segoe UI" w:cs="Segoe UI"/>
                <w:color w:val="000000"/>
                <w:sz w:val="13"/>
                <w:szCs w:val="13"/>
              </w:rPr>
              <w:t>ν</w:t>
            </w:r>
            <w:r w:rsidR="004D0113" w:rsidRPr="00466F50">
              <w:rPr>
                <w:rFonts w:ascii="Segoe UI" w:eastAsia="MS Mincho" w:hAnsi="Segoe UI" w:cs="Segoe UI"/>
                <w:color w:val="000000"/>
                <w:sz w:val="13"/>
                <w:szCs w:val="13"/>
              </w:rPr>
              <w:t xml:space="preserve"> ΛΕΠΕΤΕ στο e-ΕΦΚΑ (€1</w:t>
            </w:r>
            <w:r w:rsidR="00E85434">
              <w:rPr>
                <w:rFonts w:ascii="Segoe UI" w:eastAsia="MS Mincho" w:hAnsi="Segoe UI" w:cs="Segoe UI"/>
                <w:color w:val="000000"/>
                <w:sz w:val="13"/>
                <w:szCs w:val="13"/>
              </w:rPr>
              <w:t>9</w:t>
            </w:r>
            <w:r w:rsidR="004D0113" w:rsidRPr="00466F50">
              <w:rPr>
                <w:rFonts w:ascii="Segoe UI" w:eastAsia="MS Mincho" w:hAnsi="Segoe UI" w:cs="Segoe UI"/>
                <w:color w:val="000000"/>
                <w:sz w:val="13"/>
                <w:szCs w:val="13"/>
              </w:rPr>
              <w:t xml:space="preserve"> εκατ.) </w:t>
            </w:r>
            <w:r w:rsidR="007D0860" w:rsidRPr="00466F50">
              <w:rPr>
                <w:rFonts w:ascii="Segoe UI" w:eastAsia="MS Mincho" w:hAnsi="Segoe UI" w:cs="Segoe UI"/>
                <w:color w:val="000000"/>
                <w:sz w:val="13"/>
                <w:szCs w:val="13"/>
              </w:rPr>
              <w:t xml:space="preserve">&amp; κόστη Εθελουσίας Εξόδου Προσωπικού και αναδιάρθρωσης και λοιπές </w:t>
            </w:r>
            <w:r w:rsidR="004D0113" w:rsidRPr="00466F50">
              <w:rPr>
                <w:rFonts w:ascii="Segoe UI" w:eastAsia="MS Mincho" w:hAnsi="Segoe UI" w:cs="Segoe UI"/>
                <w:color w:val="000000"/>
                <w:sz w:val="13"/>
                <w:szCs w:val="13"/>
              </w:rPr>
              <w:t xml:space="preserve">μη επαναλαμβανόμενες δαπάνες </w:t>
            </w:r>
            <w:r w:rsidR="002876F2" w:rsidRPr="002876F2">
              <w:rPr>
                <w:rFonts w:ascii="Segoe UI" w:eastAsia="MS Mincho" w:hAnsi="Segoe UI" w:cs="Segoe UI"/>
                <w:color w:val="000000"/>
                <w:sz w:val="13"/>
                <w:szCs w:val="13"/>
              </w:rPr>
              <w:t xml:space="preserve">συνολικού ποσού </w:t>
            </w:r>
            <w:r w:rsidR="00E85434">
              <w:rPr>
                <w:rFonts w:ascii="Segoe UI" w:eastAsia="MS Mincho" w:hAnsi="Segoe UI" w:cs="Segoe UI"/>
                <w:color w:val="000000"/>
                <w:sz w:val="13"/>
                <w:szCs w:val="13"/>
              </w:rPr>
              <w:t>€99</w:t>
            </w:r>
            <w:r w:rsidR="007D0860" w:rsidRPr="00466F50">
              <w:rPr>
                <w:rFonts w:ascii="Segoe UI" w:eastAsia="MS Mincho" w:hAnsi="Segoe UI" w:cs="Segoe UI"/>
                <w:color w:val="000000"/>
                <w:sz w:val="13"/>
                <w:szCs w:val="13"/>
              </w:rPr>
              <w:t xml:space="preserve"> εκατ.</w:t>
            </w:r>
            <w:r w:rsidRPr="00466F50">
              <w:rPr>
                <w:rFonts w:ascii="Segoe UI" w:eastAsia="MS Mincho" w:hAnsi="Segoe UI" w:cs="Segoe UI"/>
                <w:color w:val="000000"/>
                <w:sz w:val="13"/>
                <w:szCs w:val="13"/>
              </w:rPr>
              <w:t xml:space="preserve"> για το </w:t>
            </w:r>
            <w:r w:rsidR="004D0113" w:rsidRPr="00466F50">
              <w:rPr>
                <w:rFonts w:ascii="Segoe UI" w:eastAsia="MS Mincho" w:hAnsi="Segoe UI" w:cs="Segoe UI"/>
                <w:color w:val="000000"/>
                <w:sz w:val="13"/>
                <w:szCs w:val="13"/>
              </w:rPr>
              <w:t xml:space="preserve">Α’ </w:t>
            </w:r>
            <w:r w:rsidR="00E85434" w:rsidRPr="00E85434">
              <w:rPr>
                <w:rFonts w:ascii="Segoe UI" w:eastAsia="MS Mincho" w:hAnsi="Segoe UI" w:cs="Segoe UI"/>
                <w:color w:val="000000"/>
                <w:sz w:val="13"/>
                <w:szCs w:val="13"/>
              </w:rPr>
              <w:t xml:space="preserve">εξάμηνο </w:t>
            </w:r>
            <w:r w:rsidR="004D0113" w:rsidRPr="00466F50">
              <w:rPr>
                <w:rFonts w:ascii="Segoe UI" w:eastAsia="MS Mincho" w:hAnsi="Segoe UI" w:cs="Segoe UI"/>
                <w:color w:val="000000"/>
                <w:sz w:val="13"/>
                <w:szCs w:val="13"/>
              </w:rPr>
              <w:t>2020</w:t>
            </w:r>
          </w:p>
        </w:tc>
      </w:tr>
      <w:tr w:rsidR="0027264F" w:rsidRPr="00CB691B" w:rsidTr="00466F50">
        <w:trPr>
          <w:trHeight w:val="113"/>
        </w:trPr>
        <w:tc>
          <w:tcPr>
            <w:tcW w:w="1972" w:type="dxa"/>
            <w:shd w:val="clear" w:color="auto" w:fill="auto"/>
            <w:noWrap/>
            <w:vAlign w:val="center"/>
            <w:hideMark/>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Κέρδη προ Προβλέψεων</w:t>
            </w:r>
          </w:p>
        </w:tc>
        <w:tc>
          <w:tcPr>
            <w:tcW w:w="1134" w:type="dxa"/>
            <w:shd w:val="clear" w:color="auto" w:fill="auto"/>
            <w:noWrap/>
            <w:vAlign w:val="center"/>
            <w:hideMark/>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w:t>
            </w:r>
          </w:p>
        </w:tc>
        <w:tc>
          <w:tcPr>
            <w:tcW w:w="7087" w:type="dxa"/>
            <w:shd w:val="clear" w:color="auto" w:fill="auto"/>
            <w:noWrap/>
            <w:vAlign w:val="center"/>
            <w:hideMark/>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Καθαρά λειτουργικά έσοδα μείον λειτουργικά έξοδα</w:t>
            </w:r>
            <w:r w:rsidR="00ED3861" w:rsidRPr="00466F50">
              <w:rPr>
                <w:rFonts w:ascii="Segoe UI" w:eastAsia="MS Mincho" w:hAnsi="Segoe UI" w:cs="Segoe UI"/>
                <w:color w:val="000000"/>
                <w:sz w:val="13"/>
                <w:szCs w:val="13"/>
              </w:rPr>
              <w:t xml:space="preserve"> προ προβλέψεων</w:t>
            </w:r>
          </w:p>
        </w:tc>
      </w:tr>
      <w:tr w:rsidR="0027264F" w:rsidRPr="00CB691B" w:rsidTr="00466F50">
        <w:trPr>
          <w:trHeight w:val="113"/>
        </w:trPr>
        <w:tc>
          <w:tcPr>
            <w:tcW w:w="1972" w:type="dxa"/>
            <w:shd w:val="clear" w:color="auto" w:fill="F2F2F2" w:themeFill="background1" w:themeFillShade="F2"/>
            <w:noWrap/>
            <w:vAlign w:val="center"/>
            <w:hideMark/>
          </w:tcPr>
          <w:p w:rsidR="0027264F" w:rsidRPr="00466F50" w:rsidRDefault="0027264F" w:rsidP="00D95F56">
            <w:pPr>
              <w:rPr>
                <w:rFonts w:ascii="Segoe UI" w:eastAsia="MS Mincho" w:hAnsi="Segoe UI" w:cs="Segoe UI"/>
                <w:color w:val="000000"/>
                <w:sz w:val="13"/>
                <w:szCs w:val="13"/>
                <w:lang w:val="en-GB"/>
              </w:rPr>
            </w:pPr>
            <w:r w:rsidRPr="00466F50">
              <w:rPr>
                <w:rFonts w:ascii="Segoe UI" w:eastAsia="MS Mincho" w:hAnsi="Segoe UI" w:cs="Segoe UI"/>
                <w:color w:val="000000"/>
                <w:sz w:val="13"/>
                <w:szCs w:val="13"/>
                <w:lang w:val="en-GB"/>
              </w:rPr>
              <w:t>Κόστος πιστωτικού κινδύνου</w:t>
            </w:r>
          </w:p>
        </w:tc>
        <w:tc>
          <w:tcPr>
            <w:tcW w:w="1134" w:type="dxa"/>
            <w:shd w:val="clear" w:color="auto" w:fill="F2F2F2" w:themeFill="background1" w:themeFillShade="F2"/>
            <w:noWrap/>
            <w:vAlign w:val="center"/>
            <w:hideMark/>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w:t>
            </w:r>
          </w:p>
        </w:tc>
        <w:tc>
          <w:tcPr>
            <w:tcW w:w="7087" w:type="dxa"/>
            <w:shd w:val="clear" w:color="auto" w:fill="F2F2F2" w:themeFill="background1" w:themeFillShade="F2"/>
            <w:noWrap/>
            <w:vAlign w:val="center"/>
            <w:hideMark/>
          </w:tcPr>
          <w:p w:rsidR="0027264F" w:rsidRPr="004C30D2" w:rsidRDefault="0027264F" w:rsidP="00505CD8">
            <w:pPr>
              <w:rPr>
                <w:rFonts w:ascii="Segoe UI" w:eastAsia="MS Mincho" w:hAnsi="Segoe UI" w:cs="Segoe UI"/>
                <w:color w:val="000000"/>
                <w:sz w:val="13"/>
                <w:szCs w:val="13"/>
              </w:rPr>
            </w:pPr>
            <w:r w:rsidRPr="00466F50">
              <w:rPr>
                <w:rFonts w:ascii="Segoe UI" w:eastAsia="MS Mincho" w:hAnsi="Segoe UI" w:cs="Segoe UI"/>
                <w:color w:val="000000"/>
                <w:sz w:val="13"/>
                <w:szCs w:val="13"/>
              </w:rPr>
              <w:t>Προβλέψεις απομείωσης για ΑΠΖ</w:t>
            </w:r>
            <w:r w:rsidR="000471C2" w:rsidRPr="00466F50">
              <w:rPr>
                <w:rFonts w:ascii="Segoe UI" w:eastAsia="MS Mincho" w:hAnsi="Segoe UI" w:cs="Segoe UI"/>
                <w:color w:val="000000"/>
                <w:sz w:val="13"/>
                <w:szCs w:val="13"/>
              </w:rPr>
              <w:t xml:space="preserve"> για </w:t>
            </w:r>
            <w:r w:rsidR="00D96BA6" w:rsidRPr="00466F50">
              <w:rPr>
                <w:rFonts w:ascii="Segoe UI" w:eastAsia="MS Mincho" w:hAnsi="Segoe UI" w:cs="Segoe UI"/>
                <w:color w:val="000000"/>
                <w:sz w:val="13"/>
                <w:szCs w:val="13"/>
              </w:rPr>
              <w:t xml:space="preserve">το τέλος της χρήσης </w:t>
            </w:r>
            <w:r w:rsidR="000471C2" w:rsidRPr="00466F50">
              <w:rPr>
                <w:rFonts w:ascii="Segoe UI" w:eastAsia="MS Mincho" w:hAnsi="Segoe UI" w:cs="Segoe UI"/>
                <w:color w:val="000000"/>
                <w:sz w:val="13"/>
                <w:szCs w:val="13"/>
              </w:rPr>
              <w:t xml:space="preserve">ή </w:t>
            </w:r>
            <w:r w:rsidR="00D96BA6" w:rsidRPr="00466F50">
              <w:rPr>
                <w:rFonts w:ascii="Segoe UI" w:eastAsia="MS Mincho" w:hAnsi="Segoe UI" w:cs="Segoe UI"/>
                <w:color w:val="000000"/>
                <w:sz w:val="13"/>
                <w:szCs w:val="13"/>
              </w:rPr>
              <w:t xml:space="preserve">της </w:t>
            </w:r>
            <w:r w:rsidR="00127029" w:rsidRPr="00466F50">
              <w:rPr>
                <w:rFonts w:ascii="Segoe UI" w:eastAsia="MS Mincho" w:hAnsi="Segoe UI" w:cs="Segoe UI"/>
                <w:color w:val="000000"/>
                <w:sz w:val="13"/>
                <w:szCs w:val="13"/>
              </w:rPr>
              <w:t>περιόδου</w:t>
            </w:r>
            <w:r w:rsidR="001B61E0" w:rsidRPr="00466F50">
              <w:rPr>
                <w:rFonts w:ascii="Segoe UI" w:eastAsia="MS Mincho" w:hAnsi="Segoe UI" w:cs="Segoe UI"/>
                <w:color w:val="000000"/>
                <w:sz w:val="13"/>
                <w:szCs w:val="13"/>
              </w:rPr>
              <w:t xml:space="preserve"> </w:t>
            </w:r>
            <w:r w:rsidR="000B7A26" w:rsidRPr="00466F50">
              <w:rPr>
                <w:rFonts w:ascii="Segoe UI" w:eastAsia="MS Mincho" w:hAnsi="Segoe UI" w:cs="Segoe UI"/>
                <w:color w:val="000000"/>
                <w:sz w:val="13"/>
                <w:szCs w:val="13"/>
              </w:rPr>
              <w:t>ετησιοποιημένες</w:t>
            </w:r>
            <w:r w:rsidR="00127029" w:rsidRPr="00466F50">
              <w:rPr>
                <w:rFonts w:ascii="Segoe UI" w:eastAsia="MS Mincho" w:hAnsi="Segoe UI" w:cs="Segoe UI"/>
                <w:color w:val="000000"/>
                <w:sz w:val="13"/>
                <w:szCs w:val="13"/>
              </w:rPr>
              <w:t xml:space="preserve">, </w:t>
            </w:r>
            <w:r w:rsidRPr="00466F50">
              <w:rPr>
                <w:rFonts w:ascii="Segoe UI" w:eastAsia="MS Mincho" w:hAnsi="Segoe UI" w:cs="Segoe UI"/>
                <w:color w:val="000000"/>
                <w:sz w:val="13"/>
                <w:szCs w:val="13"/>
              </w:rPr>
              <w:t xml:space="preserve">προς μέσο </w:t>
            </w:r>
            <w:r w:rsidR="000471C2" w:rsidRPr="00466F50">
              <w:rPr>
                <w:rFonts w:ascii="Segoe UI" w:eastAsia="MS Mincho" w:hAnsi="Segoe UI" w:cs="Segoe UI"/>
                <w:color w:val="000000"/>
                <w:sz w:val="13"/>
                <w:szCs w:val="13"/>
              </w:rPr>
              <w:t xml:space="preserve">όρο </w:t>
            </w:r>
            <w:r w:rsidR="004C30D2">
              <w:rPr>
                <w:rFonts w:ascii="Segoe UI" w:eastAsia="MS Mincho" w:hAnsi="Segoe UI" w:cs="Segoe UI"/>
                <w:color w:val="000000"/>
                <w:sz w:val="13"/>
                <w:szCs w:val="13"/>
              </w:rPr>
              <w:t>δανείων μετά από προβλέψεις</w:t>
            </w:r>
          </w:p>
        </w:tc>
      </w:tr>
      <w:tr w:rsidR="0027264F" w:rsidRPr="001616AD" w:rsidTr="002755E5">
        <w:trPr>
          <w:trHeight w:val="113"/>
        </w:trPr>
        <w:tc>
          <w:tcPr>
            <w:tcW w:w="1972" w:type="dxa"/>
            <w:shd w:val="clear" w:color="auto" w:fill="auto"/>
            <w:noWrap/>
            <w:vAlign w:val="center"/>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Κόστος Χρηματοδότησης</w:t>
            </w:r>
          </w:p>
        </w:tc>
        <w:tc>
          <w:tcPr>
            <w:tcW w:w="1134" w:type="dxa"/>
            <w:shd w:val="clear" w:color="auto" w:fill="auto"/>
            <w:noWrap/>
            <w:vAlign w:val="center"/>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w:t>
            </w:r>
          </w:p>
        </w:tc>
        <w:tc>
          <w:tcPr>
            <w:tcW w:w="7087" w:type="dxa"/>
            <w:shd w:val="clear" w:color="auto" w:fill="auto"/>
            <w:noWrap/>
            <w:vAlign w:val="center"/>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Το σταθμισμένος μέσο κόστος των καταθέσεων, της χρηματοδότησης μέσω Ευρωσυστήματος και συμφωνιών επαναγοράς, καθώς και των καλυμμένων ομολόγων και των τιτλοποιήσεων</w:t>
            </w:r>
          </w:p>
        </w:tc>
      </w:tr>
      <w:tr w:rsidR="0027264F" w:rsidRPr="00CB691B" w:rsidTr="004C30D2">
        <w:trPr>
          <w:trHeight w:val="113"/>
        </w:trPr>
        <w:tc>
          <w:tcPr>
            <w:tcW w:w="1972" w:type="dxa"/>
            <w:shd w:val="clear" w:color="auto" w:fill="F2F2F2" w:themeFill="background1" w:themeFillShade="F2"/>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Λειτουργικά ή Συνολικά Έσοδα</w:t>
            </w:r>
          </w:p>
        </w:tc>
        <w:tc>
          <w:tcPr>
            <w:tcW w:w="1134" w:type="dxa"/>
            <w:shd w:val="clear" w:color="auto" w:fill="F2F2F2" w:themeFill="background1" w:themeFillShade="F2"/>
            <w:noWrap/>
            <w:vAlign w:val="center"/>
          </w:tcPr>
          <w:p w:rsidR="0027264F" w:rsidRPr="00285C10" w:rsidRDefault="0027264F" w:rsidP="00D95F56">
            <w:pPr>
              <w:rPr>
                <w:rFonts w:ascii="Segoe UI" w:eastAsia="MS Mincho" w:hAnsi="Segoe UI" w:cs="Segoe UI"/>
                <w:color w:val="000000"/>
                <w:sz w:val="13"/>
                <w:szCs w:val="13"/>
              </w:rPr>
            </w:pPr>
          </w:p>
        </w:tc>
        <w:tc>
          <w:tcPr>
            <w:tcW w:w="7087" w:type="dxa"/>
            <w:shd w:val="clear" w:color="auto" w:fill="F2F2F2" w:themeFill="background1" w:themeFillShade="F2"/>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Καθαρά λειτουργικά έσοδα</w:t>
            </w:r>
          </w:p>
        </w:tc>
      </w:tr>
    </w:tbl>
    <w:p w:rsidR="006609DB" w:rsidRDefault="006609DB">
      <w:r>
        <w:br w:type="page"/>
      </w:r>
    </w:p>
    <w:tbl>
      <w:tblPr>
        <w:tblW w:w="10193" w:type="dxa"/>
        <w:tblInd w:w="108" w:type="dxa"/>
        <w:tblBorders>
          <w:top w:val="dotted" w:sz="4" w:space="0" w:color="007180"/>
          <w:left w:val="dotted" w:sz="4" w:space="0" w:color="007180"/>
          <w:bottom w:val="single" w:sz="12" w:space="0" w:color="007180"/>
          <w:right w:val="dotted" w:sz="4" w:space="0" w:color="007180"/>
          <w:insideH w:val="dotted" w:sz="4" w:space="0" w:color="007180"/>
          <w:insideV w:val="dotted" w:sz="4" w:space="0" w:color="007180"/>
        </w:tblBorders>
        <w:tblLook w:val="04A0" w:firstRow="1" w:lastRow="0" w:firstColumn="1" w:lastColumn="0" w:noHBand="0" w:noVBand="1"/>
      </w:tblPr>
      <w:tblGrid>
        <w:gridCol w:w="1972"/>
        <w:gridCol w:w="1134"/>
        <w:gridCol w:w="7087"/>
      </w:tblGrid>
      <w:tr w:rsidR="0027264F" w:rsidRPr="00CB691B" w:rsidTr="002755E5">
        <w:trPr>
          <w:trHeight w:val="113"/>
        </w:trPr>
        <w:tc>
          <w:tcPr>
            <w:tcW w:w="1972" w:type="dxa"/>
            <w:shd w:val="clear" w:color="auto" w:fill="auto"/>
            <w:noWrap/>
            <w:vAlign w:val="center"/>
            <w:hideMark/>
          </w:tcPr>
          <w:p w:rsidR="0027264F" w:rsidRPr="00285C10" w:rsidRDefault="00B87F4B" w:rsidP="00D95F56">
            <w:pPr>
              <w:rPr>
                <w:rFonts w:ascii="Segoe UI" w:eastAsia="MS Mincho" w:hAnsi="Segoe UI" w:cs="Segoe UI"/>
                <w:color w:val="000000"/>
                <w:sz w:val="13"/>
                <w:szCs w:val="13"/>
              </w:rPr>
            </w:pPr>
            <w:r>
              <w:lastRenderedPageBreak/>
              <w:br w:type="page"/>
            </w:r>
            <w:r w:rsidR="0027264F" w:rsidRPr="00285C10">
              <w:rPr>
                <w:rFonts w:ascii="Segoe UI" w:eastAsia="MS Mincho" w:hAnsi="Segoe UI" w:cs="Segoe UI"/>
                <w:color w:val="000000"/>
                <w:sz w:val="13"/>
                <w:szCs w:val="13"/>
              </w:rPr>
              <w:t>Λειτουργικά ή Συνολικά Έξοδα / Δαπάνες / Κόστη</w:t>
            </w:r>
          </w:p>
        </w:tc>
        <w:tc>
          <w:tcPr>
            <w:tcW w:w="1134" w:type="dxa"/>
            <w:shd w:val="clear" w:color="auto" w:fill="auto"/>
            <w:noWrap/>
            <w:vAlign w:val="center"/>
            <w:hideMark/>
          </w:tcPr>
          <w:p w:rsidR="0027264F" w:rsidRPr="00285C10" w:rsidRDefault="0027264F" w:rsidP="00D95F56">
            <w:pPr>
              <w:rPr>
                <w:rFonts w:ascii="Segoe UI" w:eastAsia="MS Mincho" w:hAnsi="Segoe UI" w:cs="Segoe UI"/>
                <w:color w:val="000000"/>
                <w:sz w:val="13"/>
                <w:szCs w:val="13"/>
                <w:lang w:val="en-GB"/>
              </w:rPr>
            </w:pPr>
            <w:r w:rsidRPr="00285C10">
              <w:rPr>
                <w:rFonts w:ascii="Segoe UI" w:eastAsia="MS Mincho" w:hAnsi="Segoe UI" w:cs="Segoe UI"/>
                <w:color w:val="000000"/>
                <w:sz w:val="13"/>
                <w:szCs w:val="13"/>
                <w:lang w:val="en-GB"/>
              </w:rPr>
              <w:t>--</w:t>
            </w:r>
          </w:p>
        </w:tc>
        <w:tc>
          <w:tcPr>
            <w:tcW w:w="7087" w:type="dxa"/>
            <w:shd w:val="clear" w:color="auto" w:fill="auto"/>
            <w:noWrap/>
            <w:vAlign w:val="center"/>
            <w:hideMark/>
          </w:tcPr>
          <w:p w:rsidR="0027264F" w:rsidRPr="00285C10" w:rsidRDefault="0027264F" w:rsidP="00E13856">
            <w:pPr>
              <w:rPr>
                <w:rFonts w:ascii="Segoe UI" w:eastAsia="MS Mincho" w:hAnsi="Segoe UI" w:cs="Segoe UI"/>
                <w:color w:val="000000"/>
                <w:sz w:val="13"/>
                <w:szCs w:val="13"/>
              </w:rPr>
            </w:pPr>
            <w:r w:rsidRPr="00285C10">
              <w:rPr>
                <w:rFonts w:ascii="Segoe UI" w:eastAsia="MS Mincho" w:hAnsi="Segoe UI" w:cs="Segoe UI"/>
                <w:color w:val="000000"/>
                <w:sz w:val="13"/>
                <w:szCs w:val="13"/>
              </w:rPr>
              <w:t>Δαπάνες προσωπικού + Γενικά διοικητικά έξοδα + Αποσβέσεις, εξαιρουμέν</w:t>
            </w:r>
            <w:r w:rsidR="008614A4">
              <w:rPr>
                <w:rFonts w:ascii="Segoe UI" w:eastAsia="MS Mincho" w:hAnsi="Segoe UI" w:cs="Segoe UI"/>
                <w:color w:val="000000"/>
                <w:sz w:val="13"/>
                <w:szCs w:val="13"/>
              </w:rPr>
              <w:t>ης της ασφαλιστικής εισφορά</w:t>
            </w:r>
            <w:r w:rsidR="00B1032C">
              <w:rPr>
                <w:rFonts w:ascii="Segoe UI" w:eastAsia="MS Mincho" w:hAnsi="Segoe UI" w:cs="Segoe UI"/>
                <w:color w:val="000000"/>
                <w:sz w:val="13"/>
                <w:szCs w:val="13"/>
              </w:rPr>
              <w:t>ς</w:t>
            </w:r>
            <w:r w:rsidR="008614A4">
              <w:rPr>
                <w:rFonts w:ascii="Segoe UI" w:eastAsia="MS Mincho" w:hAnsi="Segoe UI" w:cs="Segoe UI"/>
                <w:color w:val="000000"/>
                <w:sz w:val="13"/>
                <w:szCs w:val="13"/>
              </w:rPr>
              <w:t xml:space="preserve"> </w:t>
            </w:r>
            <w:r w:rsidR="008614A4" w:rsidRPr="00285C10">
              <w:rPr>
                <w:rFonts w:ascii="Segoe UI" w:eastAsia="MS Mincho" w:hAnsi="Segoe UI" w:cs="Segoe UI"/>
                <w:color w:val="000000"/>
                <w:sz w:val="13"/>
                <w:szCs w:val="13"/>
              </w:rPr>
              <w:t>για το</w:t>
            </w:r>
            <w:r w:rsidR="00DD2F14">
              <w:rPr>
                <w:rFonts w:ascii="Segoe UI" w:eastAsia="MS Mincho" w:hAnsi="Segoe UI" w:cs="Segoe UI"/>
                <w:color w:val="000000"/>
                <w:sz w:val="13"/>
                <w:szCs w:val="13"/>
              </w:rPr>
              <w:t>ν</w:t>
            </w:r>
            <w:r w:rsidR="008614A4" w:rsidRPr="00285C10">
              <w:rPr>
                <w:rFonts w:ascii="Segoe UI" w:eastAsia="MS Mincho" w:hAnsi="Segoe UI" w:cs="Segoe UI"/>
                <w:color w:val="000000"/>
                <w:sz w:val="13"/>
                <w:szCs w:val="13"/>
              </w:rPr>
              <w:t xml:space="preserve"> ΛΕΠΕΤΕ</w:t>
            </w:r>
            <w:r w:rsidR="008614A4">
              <w:rPr>
                <w:rFonts w:ascii="Segoe UI" w:eastAsia="MS Mincho" w:hAnsi="Segoe UI" w:cs="Segoe UI"/>
                <w:color w:val="000000"/>
                <w:sz w:val="13"/>
                <w:szCs w:val="13"/>
              </w:rPr>
              <w:t xml:space="preserve"> στον κλάδο Επικουρικής Ασφάλισης του </w:t>
            </w:r>
            <w:r w:rsidR="008614A4">
              <w:rPr>
                <w:rFonts w:ascii="Segoe UI" w:eastAsia="MS Mincho" w:hAnsi="Segoe UI" w:cs="Segoe UI"/>
                <w:color w:val="000000"/>
                <w:sz w:val="13"/>
                <w:szCs w:val="13"/>
                <w:lang w:val="en-US"/>
              </w:rPr>
              <w:t>e</w:t>
            </w:r>
            <w:r w:rsidR="008614A4" w:rsidRPr="009062EB">
              <w:rPr>
                <w:rFonts w:ascii="Segoe UI" w:eastAsia="MS Mincho" w:hAnsi="Segoe UI" w:cs="Segoe UI"/>
                <w:color w:val="000000"/>
                <w:sz w:val="13"/>
                <w:szCs w:val="13"/>
              </w:rPr>
              <w:t>-</w:t>
            </w:r>
            <w:r w:rsidR="008614A4">
              <w:rPr>
                <w:rFonts w:ascii="Segoe UI" w:eastAsia="MS Mincho" w:hAnsi="Segoe UI" w:cs="Segoe UI"/>
                <w:color w:val="000000"/>
                <w:sz w:val="13"/>
                <w:szCs w:val="13"/>
              </w:rPr>
              <w:t>ΕΦΚΑ</w:t>
            </w:r>
            <w:r w:rsidR="008614A4" w:rsidRPr="00285C10">
              <w:rPr>
                <w:rFonts w:ascii="Segoe UI" w:eastAsia="MS Mincho" w:hAnsi="Segoe UI" w:cs="Segoe UI"/>
                <w:color w:val="000000"/>
                <w:sz w:val="13"/>
                <w:szCs w:val="13"/>
              </w:rPr>
              <w:t xml:space="preserve"> </w:t>
            </w:r>
            <w:r w:rsidR="008614A4">
              <w:rPr>
                <w:rFonts w:ascii="Segoe UI" w:eastAsia="MS Mincho" w:hAnsi="Segoe UI" w:cs="Segoe UI"/>
                <w:color w:val="000000"/>
                <w:sz w:val="13"/>
                <w:szCs w:val="13"/>
              </w:rPr>
              <w:t xml:space="preserve">και λοιπών </w:t>
            </w:r>
            <w:r w:rsidRPr="00285C10">
              <w:rPr>
                <w:rFonts w:ascii="Segoe UI" w:eastAsia="MS Mincho" w:hAnsi="Segoe UI" w:cs="Segoe UI"/>
                <w:color w:val="000000"/>
                <w:sz w:val="13"/>
                <w:szCs w:val="13"/>
              </w:rPr>
              <w:t xml:space="preserve">μη επαναλαμβανόμενων δαπανών. </w:t>
            </w:r>
            <w:r w:rsidR="008614A4">
              <w:rPr>
                <w:rFonts w:ascii="Segoe UI" w:eastAsia="MS Mincho" w:hAnsi="Segoe UI" w:cs="Segoe UI"/>
                <w:color w:val="000000"/>
                <w:sz w:val="13"/>
                <w:szCs w:val="13"/>
              </w:rPr>
              <w:t>Ειδικότερα, τ</w:t>
            </w:r>
            <w:r w:rsidRPr="00285C10">
              <w:rPr>
                <w:rFonts w:ascii="Segoe UI" w:eastAsia="MS Mincho" w:hAnsi="Segoe UI" w:cs="Segoe UI"/>
                <w:color w:val="000000"/>
                <w:sz w:val="13"/>
                <w:szCs w:val="13"/>
              </w:rPr>
              <w:t xml:space="preserve">α λειτουργικά έξοδα εξαιρούν </w:t>
            </w:r>
            <w:r w:rsidR="008614A4" w:rsidRPr="008614A4">
              <w:rPr>
                <w:rFonts w:ascii="Segoe UI" w:eastAsia="MS Mincho" w:hAnsi="Segoe UI" w:cs="Segoe UI"/>
                <w:color w:val="000000"/>
                <w:sz w:val="13"/>
                <w:szCs w:val="13"/>
              </w:rPr>
              <w:t>τη</w:t>
            </w:r>
            <w:r w:rsidR="008614A4">
              <w:rPr>
                <w:rFonts w:ascii="Segoe UI" w:eastAsia="MS Mincho" w:hAnsi="Segoe UI" w:cs="Segoe UI"/>
                <w:color w:val="000000"/>
                <w:sz w:val="13"/>
                <w:szCs w:val="13"/>
              </w:rPr>
              <w:t>ν</w:t>
            </w:r>
            <w:r w:rsidR="008614A4" w:rsidRPr="008614A4">
              <w:rPr>
                <w:rFonts w:ascii="Segoe UI" w:eastAsia="MS Mincho" w:hAnsi="Segoe UI" w:cs="Segoe UI"/>
                <w:color w:val="000000"/>
                <w:sz w:val="13"/>
                <w:szCs w:val="13"/>
              </w:rPr>
              <w:t xml:space="preserve"> ασφαλιστική εισφορά για το</w:t>
            </w:r>
            <w:r w:rsidR="00DD2F14">
              <w:rPr>
                <w:rFonts w:ascii="Segoe UI" w:eastAsia="MS Mincho" w:hAnsi="Segoe UI" w:cs="Segoe UI"/>
                <w:color w:val="000000"/>
                <w:sz w:val="13"/>
                <w:szCs w:val="13"/>
              </w:rPr>
              <w:t>ν</w:t>
            </w:r>
            <w:r w:rsidR="008614A4" w:rsidRPr="008614A4">
              <w:rPr>
                <w:rFonts w:ascii="Segoe UI" w:eastAsia="MS Mincho" w:hAnsi="Segoe UI" w:cs="Segoe UI"/>
                <w:color w:val="000000"/>
                <w:sz w:val="13"/>
                <w:szCs w:val="13"/>
              </w:rPr>
              <w:t xml:space="preserve"> ΛΕΠΕΤΕ στο e-ΕΦΚΑ </w:t>
            </w:r>
            <w:r w:rsidR="007C2DE1" w:rsidRPr="00285C10">
              <w:rPr>
                <w:rFonts w:ascii="Segoe UI" w:eastAsia="MS Mincho" w:hAnsi="Segoe UI" w:cs="Segoe UI"/>
                <w:color w:val="000000"/>
                <w:sz w:val="13"/>
                <w:szCs w:val="13"/>
              </w:rPr>
              <w:t>(€</w:t>
            </w:r>
            <w:r w:rsidR="00641599" w:rsidRPr="003F6C10">
              <w:rPr>
                <w:rFonts w:ascii="Segoe UI" w:eastAsia="MS Mincho" w:hAnsi="Segoe UI" w:cs="Segoe UI"/>
                <w:color w:val="000000"/>
                <w:sz w:val="13"/>
                <w:szCs w:val="13"/>
              </w:rPr>
              <w:t>18</w:t>
            </w:r>
            <w:r w:rsidR="007C2DE1" w:rsidRPr="00285C10">
              <w:rPr>
                <w:rFonts w:ascii="Segoe UI" w:eastAsia="MS Mincho" w:hAnsi="Segoe UI" w:cs="Segoe UI"/>
                <w:color w:val="000000"/>
                <w:sz w:val="13"/>
                <w:szCs w:val="13"/>
              </w:rPr>
              <w:t xml:space="preserve"> εκατ.) και λοιπές μη επαναλαμβανόμενες δαπάνες (€</w:t>
            </w:r>
            <w:r w:rsidR="00E13856">
              <w:rPr>
                <w:rFonts w:ascii="Segoe UI" w:eastAsia="MS Mincho" w:hAnsi="Segoe UI" w:cs="Segoe UI"/>
                <w:color w:val="000000"/>
                <w:sz w:val="13"/>
                <w:szCs w:val="13"/>
              </w:rPr>
              <w:t>20</w:t>
            </w:r>
            <w:r w:rsidR="007C2DE1" w:rsidRPr="00285C10">
              <w:rPr>
                <w:rFonts w:ascii="Segoe UI" w:eastAsia="MS Mincho" w:hAnsi="Segoe UI" w:cs="Segoe UI"/>
                <w:color w:val="000000"/>
                <w:sz w:val="13"/>
                <w:szCs w:val="13"/>
              </w:rPr>
              <w:t xml:space="preserve"> εκατ.) για το </w:t>
            </w:r>
            <w:r w:rsidR="009062EB">
              <w:rPr>
                <w:rFonts w:ascii="Segoe UI" w:eastAsia="MS Mincho" w:hAnsi="Segoe UI" w:cs="Segoe UI"/>
                <w:color w:val="000000"/>
                <w:sz w:val="13"/>
                <w:szCs w:val="13"/>
              </w:rPr>
              <w:t xml:space="preserve">Α’ </w:t>
            </w:r>
            <w:r w:rsidR="005126EA" w:rsidRPr="005126EA">
              <w:rPr>
                <w:rFonts w:ascii="Segoe UI" w:eastAsia="MS Mincho" w:hAnsi="Segoe UI" w:cs="Segoe UI"/>
                <w:color w:val="000000"/>
                <w:sz w:val="13"/>
                <w:szCs w:val="13"/>
              </w:rPr>
              <w:t xml:space="preserve">εξάμηνο </w:t>
            </w:r>
            <w:r w:rsidR="009062EB">
              <w:rPr>
                <w:rFonts w:ascii="Segoe UI" w:eastAsia="MS Mincho" w:hAnsi="Segoe UI" w:cs="Segoe UI"/>
                <w:color w:val="000000"/>
                <w:sz w:val="13"/>
                <w:szCs w:val="13"/>
              </w:rPr>
              <w:t>2021</w:t>
            </w:r>
            <w:r w:rsidR="007C2DE1" w:rsidRPr="00285C10">
              <w:rPr>
                <w:rFonts w:ascii="Segoe UI" w:eastAsia="MS Mincho" w:hAnsi="Segoe UI" w:cs="Segoe UI"/>
                <w:color w:val="000000"/>
                <w:sz w:val="13"/>
                <w:szCs w:val="13"/>
              </w:rPr>
              <w:t xml:space="preserve">, καθώς και </w:t>
            </w:r>
            <w:r w:rsidR="00F405A7" w:rsidRPr="00F405A7">
              <w:rPr>
                <w:rFonts w:ascii="Segoe UI" w:eastAsia="MS Mincho" w:hAnsi="Segoe UI" w:cs="Segoe UI"/>
                <w:color w:val="000000"/>
                <w:sz w:val="13"/>
                <w:szCs w:val="13"/>
              </w:rPr>
              <w:t>την ασφαλιστική εισφορά για το</w:t>
            </w:r>
            <w:r w:rsidR="00DD2F14">
              <w:rPr>
                <w:rFonts w:ascii="Segoe UI" w:eastAsia="MS Mincho" w:hAnsi="Segoe UI" w:cs="Segoe UI"/>
                <w:color w:val="000000"/>
                <w:sz w:val="13"/>
                <w:szCs w:val="13"/>
              </w:rPr>
              <w:t>ν</w:t>
            </w:r>
            <w:r w:rsidR="00F405A7" w:rsidRPr="00F405A7">
              <w:rPr>
                <w:rFonts w:ascii="Segoe UI" w:eastAsia="MS Mincho" w:hAnsi="Segoe UI" w:cs="Segoe UI"/>
                <w:color w:val="000000"/>
                <w:sz w:val="13"/>
                <w:szCs w:val="13"/>
              </w:rPr>
              <w:t xml:space="preserve"> ΛΕΠΕΤΕ στο e-ΕΦΚΑ </w:t>
            </w:r>
            <w:r w:rsidR="007C2DE1" w:rsidRPr="00285C10">
              <w:rPr>
                <w:rFonts w:ascii="Segoe UI" w:eastAsia="MS Mincho" w:hAnsi="Segoe UI" w:cs="Segoe UI"/>
                <w:color w:val="000000"/>
                <w:sz w:val="13"/>
                <w:szCs w:val="13"/>
              </w:rPr>
              <w:t>(€</w:t>
            </w:r>
            <w:r w:rsidR="004D0113">
              <w:rPr>
                <w:rFonts w:ascii="Segoe UI" w:eastAsia="MS Mincho" w:hAnsi="Segoe UI" w:cs="Segoe UI"/>
                <w:color w:val="000000"/>
                <w:sz w:val="13"/>
                <w:szCs w:val="13"/>
              </w:rPr>
              <w:t>1</w:t>
            </w:r>
            <w:r w:rsidR="005126EA">
              <w:rPr>
                <w:rFonts w:ascii="Segoe UI" w:eastAsia="MS Mincho" w:hAnsi="Segoe UI" w:cs="Segoe UI"/>
                <w:color w:val="000000"/>
                <w:sz w:val="13"/>
                <w:szCs w:val="13"/>
              </w:rPr>
              <w:t>9</w:t>
            </w:r>
            <w:r w:rsidR="007C2DE1" w:rsidRPr="00285C10">
              <w:rPr>
                <w:rFonts w:ascii="Segoe UI" w:eastAsia="MS Mincho" w:hAnsi="Segoe UI" w:cs="Segoe UI"/>
                <w:color w:val="000000"/>
                <w:sz w:val="13"/>
                <w:szCs w:val="13"/>
              </w:rPr>
              <w:t xml:space="preserve"> εκατ.) και λοιπές μη επαναλαμβανόμενες δαπάνες (€</w:t>
            </w:r>
            <w:r w:rsidR="00E13856">
              <w:rPr>
                <w:rFonts w:ascii="Segoe UI" w:eastAsia="MS Mincho" w:hAnsi="Segoe UI" w:cs="Segoe UI"/>
                <w:color w:val="000000"/>
                <w:sz w:val="13"/>
                <w:szCs w:val="13"/>
              </w:rPr>
              <w:t>5</w:t>
            </w:r>
            <w:r w:rsidR="007C2DE1" w:rsidRPr="00285C10">
              <w:rPr>
                <w:rFonts w:ascii="Segoe UI" w:eastAsia="MS Mincho" w:hAnsi="Segoe UI" w:cs="Segoe UI"/>
                <w:color w:val="000000"/>
                <w:sz w:val="13"/>
                <w:szCs w:val="13"/>
              </w:rPr>
              <w:t xml:space="preserve"> εκατ.) για το </w:t>
            </w:r>
            <w:r w:rsidR="009062EB" w:rsidRPr="009062EB">
              <w:rPr>
                <w:rFonts w:ascii="Segoe UI" w:eastAsia="MS Mincho" w:hAnsi="Segoe UI" w:cs="Segoe UI"/>
                <w:color w:val="000000"/>
                <w:sz w:val="13"/>
                <w:szCs w:val="13"/>
              </w:rPr>
              <w:t xml:space="preserve">Α’ </w:t>
            </w:r>
            <w:r w:rsidR="005126EA" w:rsidRPr="005126EA">
              <w:rPr>
                <w:rFonts w:ascii="Segoe UI" w:eastAsia="MS Mincho" w:hAnsi="Segoe UI" w:cs="Segoe UI"/>
                <w:color w:val="000000"/>
                <w:sz w:val="13"/>
                <w:szCs w:val="13"/>
              </w:rPr>
              <w:t xml:space="preserve">εξάμηνο </w:t>
            </w:r>
            <w:r w:rsidR="009062EB">
              <w:rPr>
                <w:rFonts w:ascii="Segoe UI" w:eastAsia="MS Mincho" w:hAnsi="Segoe UI" w:cs="Segoe UI"/>
                <w:color w:val="000000"/>
                <w:sz w:val="13"/>
                <w:szCs w:val="13"/>
              </w:rPr>
              <w:t>2020</w:t>
            </w:r>
          </w:p>
        </w:tc>
      </w:tr>
      <w:tr w:rsidR="0027264F" w:rsidRPr="00CB691B" w:rsidTr="00D95F56">
        <w:trPr>
          <w:trHeight w:val="113"/>
        </w:trPr>
        <w:tc>
          <w:tcPr>
            <w:tcW w:w="1972" w:type="dxa"/>
            <w:shd w:val="clear" w:color="auto" w:fill="auto"/>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Λειτουργικά Κέρδη / (Ζημίες)</w:t>
            </w:r>
          </w:p>
        </w:tc>
        <w:tc>
          <w:tcPr>
            <w:tcW w:w="1134" w:type="dxa"/>
            <w:shd w:val="clear" w:color="auto" w:fill="auto"/>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w:t>
            </w:r>
          </w:p>
        </w:tc>
        <w:tc>
          <w:tcPr>
            <w:tcW w:w="7087" w:type="dxa"/>
            <w:shd w:val="clear" w:color="auto" w:fill="auto"/>
            <w:noWrap/>
            <w:vAlign w:val="center"/>
            <w:hideMark/>
          </w:tcPr>
          <w:p w:rsidR="0027264F" w:rsidRPr="00285C10" w:rsidRDefault="0027264F" w:rsidP="00641599">
            <w:pPr>
              <w:rPr>
                <w:rFonts w:ascii="Segoe UI" w:eastAsia="MS Mincho" w:hAnsi="Segoe UI" w:cs="Segoe UI"/>
                <w:color w:val="000000"/>
                <w:sz w:val="13"/>
                <w:szCs w:val="13"/>
              </w:rPr>
            </w:pPr>
            <w:r w:rsidRPr="00285C10">
              <w:rPr>
                <w:rFonts w:ascii="Segoe UI" w:eastAsia="MS Mincho" w:hAnsi="Segoe UI" w:cs="Segoe UI"/>
                <w:color w:val="000000"/>
                <w:sz w:val="13"/>
                <w:szCs w:val="13"/>
              </w:rPr>
              <w:t>Καθαρά λειτουργικά έσοδα μείον λειτουργικά έξοδα και προβλέψεις απομείωσης για ΑΠΖ</w:t>
            </w:r>
            <w:r w:rsidR="00717A63" w:rsidRPr="00285C10">
              <w:rPr>
                <w:rFonts w:ascii="Segoe UI" w:eastAsia="MS Mincho" w:hAnsi="Segoe UI" w:cs="Segoe UI"/>
                <w:color w:val="000000"/>
                <w:sz w:val="13"/>
                <w:szCs w:val="13"/>
              </w:rPr>
              <w:t xml:space="preserve">, </w:t>
            </w:r>
            <w:r w:rsidR="00B1032C" w:rsidRPr="00B1032C">
              <w:rPr>
                <w:rFonts w:ascii="Segoe UI" w:eastAsia="MS Mincho" w:hAnsi="Segoe UI" w:cs="Segoe UI"/>
                <w:color w:val="000000"/>
                <w:sz w:val="13"/>
                <w:szCs w:val="13"/>
              </w:rPr>
              <w:t>εξαιρουμένης της ασφαλιστικής εισφοράς για το</w:t>
            </w:r>
            <w:r w:rsidR="00D53B01">
              <w:rPr>
                <w:rFonts w:ascii="Segoe UI" w:eastAsia="MS Mincho" w:hAnsi="Segoe UI" w:cs="Segoe UI"/>
                <w:color w:val="000000"/>
                <w:sz w:val="13"/>
                <w:szCs w:val="13"/>
              </w:rPr>
              <w:t>ν</w:t>
            </w:r>
            <w:r w:rsidR="00B1032C" w:rsidRPr="00B1032C">
              <w:rPr>
                <w:rFonts w:ascii="Segoe UI" w:eastAsia="MS Mincho" w:hAnsi="Segoe UI" w:cs="Segoe UI"/>
                <w:color w:val="000000"/>
                <w:sz w:val="13"/>
                <w:szCs w:val="13"/>
              </w:rPr>
              <w:t xml:space="preserve"> ΛΕΠΕΤΕ στον κλάδο Επικουρικής Ασφάλισης του e-ΕΦΚΑ</w:t>
            </w:r>
            <w:r w:rsidR="00B1032C">
              <w:rPr>
                <w:rFonts w:ascii="Segoe UI" w:eastAsia="MS Mincho" w:hAnsi="Segoe UI" w:cs="Segoe UI"/>
                <w:color w:val="000000"/>
                <w:sz w:val="13"/>
                <w:szCs w:val="13"/>
              </w:rPr>
              <w:t xml:space="preserve">, </w:t>
            </w:r>
            <w:r w:rsidR="00717A63" w:rsidRPr="00285C10">
              <w:rPr>
                <w:rFonts w:ascii="Segoe UI" w:eastAsia="MS Mincho" w:hAnsi="Segoe UI" w:cs="Segoe UI"/>
                <w:color w:val="000000"/>
                <w:sz w:val="13"/>
                <w:szCs w:val="13"/>
              </w:rPr>
              <w:t>του κόστους του Προγράμματος Εθελουσίας Προσωπικού, του κόστους αναδιάρθρωσης, της διακοπής μισθώσεων και λοιπ</w:t>
            </w:r>
            <w:r w:rsidR="00B1032C">
              <w:rPr>
                <w:rFonts w:ascii="Segoe UI" w:eastAsia="MS Mincho" w:hAnsi="Segoe UI" w:cs="Segoe UI"/>
                <w:color w:val="000000"/>
                <w:sz w:val="13"/>
                <w:szCs w:val="13"/>
              </w:rPr>
              <w:t>ών μη επαναλαμβανόμενων δαπανών</w:t>
            </w:r>
            <w:r w:rsidR="00717A63" w:rsidRPr="00285C10">
              <w:rPr>
                <w:rFonts w:ascii="Segoe UI" w:eastAsia="MS Mincho" w:hAnsi="Segoe UI" w:cs="Segoe UI"/>
                <w:color w:val="000000"/>
                <w:sz w:val="13"/>
                <w:szCs w:val="13"/>
              </w:rPr>
              <w:t xml:space="preserve">. Τα λειτουργικά κέρδη </w:t>
            </w:r>
            <w:r w:rsidR="000471C2" w:rsidRPr="00285C10">
              <w:rPr>
                <w:rFonts w:ascii="Segoe UI" w:eastAsia="MS Mincho" w:hAnsi="Segoe UI" w:cs="Segoe UI"/>
                <w:color w:val="000000"/>
                <w:sz w:val="13"/>
                <w:szCs w:val="13"/>
              </w:rPr>
              <w:t xml:space="preserve">/ (ζημίες) </w:t>
            </w:r>
            <w:r w:rsidR="00717A63" w:rsidRPr="00285C10">
              <w:rPr>
                <w:rFonts w:ascii="Segoe UI" w:eastAsia="MS Mincho" w:hAnsi="Segoe UI" w:cs="Segoe UI"/>
                <w:color w:val="000000"/>
                <w:sz w:val="13"/>
                <w:szCs w:val="13"/>
              </w:rPr>
              <w:t xml:space="preserve">εξαιρούν </w:t>
            </w:r>
            <w:r w:rsidR="009D2C8F" w:rsidRPr="009D2C8F">
              <w:rPr>
                <w:rFonts w:ascii="Segoe UI" w:eastAsia="MS Mincho" w:hAnsi="Segoe UI" w:cs="Segoe UI"/>
                <w:color w:val="000000"/>
                <w:sz w:val="13"/>
                <w:szCs w:val="13"/>
              </w:rPr>
              <w:t>την ασφαλιστική εισφορά για το</w:t>
            </w:r>
            <w:r w:rsidR="00D53B01">
              <w:rPr>
                <w:rFonts w:ascii="Segoe UI" w:eastAsia="MS Mincho" w:hAnsi="Segoe UI" w:cs="Segoe UI"/>
                <w:color w:val="000000"/>
                <w:sz w:val="13"/>
                <w:szCs w:val="13"/>
              </w:rPr>
              <w:t>ν</w:t>
            </w:r>
            <w:r w:rsidR="009D2C8F" w:rsidRPr="009D2C8F">
              <w:rPr>
                <w:rFonts w:ascii="Segoe UI" w:eastAsia="MS Mincho" w:hAnsi="Segoe UI" w:cs="Segoe UI"/>
                <w:color w:val="000000"/>
                <w:sz w:val="13"/>
                <w:szCs w:val="13"/>
              </w:rPr>
              <w:t xml:space="preserve"> ΛΕΠΕΤΕ στο e-ΕΦΚΑ (€</w:t>
            </w:r>
            <w:r w:rsidR="00641599" w:rsidRPr="003F6C10">
              <w:rPr>
                <w:rFonts w:ascii="Segoe UI" w:eastAsia="MS Mincho" w:hAnsi="Segoe UI" w:cs="Segoe UI"/>
                <w:color w:val="000000"/>
                <w:sz w:val="13"/>
                <w:szCs w:val="13"/>
              </w:rPr>
              <w:t>18</w:t>
            </w:r>
            <w:r w:rsidR="009D2C8F" w:rsidRPr="009D2C8F">
              <w:rPr>
                <w:rFonts w:ascii="Segoe UI" w:eastAsia="MS Mincho" w:hAnsi="Segoe UI" w:cs="Segoe UI"/>
                <w:color w:val="000000"/>
                <w:sz w:val="13"/>
                <w:szCs w:val="13"/>
              </w:rPr>
              <w:t xml:space="preserve"> εκατ.) &amp; κόστη Εθελουσίας Εξόδου Προσωπικού και αναδιάρθρωσης και λοιπές μη επαναλαμβανόμενες δαπάνες (€</w:t>
            </w:r>
            <w:r w:rsidR="00641599" w:rsidRPr="003F6C10">
              <w:rPr>
                <w:rFonts w:ascii="Segoe UI" w:eastAsia="MS Mincho" w:hAnsi="Segoe UI" w:cs="Segoe UI"/>
                <w:color w:val="000000"/>
                <w:sz w:val="13"/>
                <w:szCs w:val="13"/>
              </w:rPr>
              <w:t>74</w:t>
            </w:r>
            <w:r w:rsidR="009D2C8F" w:rsidRPr="009D2C8F">
              <w:rPr>
                <w:rFonts w:ascii="Segoe UI" w:eastAsia="MS Mincho" w:hAnsi="Segoe UI" w:cs="Segoe UI"/>
                <w:color w:val="000000"/>
                <w:sz w:val="13"/>
                <w:szCs w:val="13"/>
              </w:rPr>
              <w:t xml:space="preserve"> εκατ.) για το Α’ </w:t>
            </w:r>
            <w:r w:rsidR="006B0821" w:rsidRPr="006B0821">
              <w:rPr>
                <w:rFonts w:ascii="Segoe UI" w:eastAsia="MS Mincho" w:hAnsi="Segoe UI" w:cs="Segoe UI"/>
                <w:color w:val="000000"/>
                <w:sz w:val="13"/>
                <w:szCs w:val="13"/>
              </w:rPr>
              <w:t xml:space="preserve">εξάμηνο </w:t>
            </w:r>
            <w:r w:rsidR="009D2C8F" w:rsidRPr="009D2C8F">
              <w:rPr>
                <w:rFonts w:ascii="Segoe UI" w:eastAsia="MS Mincho" w:hAnsi="Segoe UI" w:cs="Segoe UI"/>
                <w:color w:val="000000"/>
                <w:sz w:val="13"/>
                <w:szCs w:val="13"/>
              </w:rPr>
              <w:t>2021, καθώς και την ασφαλιστική εισφορά για το</w:t>
            </w:r>
            <w:r w:rsidR="00D53B01">
              <w:rPr>
                <w:rFonts w:ascii="Segoe UI" w:eastAsia="MS Mincho" w:hAnsi="Segoe UI" w:cs="Segoe UI"/>
                <w:color w:val="000000"/>
                <w:sz w:val="13"/>
                <w:szCs w:val="13"/>
              </w:rPr>
              <w:t>ν</w:t>
            </w:r>
            <w:r w:rsidR="009D2C8F" w:rsidRPr="009D2C8F">
              <w:rPr>
                <w:rFonts w:ascii="Segoe UI" w:eastAsia="MS Mincho" w:hAnsi="Segoe UI" w:cs="Segoe UI"/>
                <w:color w:val="000000"/>
                <w:sz w:val="13"/>
                <w:szCs w:val="13"/>
              </w:rPr>
              <w:t xml:space="preserve"> ΛΕΠΕΤΕ στο e-ΕΦΚΑ (€1</w:t>
            </w:r>
            <w:r w:rsidR="006B0821" w:rsidRPr="003F6C10">
              <w:rPr>
                <w:rFonts w:ascii="Segoe UI" w:eastAsia="MS Mincho" w:hAnsi="Segoe UI" w:cs="Segoe UI"/>
                <w:color w:val="000000"/>
                <w:sz w:val="13"/>
                <w:szCs w:val="13"/>
              </w:rPr>
              <w:t>9</w:t>
            </w:r>
            <w:r w:rsidR="009D2C8F" w:rsidRPr="009D2C8F">
              <w:rPr>
                <w:rFonts w:ascii="Segoe UI" w:eastAsia="MS Mincho" w:hAnsi="Segoe UI" w:cs="Segoe UI"/>
                <w:color w:val="000000"/>
                <w:sz w:val="13"/>
                <w:szCs w:val="13"/>
              </w:rPr>
              <w:t xml:space="preserve"> εκατ.) &amp; κόστη Εθελουσίας Εξόδου Προσωπικού και αναδιάρθρωσης και λοιπές μη επαναλαμβανόμενες δαπάνες (€9</w:t>
            </w:r>
            <w:r w:rsidR="006B0821" w:rsidRPr="003F6C10">
              <w:rPr>
                <w:rFonts w:ascii="Segoe UI" w:eastAsia="MS Mincho" w:hAnsi="Segoe UI" w:cs="Segoe UI"/>
                <w:color w:val="000000"/>
                <w:sz w:val="13"/>
                <w:szCs w:val="13"/>
              </w:rPr>
              <w:t>9</w:t>
            </w:r>
            <w:r w:rsidR="009D2C8F" w:rsidRPr="009D2C8F">
              <w:rPr>
                <w:rFonts w:ascii="Segoe UI" w:eastAsia="MS Mincho" w:hAnsi="Segoe UI" w:cs="Segoe UI"/>
                <w:color w:val="000000"/>
                <w:sz w:val="13"/>
                <w:szCs w:val="13"/>
              </w:rPr>
              <w:t xml:space="preserve">εκατ.) για το Α’ </w:t>
            </w:r>
            <w:r w:rsidR="006B0821" w:rsidRPr="006B0821">
              <w:rPr>
                <w:rFonts w:ascii="Segoe UI" w:eastAsia="MS Mincho" w:hAnsi="Segoe UI" w:cs="Segoe UI"/>
                <w:color w:val="000000"/>
                <w:sz w:val="13"/>
                <w:szCs w:val="13"/>
              </w:rPr>
              <w:t xml:space="preserve">εξάμηνο </w:t>
            </w:r>
            <w:r w:rsidR="009D2C8F" w:rsidRPr="009D2C8F">
              <w:rPr>
                <w:rFonts w:ascii="Segoe UI" w:eastAsia="MS Mincho" w:hAnsi="Segoe UI" w:cs="Segoe UI"/>
                <w:color w:val="000000"/>
                <w:sz w:val="13"/>
                <w:szCs w:val="13"/>
              </w:rPr>
              <w:t>2020</w:t>
            </w:r>
          </w:p>
        </w:tc>
      </w:tr>
      <w:tr w:rsidR="0027264F" w:rsidRPr="00CB691B" w:rsidTr="00D95F56">
        <w:trPr>
          <w:trHeight w:val="113"/>
        </w:trPr>
        <w:tc>
          <w:tcPr>
            <w:tcW w:w="1972" w:type="dxa"/>
            <w:shd w:val="clear" w:color="auto" w:fill="F2F2F2" w:themeFill="background1" w:themeFillShade="F2"/>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Λοιπές προβλέψεις </w:t>
            </w:r>
          </w:p>
        </w:tc>
        <w:tc>
          <w:tcPr>
            <w:tcW w:w="1134" w:type="dxa"/>
            <w:shd w:val="clear" w:color="auto" w:fill="F2F2F2" w:themeFill="background1" w:themeFillShade="F2"/>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w:t>
            </w:r>
          </w:p>
        </w:tc>
        <w:tc>
          <w:tcPr>
            <w:tcW w:w="7087" w:type="dxa"/>
            <w:shd w:val="clear" w:color="auto" w:fill="F2F2F2" w:themeFill="background1" w:themeFillShade="F2"/>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Προβλέψεις απομείωσης χρεογράφων + Λοιπές προβλέψεις και προβλέψεις απομείωσης </w:t>
            </w:r>
          </w:p>
        </w:tc>
      </w:tr>
      <w:tr w:rsidR="0027264F" w:rsidRPr="00CB691B" w:rsidTr="00D95F56">
        <w:trPr>
          <w:trHeight w:val="113"/>
        </w:trPr>
        <w:tc>
          <w:tcPr>
            <w:tcW w:w="1972" w:type="dxa"/>
            <w:shd w:val="clear" w:color="auto" w:fill="auto"/>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Μη Εξυπηρετούμενα Ανοίγματα (</w:t>
            </w:r>
            <w:r w:rsidRPr="00285C10">
              <w:rPr>
                <w:rFonts w:ascii="Segoe UI" w:eastAsia="MS Mincho" w:hAnsi="Segoe UI" w:cs="Segoe UI"/>
                <w:color w:val="000000"/>
                <w:sz w:val="13"/>
                <w:szCs w:val="13"/>
                <w:lang w:val="en-US"/>
              </w:rPr>
              <w:t>Non</w:t>
            </w:r>
            <w:r w:rsidRPr="00285C10">
              <w:rPr>
                <w:rFonts w:ascii="Segoe UI" w:eastAsia="MS Mincho" w:hAnsi="Segoe UI" w:cs="Segoe UI"/>
                <w:color w:val="000000"/>
                <w:sz w:val="13"/>
                <w:szCs w:val="13"/>
              </w:rPr>
              <w:t>-</w:t>
            </w:r>
            <w:r w:rsidRPr="00285C10">
              <w:rPr>
                <w:rFonts w:ascii="Segoe UI" w:eastAsia="MS Mincho" w:hAnsi="Segoe UI" w:cs="Segoe UI"/>
                <w:color w:val="000000"/>
                <w:sz w:val="13"/>
                <w:szCs w:val="13"/>
                <w:lang w:val="en-US"/>
              </w:rPr>
              <w:t>Performing</w:t>
            </w:r>
            <w:r w:rsidRPr="00285C10">
              <w:rPr>
                <w:rFonts w:ascii="Segoe UI" w:eastAsia="MS Mincho" w:hAnsi="Segoe UI" w:cs="Segoe UI"/>
                <w:color w:val="000000"/>
                <w:sz w:val="13"/>
                <w:szCs w:val="13"/>
              </w:rPr>
              <w:t xml:space="preserve"> </w:t>
            </w:r>
            <w:r w:rsidRPr="00285C10">
              <w:rPr>
                <w:rFonts w:ascii="Segoe UI" w:eastAsia="MS Mincho" w:hAnsi="Segoe UI" w:cs="Segoe UI"/>
                <w:color w:val="000000"/>
                <w:sz w:val="13"/>
                <w:szCs w:val="13"/>
                <w:lang w:val="en-US"/>
              </w:rPr>
              <w:t>Exposures</w:t>
            </w:r>
            <w:r w:rsidRPr="00285C10">
              <w:rPr>
                <w:rFonts w:ascii="Segoe UI" w:eastAsia="MS Mincho" w:hAnsi="Segoe UI" w:cs="Segoe UI"/>
                <w:color w:val="000000"/>
                <w:sz w:val="13"/>
                <w:szCs w:val="13"/>
              </w:rPr>
              <w:t xml:space="preserve"> – </w:t>
            </w:r>
            <w:r w:rsidRPr="00285C10">
              <w:rPr>
                <w:rFonts w:ascii="Segoe UI" w:eastAsia="MS Mincho" w:hAnsi="Segoe UI" w:cs="Segoe UI"/>
                <w:color w:val="000000"/>
                <w:sz w:val="13"/>
                <w:szCs w:val="13"/>
                <w:lang w:val="en-US"/>
              </w:rPr>
              <w:t>NPEs</w:t>
            </w:r>
            <w:r w:rsidRPr="00285C10">
              <w:rPr>
                <w:rFonts w:ascii="Segoe UI" w:eastAsia="MS Mincho" w:hAnsi="Segoe UI" w:cs="Segoe UI"/>
                <w:color w:val="000000"/>
                <w:sz w:val="13"/>
                <w:szCs w:val="13"/>
              </w:rPr>
              <w:t>)</w:t>
            </w:r>
          </w:p>
        </w:tc>
        <w:tc>
          <w:tcPr>
            <w:tcW w:w="1134" w:type="dxa"/>
            <w:shd w:val="clear" w:color="auto" w:fill="auto"/>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ΜΕΑ </w:t>
            </w:r>
          </w:p>
        </w:tc>
        <w:tc>
          <w:tcPr>
            <w:tcW w:w="7087" w:type="dxa"/>
            <w:shd w:val="clear" w:color="auto" w:fill="auto"/>
            <w:noWrap/>
            <w:vAlign w:val="center"/>
            <w:hideMark/>
          </w:tcPr>
          <w:p w:rsidR="0027264F" w:rsidRPr="00285C10" w:rsidRDefault="0027264F" w:rsidP="002F1589">
            <w:pPr>
              <w:rPr>
                <w:rFonts w:ascii="Segoe UI" w:eastAsia="MS Mincho" w:hAnsi="Segoe UI" w:cs="Segoe UI"/>
                <w:color w:val="000000"/>
                <w:sz w:val="13"/>
                <w:szCs w:val="13"/>
              </w:rPr>
            </w:pPr>
            <w:r w:rsidRPr="00285C10">
              <w:rPr>
                <w:rFonts w:ascii="Segoe UI" w:eastAsia="MS Mincho" w:hAnsi="Segoe UI" w:cs="Segoe UI"/>
                <w:color w:val="000000"/>
                <w:sz w:val="13"/>
                <w:szCs w:val="13"/>
              </w:rPr>
              <w:t>Σύμφωνα με τους ορισμούς της Ευρωπαϊκής Αρχής Τραπεζών (EBA, ITS Τechnical Standards) ως μη εξυπηρετούμενα ορίζονται τα ανοίγματα που πληρούν μία εκ ή και τις δύο κάτωθι προϋποθέσεις: (</w:t>
            </w:r>
            <w:r w:rsidR="002F1589" w:rsidRPr="00285C10">
              <w:rPr>
                <w:rFonts w:ascii="Segoe UI" w:eastAsia="MS Mincho" w:hAnsi="Segoe UI" w:cs="Segoe UI"/>
                <w:color w:val="000000"/>
                <w:sz w:val="13"/>
                <w:szCs w:val="13"/>
                <w:lang w:val="en-US"/>
              </w:rPr>
              <w:t>i</w:t>
            </w:r>
            <w:r w:rsidR="002F1589" w:rsidRPr="00285C10">
              <w:rPr>
                <w:rFonts w:ascii="Segoe UI" w:eastAsia="MS Mincho" w:hAnsi="Segoe UI" w:cs="Segoe UI"/>
                <w:color w:val="000000"/>
                <w:sz w:val="13"/>
                <w:szCs w:val="13"/>
              </w:rPr>
              <w:t>)</w:t>
            </w:r>
            <w:r w:rsidRPr="00285C10">
              <w:rPr>
                <w:rFonts w:ascii="Segoe UI" w:eastAsia="MS Mincho" w:hAnsi="Segoe UI" w:cs="Segoe UI"/>
                <w:color w:val="000000"/>
                <w:sz w:val="13"/>
                <w:szCs w:val="13"/>
              </w:rPr>
              <w:t xml:space="preserve"> σημαντικά ανοίγματα με καθυστέρηση μεγαλύτερη των 90 ημερών και (</w:t>
            </w:r>
            <w:r w:rsidRPr="00285C10">
              <w:rPr>
                <w:rFonts w:ascii="Segoe UI" w:eastAsia="MS Mincho" w:hAnsi="Segoe UI" w:cs="Segoe UI"/>
                <w:color w:val="000000"/>
                <w:sz w:val="13"/>
                <w:szCs w:val="13"/>
                <w:lang w:val="en-US"/>
              </w:rPr>
              <w:t>ii</w:t>
            </w:r>
            <w:r w:rsidRPr="00285C10">
              <w:rPr>
                <w:rFonts w:ascii="Segoe UI" w:eastAsia="MS Mincho" w:hAnsi="Segoe UI" w:cs="Segoe UI"/>
                <w:color w:val="000000"/>
                <w:sz w:val="13"/>
                <w:szCs w:val="13"/>
              </w:rPr>
              <w:t>) Ανοίγματα αβέβαιης πλήρους είσπραξης χωρίς τη ρευστοποίηση εξασφάλισης, ανεξαρτήτως από την ύπαρξη ποσού σε καθυστέρηση ή ημερών καθυστέρησης</w:t>
            </w:r>
          </w:p>
        </w:tc>
      </w:tr>
      <w:tr w:rsidR="0027264F" w:rsidRPr="00CB691B" w:rsidTr="00D95F56">
        <w:trPr>
          <w:trHeight w:val="113"/>
        </w:trPr>
        <w:tc>
          <w:tcPr>
            <w:tcW w:w="1972" w:type="dxa"/>
            <w:shd w:val="clear" w:color="auto" w:fill="F2F2F2" w:themeFill="background1" w:themeFillShade="F2"/>
            <w:noWrap/>
            <w:vAlign w:val="center"/>
            <w:hideMark/>
          </w:tcPr>
          <w:p w:rsidR="0027264F" w:rsidRPr="00CC7AAA" w:rsidRDefault="00CC7AAA" w:rsidP="00D95F56">
            <w:pPr>
              <w:rPr>
                <w:rFonts w:ascii="Segoe UI" w:eastAsia="MS Mincho" w:hAnsi="Segoe UI" w:cs="Segoe UI"/>
                <w:color w:val="000000"/>
                <w:sz w:val="13"/>
                <w:szCs w:val="13"/>
              </w:rPr>
            </w:pPr>
            <w:r>
              <w:rPr>
                <w:rFonts w:ascii="Segoe UI" w:eastAsia="MS Mincho" w:hAnsi="Segoe UI" w:cs="Segoe UI"/>
                <w:color w:val="000000"/>
                <w:sz w:val="13"/>
                <w:szCs w:val="13"/>
              </w:rPr>
              <w:t>Μη Εξυπηρετούμενα Δάνεια</w:t>
            </w:r>
          </w:p>
        </w:tc>
        <w:tc>
          <w:tcPr>
            <w:tcW w:w="1134" w:type="dxa"/>
            <w:shd w:val="clear" w:color="auto" w:fill="F2F2F2" w:themeFill="background1" w:themeFillShade="F2"/>
            <w:noWrap/>
            <w:vAlign w:val="center"/>
            <w:hideMark/>
          </w:tcPr>
          <w:p w:rsidR="0027264F" w:rsidRPr="00285C10" w:rsidRDefault="0027264F" w:rsidP="00D95F56">
            <w:pPr>
              <w:rPr>
                <w:rFonts w:ascii="Segoe UI" w:eastAsia="MS Mincho" w:hAnsi="Segoe UI" w:cs="Segoe UI"/>
                <w:color w:val="000000"/>
                <w:sz w:val="13"/>
                <w:szCs w:val="13"/>
                <w:lang w:val="en-GB"/>
              </w:rPr>
            </w:pPr>
            <w:r w:rsidRPr="00285C10">
              <w:rPr>
                <w:rFonts w:ascii="Segoe UI" w:eastAsia="MS Mincho" w:hAnsi="Segoe UI" w:cs="Segoe UI"/>
                <w:color w:val="000000"/>
                <w:sz w:val="13"/>
                <w:szCs w:val="13"/>
                <w:lang w:val="en-GB"/>
              </w:rPr>
              <w:t>--</w:t>
            </w:r>
          </w:p>
        </w:tc>
        <w:tc>
          <w:tcPr>
            <w:tcW w:w="7087" w:type="dxa"/>
            <w:shd w:val="clear" w:color="auto" w:fill="F2F2F2" w:themeFill="background1" w:themeFillShade="F2"/>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Δάνεια και απαιτήσεις κατά πελατών σε καθυστέρηση μεγαλύτερη των 90 ημερών</w:t>
            </w:r>
            <w:r w:rsidR="00942BA0" w:rsidRPr="00285C10">
              <w:rPr>
                <w:rFonts w:ascii="Segoe UI" w:eastAsia="MS Mincho" w:hAnsi="Segoe UI" w:cs="Segoe UI"/>
                <w:color w:val="000000"/>
                <w:sz w:val="13"/>
                <w:szCs w:val="13"/>
              </w:rPr>
              <w:t>, τέλος χρήσης / περιόδου</w:t>
            </w:r>
          </w:p>
        </w:tc>
      </w:tr>
      <w:tr w:rsidR="0027264F" w:rsidRPr="00CB691B" w:rsidTr="00D95F56">
        <w:trPr>
          <w:trHeight w:val="113"/>
        </w:trPr>
        <w:tc>
          <w:tcPr>
            <w:tcW w:w="1972" w:type="dxa"/>
            <w:shd w:val="clear" w:color="auto" w:fill="auto"/>
            <w:noWrap/>
            <w:vAlign w:val="center"/>
          </w:tcPr>
          <w:p w:rsidR="0027264F" w:rsidRPr="00285C10" w:rsidRDefault="0027264F" w:rsidP="00D95F56">
            <w:pPr>
              <w:rPr>
                <w:rFonts w:ascii="Segoe UI" w:eastAsia="MS Mincho" w:hAnsi="Segoe UI" w:cs="Segoe UI"/>
                <w:sz w:val="13"/>
                <w:szCs w:val="13"/>
              </w:rPr>
            </w:pPr>
            <w:r w:rsidRPr="00285C10">
              <w:rPr>
                <w:rFonts w:ascii="Segoe UI" w:eastAsia="MS Mincho" w:hAnsi="Segoe UI" w:cs="Segoe UI"/>
                <w:sz w:val="13"/>
                <w:szCs w:val="13"/>
              </w:rPr>
              <w:t>Οργανική Αύξηση / (Μείωση) Μη Εξυπηρετούμενων Ανοιγμάτων</w:t>
            </w:r>
          </w:p>
        </w:tc>
        <w:tc>
          <w:tcPr>
            <w:tcW w:w="1134" w:type="dxa"/>
            <w:shd w:val="clear" w:color="auto" w:fill="auto"/>
            <w:noWrap/>
            <w:vAlign w:val="center"/>
          </w:tcPr>
          <w:p w:rsidR="0027264F" w:rsidRPr="00285C10" w:rsidRDefault="0027264F" w:rsidP="00D95F56">
            <w:pPr>
              <w:rPr>
                <w:rFonts w:ascii="Segoe UI" w:eastAsia="MS Mincho" w:hAnsi="Segoe UI" w:cs="Segoe UI"/>
                <w:sz w:val="13"/>
                <w:szCs w:val="13"/>
                <w:lang w:val="en-GB"/>
              </w:rPr>
            </w:pPr>
            <w:r w:rsidRPr="00285C10">
              <w:rPr>
                <w:rFonts w:ascii="Segoe UI" w:eastAsia="MS Mincho" w:hAnsi="Segoe UI" w:cs="Segoe UI"/>
                <w:sz w:val="13"/>
                <w:szCs w:val="13"/>
                <w:lang w:val="en-GB"/>
              </w:rPr>
              <w:t>--</w:t>
            </w:r>
          </w:p>
        </w:tc>
        <w:tc>
          <w:tcPr>
            <w:tcW w:w="7087" w:type="dxa"/>
            <w:shd w:val="clear" w:color="auto" w:fill="auto"/>
            <w:noWrap/>
            <w:vAlign w:val="center"/>
          </w:tcPr>
          <w:p w:rsidR="0027264F" w:rsidRPr="00285C10" w:rsidRDefault="0027264F" w:rsidP="003A7701">
            <w:pPr>
              <w:rPr>
                <w:rFonts w:ascii="Segoe UI" w:eastAsia="MS Mincho" w:hAnsi="Segoe UI" w:cs="Segoe UI"/>
                <w:sz w:val="13"/>
                <w:szCs w:val="13"/>
              </w:rPr>
            </w:pPr>
            <w:r w:rsidRPr="00285C10">
              <w:rPr>
                <w:rFonts w:ascii="Segoe UI" w:eastAsia="MS Mincho" w:hAnsi="Segoe UI" w:cs="Segoe UI"/>
                <w:sz w:val="13"/>
                <w:szCs w:val="13"/>
              </w:rPr>
              <w:t xml:space="preserve">Υπόλοιπο Μη Εξυπηρετούμενων Ανοιγμάτων στο τέλος </w:t>
            </w:r>
            <w:r w:rsidR="003A7701" w:rsidRPr="00285C10">
              <w:rPr>
                <w:rFonts w:ascii="Segoe UI" w:eastAsia="MS Mincho" w:hAnsi="Segoe UI" w:cs="Segoe UI"/>
                <w:sz w:val="13"/>
                <w:szCs w:val="13"/>
              </w:rPr>
              <w:t>χρήσης</w:t>
            </w:r>
            <w:r w:rsidR="00797C9C" w:rsidRPr="00285C10">
              <w:rPr>
                <w:rFonts w:ascii="Segoe UI" w:eastAsia="MS Mincho" w:hAnsi="Segoe UI" w:cs="Segoe UI"/>
                <w:sz w:val="13"/>
                <w:szCs w:val="13"/>
              </w:rPr>
              <w:t xml:space="preserve"> </w:t>
            </w:r>
            <w:r w:rsidRPr="00285C10">
              <w:rPr>
                <w:rFonts w:ascii="Segoe UI" w:eastAsia="MS Mincho" w:hAnsi="Segoe UI" w:cs="Segoe UI"/>
                <w:sz w:val="13"/>
                <w:szCs w:val="13"/>
              </w:rPr>
              <w:t>/</w:t>
            </w:r>
            <w:r w:rsidR="00797C9C" w:rsidRPr="00285C10">
              <w:rPr>
                <w:rFonts w:ascii="Segoe UI" w:eastAsia="MS Mincho" w:hAnsi="Segoe UI" w:cs="Segoe UI"/>
                <w:sz w:val="13"/>
                <w:szCs w:val="13"/>
              </w:rPr>
              <w:t xml:space="preserve"> </w:t>
            </w:r>
            <w:r w:rsidRPr="00285C10">
              <w:rPr>
                <w:rFonts w:ascii="Segoe UI" w:eastAsia="MS Mincho" w:hAnsi="Segoe UI" w:cs="Segoe UI"/>
                <w:sz w:val="13"/>
                <w:szCs w:val="13"/>
              </w:rPr>
              <w:t xml:space="preserve">περιόδου, προ πωλήσεων και διαγραφών </w:t>
            </w:r>
          </w:p>
        </w:tc>
      </w:tr>
      <w:tr w:rsidR="0027264F" w:rsidRPr="00CB691B" w:rsidTr="00D95F56">
        <w:trPr>
          <w:trHeight w:val="113"/>
        </w:trPr>
        <w:tc>
          <w:tcPr>
            <w:tcW w:w="1972" w:type="dxa"/>
            <w:shd w:val="clear" w:color="auto" w:fill="F2F2F2" w:themeFill="background1" w:themeFillShade="F2"/>
            <w:noWrap/>
            <w:vAlign w:val="center"/>
            <w:hideMark/>
          </w:tcPr>
          <w:p w:rsidR="0027264F" w:rsidRPr="00CC7AAA" w:rsidRDefault="00CC7AAA" w:rsidP="00D95F56">
            <w:pPr>
              <w:rPr>
                <w:rFonts w:ascii="Segoe UI" w:eastAsia="MS Mincho" w:hAnsi="Segoe UI" w:cs="Segoe UI"/>
                <w:color w:val="000000"/>
                <w:sz w:val="13"/>
                <w:szCs w:val="13"/>
              </w:rPr>
            </w:pPr>
            <w:r>
              <w:rPr>
                <w:rFonts w:ascii="Segoe UI" w:eastAsia="MS Mincho" w:hAnsi="Segoe UI" w:cs="Segoe UI"/>
                <w:color w:val="000000"/>
                <w:sz w:val="13"/>
                <w:szCs w:val="13"/>
              </w:rPr>
              <w:t>Οργανικά Έσοδα</w:t>
            </w:r>
          </w:p>
        </w:tc>
        <w:tc>
          <w:tcPr>
            <w:tcW w:w="1134" w:type="dxa"/>
            <w:shd w:val="clear" w:color="auto" w:fill="F2F2F2" w:themeFill="background1" w:themeFillShade="F2"/>
            <w:noWrap/>
            <w:vAlign w:val="center"/>
            <w:hideMark/>
          </w:tcPr>
          <w:p w:rsidR="0027264F" w:rsidRPr="00285C10" w:rsidRDefault="0027264F" w:rsidP="00D95F56">
            <w:pPr>
              <w:rPr>
                <w:rFonts w:ascii="Segoe UI" w:eastAsia="MS Mincho" w:hAnsi="Segoe UI" w:cs="Segoe UI"/>
                <w:color w:val="000000"/>
                <w:sz w:val="13"/>
                <w:szCs w:val="13"/>
                <w:lang w:val="en-GB"/>
              </w:rPr>
            </w:pPr>
            <w:r w:rsidRPr="00285C10">
              <w:rPr>
                <w:rFonts w:ascii="Segoe UI" w:eastAsia="MS Mincho" w:hAnsi="Segoe UI" w:cs="Segoe UI"/>
                <w:color w:val="000000"/>
                <w:sz w:val="13"/>
                <w:szCs w:val="13"/>
                <w:lang w:val="en-GB"/>
              </w:rPr>
              <w:t>--</w:t>
            </w:r>
          </w:p>
        </w:tc>
        <w:tc>
          <w:tcPr>
            <w:tcW w:w="7087" w:type="dxa"/>
            <w:shd w:val="clear" w:color="auto" w:fill="F2F2F2" w:themeFill="background1" w:themeFillShade="F2"/>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Καθαρά έσοδα από τόκους + καθαρά έσοδα από προμήθειες </w:t>
            </w:r>
          </w:p>
        </w:tc>
      </w:tr>
      <w:tr w:rsidR="0027264F" w:rsidRPr="00CB691B" w:rsidTr="00D95F56">
        <w:trPr>
          <w:trHeight w:val="113"/>
        </w:trPr>
        <w:tc>
          <w:tcPr>
            <w:tcW w:w="1972" w:type="dxa"/>
            <w:shd w:val="clear" w:color="auto" w:fill="auto"/>
            <w:noWrap/>
            <w:vAlign w:val="center"/>
            <w:hideMark/>
          </w:tcPr>
          <w:p w:rsidR="0027264F" w:rsidRPr="00285C10" w:rsidRDefault="0027264F" w:rsidP="0072639C">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Οργανικά Κέρδη ή Κερδοφορία </w:t>
            </w:r>
            <w:r w:rsidR="0072639C" w:rsidRPr="00285C10">
              <w:rPr>
                <w:rFonts w:ascii="Segoe UI" w:eastAsia="MS Mincho" w:hAnsi="Segoe UI" w:cs="Segoe UI"/>
                <w:color w:val="000000"/>
                <w:sz w:val="13"/>
                <w:szCs w:val="13"/>
              </w:rPr>
              <w:t xml:space="preserve">ή Αποτέλεσμα </w:t>
            </w:r>
            <w:r w:rsidRPr="00285C10">
              <w:rPr>
                <w:rFonts w:ascii="Segoe UI" w:eastAsia="MS Mincho" w:hAnsi="Segoe UI" w:cs="Segoe UI"/>
                <w:color w:val="000000"/>
                <w:sz w:val="13"/>
                <w:szCs w:val="13"/>
              </w:rPr>
              <w:t xml:space="preserve">/ (Ζημίες) </w:t>
            </w:r>
          </w:p>
        </w:tc>
        <w:tc>
          <w:tcPr>
            <w:tcW w:w="1134" w:type="dxa"/>
            <w:shd w:val="clear" w:color="auto" w:fill="auto"/>
            <w:noWrap/>
            <w:vAlign w:val="center"/>
            <w:hideMark/>
          </w:tcPr>
          <w:p w:rsidR="0027264F" w:rsidRPr="00285C10" w:rsidRDefault="0027264F" w:rsidP="00D95F56">
            <w:pPr>
              <w:rPr>
                <w:rFonts w:ascii="Segoe UI" w:eastAsia="MS Mincho" w:hAnsi="Segoe UI" w:cs="Segoe UI"/>
                <w:color w:val="000000"/>
                <w:sz w:val="13"/>
                <w:szCs w:val="13"/>
                <w:lang w:val="en-GB"/>
              </w:rPr>
            </w:pPr>
            <w:r w:rsidRPr="00285C10">
              <w:rPr>
                <w:rFonts w:ascii="Segoe UI" w:eastAsia="MS Mincho" w:hAnsi="Segoe UI" w:cs="Segoe UI"/>
                <w:color w:val="000000"/>
                <w:sz w:val="13"/>
                <w:szCs w:val="13"/>
                <w:lang w:val="en-GB"/>
              </w:rPr>
              <w:t>--</w:t>
            </w:r>
          </w:p>
        </w:tc>
        <w:tc>
          <w:tcPr>
            <w:tcW w:w="7087" w:type="dxa"/>
            <w:shd w:val="clear" w:color="auto" w:fill="auto"/>
            <w:noWrap/>
            <w:vAlign w:val="center"/>
            <w:hideMark/>
          </w:tcPr>
          <w:p w:rsidR="0027264F" w:rsidRPr="00285C10" w:rsidRDefault="0027264F" w:rsidP="007D06E0">
            <w:pPr>
              <w:rPr>
                <w:rFonts w:ascii="Segoe UI" w:eastAsia="MS Mincho" w:hAnsi="Segoe UI" w:cs="Segoe UI"/>
                <w:color w:val="000000"/>
                <w:sz w:val="13"/>
                <w:szCs w:val="13"/>
              </w:rPr>
            </w:pPr>
            <w:r w:rsidRPr="00285C10">
              <w:rPr>
                <w:rFonts w:ascii="Segoe UI" w:eastAsia="MS Mincho" w:hAnsi="Segoe UI" w:cs="Segoe UI"/>
                <w:color w:val="000000"/>
                <w:sz w:val="13"/>
                <w:szCs w:val="13"/>
              </w:rPr>
              <w:t>Οργανικά έσοδα μείον λειτουργικά έξοδα και προβλέψεις απομείωσης για ΑΠΖ, εξαιρουμέν</w:t>
            </w:r>
            <w:r w:rsidR="000F4D03">
              <w:rPr>
                <w:rFonts w:ascii="Segoe UI" w:eastAsia="MS Mincho" w:hAnsi="Segoe UI" w:cs="Segoe UI"/>
                <w:color w:val="000000"/>
                <w:sz w:val="13"/>
                <w:szCs w:val="13"/>
              </w:rPr>
              <w:t>ων</w:t>
            </w:r>
            <w:r w:rsidRPr="00285C10">
              <w:rPr>
                <w:rFonts w:ascii="Segoe UI" w:eastAsia="MS Mincho" w:hAnsi="Segoe UI" w:cs="Segoe UI"/>
                <w:color w:val="000000"/>
                <w:sz w:val="13"/>
                <w:szCs w:val="13"/>
              </w:rPr>
              <w:t xml:space="preserve"> </w:t>
            </w:r>
            <w:r w:rsidR="00AF70AB" w:rsidRPr="00285C10">
              <w:rPr>
                <w:rFonts w:ascii="Segoe UI" w:eastAsia="MS Mincho" w:hAnsi="Segoe UI" w:cs="Segoe UI"/>
                <w:color w:val="000000"/>
                <w:sz w:val="13"/>
                <w:szCs w:val="13"/>
              </w:rPr>
              <w:t>των πρόσθετων προβλέψεων για τον κορωνοϊό (€0,4 δισ.)</w:t>
            </w:r>
            <w:r w:rsidR="000F4D03">
              <w:rPr>
                <w:rFonts w:ascii="Segoe UI" w:eastAsia="MS Mincho" w:hAnsi="Segoe UI" w:cs="Segoe UI"/>
                <w:color w:val="000000"/>
                <w:sz w:val="13"/>
                <w:szCs w:val="13"/>
              </w:rPr>
              <w:t xml:space="preserve"> το</w:t>
            </w:r>
            <w:r w:rsidR="004459C1">
              <w:rPr>
                <w:rFonts w:ascii="Segoe UI" w:eastAsia="MS Mincho" w:hAnsi="Segoe UI" w:cs="Segoe UI"/>
                <w:color w:val="000000"/>
                <w:sz w:val="13"/>
                <w:szCs w:val="13"/>
              </w:rPr>
              <w:t xml:space="preserve"> </w:t>
            </w:r>
            <w:r w:rsidR="004459C1" w:rsidRPr="004459C1">
              <w:rPr>
                <w:rFonts w:ascii="Segoe UI" w:eastAsia="MS Mincho" w:hAnsi="Segoe UI" w:cs="Segoe UI"/>
                <w:color w:val="000000"/>
                <w:sz w:val="13"/>
                <w:szCs w:val="13"/>
              </w:rPr>
              <w:t xml:space="preserve">Α’ </w:t>
            </w:r>
            <w:r w:rsidR="007D06E0">
              <w:rPr>
                <w:rFonts w:ascii="Segoe UI" w:eastAsia="MS Mincho" w:hAnsi="Segoe UI" w:cs="Segoe UI"/>
                <w:color w:val="000000"/>
                <w:sz w:val="13"/>
                <w:szCs w:val="13"/>
              </w:rPr>
              <w:t>τρίμηνο</w:t>
            </w:r>
            <w:r w:rsidR="006B0821" w:rsidRPr="006B0821">
              <w:rPr>
                <w:rFonts w:ascii="Segoe UI" w:eastAsia="MS Mincho" w:hAnsi="Segoe UI" w:cs="Segoe UI"/>
                <w:color w:val="000000"/>
                <w:sz w:val="13"/>
                <w:szCs w:val="13"/>
              </w:rPr>
              <w:t xml:space="preserve"> </w:t>
            </w:r>
            <w:r w:rsidR="004459C1" w:rsidRPr="00641599">
              <w:rPr>
                <w:rFonts w:ascii="Segoe UI" w:eastAsia="MS Mincho" w:hAnsi="Segoe UI" w:cs="Segoe UI"/>
                <w:color w:val="000000"/>
                <w:sz w:val="13"/>
                <w:szCs w:val="13"/>
              </w:rPr>
              <w:t>2020</w:t>
            </w:r>
            <w:r w:rsidR="00AF70AB" w:rsidRPr="00641599">
              <w:rPr>
                <w:rFonts w:ascii="Segoe UI" w:eastAsia="MS Mincho" w:hAnsi="Segoe UI" w:cs="Segoe UI"/>
                <w:color w:val="000000"/>
                <w:sz w:val="13"/>
                <w:szCs w:val="13"/>
              </w:rPr>
              <w:t xml:space="preserve"> και τη συναλλαγή Frontier (€0,4 δισ.) </w:t>
            </w:r>
            <w:r w:rsidR="004459C1" w:rsidRPr="00641599">
              <w:rPr>
                <w:rFonts w:ascii="Segoe UI" w:eastAsia="MS Mincho" w:hAnsi="Segoe UI" w:cs="Segoe UI"/>
                <w:color w:val="000000"/>
                <w:sz w:val="13"/>
                <w:szCs w:val="13"/>
              </w:rPr>
              <w:t>το Δ’ τρίμηνο 2020</w:t>
            </w:r>
          </w:p>
        </w:tc>
      </w:tr>
      <w:tr w:rsidR="0027264F" w:rsidRPr="00CB691B" w:rsidTr="00D95F56">
        <w:trPr>
          <w:trHeight w:val="113"/>
        </w:trPr>
        <w:tc>
          <w:tcPr>
            <w:tcW w:w="1972" w:type="dxa"/>
            <w:shd w:val="clear" w:color="auto" w:fill="F2F2F2" w:themeFill="background1" w:themeFillShade="F2"/>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Οργανικά Κέρδη / (Ζημίες) προ Προβλέψεων</w:t>
            </w:r>
          </w:p>
        </w:tc>
        <w:tc>
          <w:tcPr>
            <w:tcW w:w="1134" w:type="dxa"/>
            <w:shd w:val="clear" w:color="auto" w:fill="F2F2F2" w:themeFill="background1" w:themeFillShade="F2"/>
            <w:noWrap/>
            <w:vAlign w:val="center"/>
            <w:hideMark/>
          </w:tcPr>
          <w:p w:rsidR="0027264F" w:rsidRPr="000F4D03" w:rsidRDefault="0027264F" w:rsidP="00D95F56">
            <w:pPr>
              <w:rPr>
                <w:rFonts w:ascii="Segoe UI" w:eastAsia="MS Mincho" w:hAnsi="Segoe UI" w:cs="Segoe UI"/>
                <w:color w:val="000000"/>
                <w:sz w:val="13"/>
                <w:szCs w:val="13"/>
              </w:rPr>
            </w:pPr>
            <w:r w:rsidRPr="000F4D03">
              <w:rPr>
                <w:rFonts w:ascii="Segoe UI" w:eastAsia="MS Mincho" w:hAnsi="Segoe UI" w:cs="Segoe UI"/>
                <w:color w:val="000000"/>
                <w:sz w:val="13"/>
                <w:szCs w:val="13"/>
              </w:rPr>
              <w:t>--</w:t>
            </w:r>
          </w:p>
        </w:tc>
        <w:tc>
          <w:tcPr>
            <w:tcW w:w="7087" w:type="dxa"/>
            <w:shd w:val="clear" w:color="auto" w:fill="F2F2F2" w:themeFill="background1" w:themeFillShade="F2"/>
            <w:noWrap/>
            <w:vAlign w:val="center"/>
            <w:hideMark/>
          </w:tcPr>
          <w:p w:rsidR="0027264F" w:rsidRPr="00285C10" w:rsidRDefault="0027264F" w:rsidP="006943B4">
            <w:pPr>
              <w:rPr>
                <w:rFonts w:ascii="Segoe UI" w:eastAsia="MS Mincho" w:hAnsi="Segoe UI" w:cs="Segoe UI"/>
                <w:color w:val="000000"/>
                <w:sz w:val="13"/>
                <w:szCs w:val="13"/>
              </w:rPr>
            </w:pPr>
            <w:r w:rsidRPr="00285C10">
              <w:rPr>
                <w:rFonts w:ascii="Segoe UI" w:eastAsia="MS Mincho" w:hAnsi="Segoe UI" w:cs="Segoe UI"/>
                <w:color w:val="000000"/>
                <w:sz w:val="13"/>
                <w:szCs w:val="13"/>
              </w:rPr>
              <w:t>Οργανικά έσοδα μείον λειτουργικά έξοδ</w:t>
            </w:r>
            <w:r w:rsidR="00697115" w:rsidRPr="00285C10">
              <w:rPr>
                <w:rFonts w:ascii="Segoe UI" w:eastAsia="MS Mincho" w:hAnsi="Segoe UI" w:cs="Segoe UI"/>
                <w:color w:val="000000"/>
                <w:sz w:val="13"/>
                <w:szCs w:val="13"/>
              </w:rPr>
              <w:t>α</w:t>
            </w:r>
          </w:p>
        </w:tc>
      </w:tr>
      <w:tr w:rsidR="0027264F" w:rsidRPr="00CB691B" w:rsidTr="00D95F56">
        <w:trPr>
          <w:trHeight w:val="113"/>
        </w:trPr>
        <w:tc>
          <w:tcPr>
            <w:tcW w:w="1972" w:type="dxa"/>
            <w:shd w:val="clear" w:color="auto" w:fill="auto"/>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Προβλέψεις για επισφαλή δάνεια / απαιτήσεις </w:t>
            </w:r>
          </w:p>
        </w:tc>
        <w:tc>
          <w:tcPr>
            <w:tcW w:w="1134" w:type="dxa"/>
            <w:shd w:val="clear" w:color="auto" w:fill="auto"/>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w:t>
            </w:r>
          </w:p>
        </w:tc>
        <w:tc>
          <w:tcPr>
            <w:tcW w:w="7087" w:type="dxa"/>
            <w:shd w:val="clear" w:color="auto" w:fill="auto"/>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Προβλέψεις απομείωσης για Αναμενόμενες Πιστωτικές Ζημιές (ΑΠΖ)</w:t>
            </w:r>
          </w:p>
        </w:tc>
      </w:tr>
      <w:tr w:rsidR="0027264F" w:rsidRPr="00CB691B" w:rsidTr="00D95F56">
        <w:trPr>
          <w:trHeight w:val="113"/>
        </w:trPr>
        <w:tc>
          <w:tcPr>
            <w:tcW w:w="1972" w:type="dxa"/>
            <w:shd w:val="clear" w:color="auto" w:fill="F2F2F2" w:themeFill="background1" w:themeFillShade="F2"/>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Συνολικός Δείκτης Κεφαλαιακής Επάρκειας </w:t>
            </w:r>
          </w:p>
        </w:tc>
        <w:tc>
          <w:tcPr>
            <w:tcW w:w="1134" w:type="dxa"/>
            <w:shd w:val="clear" w:color="auto" w:fill="F2F2F2" w:themeFill="background1" w:themeFillShade="F2"/>
            <w:noWrap/>
            <w:vAlign w:val="center"/>
          </w:tcPr>
          <w:p w:rsidR="0027264F" w:rsidRPr="0001004C" w:rsidRDefault="0001004C" w:rsidP="00D95F56">
            <w:pPr>
              <w:rPr>
                <w:rFonts w:ascii="Segoe UI" w:eastAsia="MS Mincho" w:hAnsi="Segoe UI" w:cs="Segoe UI"/>
                <w:color w:val="000000"/>
                <w:sz w:val="13"/>
                <w:szCs w:val="13"/>
                <w:lang w:val="en-US"/>
              </w:rPr>
            </w:pPr>
            <w:r>
              <w:rPr>
                <w:rFonts w:ascii="Segoe UI" w:eastAsia="MS Mincho" w:hAnsi="Segoe UI" w:cs="Segoe UI"/>
                <w:color w:val="000000"/>
                <w:sz w:val="13"/>
                <w:szCs w:val="13"/>
                <w:lang w:val="en-US"/>
              </w:rPr>
              <w:t>CAD</w:t>
            </w:r>
          </w:p>
        </w:tc>
        <w:tc>
          <w:tcPr>
            <w:tcW w:w="7087" w:type="dxa"/>
            <w:shd w:val="clear" w:color="auto" w:fill="F2F2F2" w:themeFill="background1" w:themeFillShade="F2"/>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Συνολικά εποπτικά κεφάλαια, με εφαρμογή των διατάξεων του Κανονισμού (EU) 575/2013 και των εποπτικών μεταβατικών ρυθμίσεων για την επίδραση του ΔΠΧΑ 9, αναφορικά με τα σταθμισμένα στοιχεία Ενεργητικού</w:t>
            </w:r>
          </w:p>
        </w:tc>
      </w:tr>
      <w:tr w:rsidR="0027264F" w:rsidRPr="00CB691B" w:rsidTr="00D95F56">
        <w:trPr>
          <w:trHeight w:val="113"/>
        </w:trPr>
        <w:tc>
          <w:tcPr>
            <w:tcW w:w="1972" w:type="dxa"/>
            <w:shd w:val="clear" w:color="auto" w:fill="auto"/>
            <w:noWrap/>
            <w:vAlign w:val="center"/>
          </w:tcPr>
          <w:p w:rsidR="0027264F" w:rsidRPr="00285C10" w:rsidRDefault="0027264F" w:rsidP="00D95F56">
            <w:pPr>
              <w:rPr>
                <w:rFonts w:ascii="Segoe UI" w:eastAsia="MS Mincho" w:hAnsi="Segoe UI" w:cs="Segoe UI"/>
                <w:color w:val="000000"/>
                <w:sz w:val="13"/>
                <w:szCs w:val="13"/>
                <w:lang w:val="en-GB"/>
              </w:rPr>
            </w:pPr>
            <w:r w:rsidRPr="00285C10">
              <w:rPr>
                <w:rFonts w:ascii="Segoe UI" w:eastAsia="MS Mincho" w:hAnsi="Segoe UI" w:cs="Segoe UI"/>
                <w:color w:val="000000"/>
                <w:sz w:val="13"/>
                <w:szCs w:val="13"/>
              </w:rPr>
              <w:t xml:space="preserve">Τοκοφόρα Στοιχεία </w:t>
            </w:r>
            <w:r w:rsidRPr="00285C10">
              <w:rPr>
                <w:rFonts w:ascii="Segoe UI" w:eastAsia="MS Mincho" w:hAnsi="Segoe UI" w:cs="Segoe UI"/>
                <w:color w:val="000000"/>
                <w:sz w:val="13"/>
                <w:szCs w:val="13"/>
                <w:lang w:val="en-GB"/>
              </w:rPr>
              <w:t>Ενεργητικού</w:t>
            </w:r>
          </w:p>
        </w:tc>
        <w:tc>
          <w:tcPr>
            <w:tcW w:w="1134" w:type="dxa"/>
            <w:shd w:val="clear" w:color="auto" w:fill="auto"/>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w:t>
            </w:r>
          </w:p>
        </w:tc>
        <w:tc>
          <w:tcPr>
            <w:tcW w:w="7087" w:type="dxa"/>
            <w:shd w:val="clear" w:color="auto" w:fill="auto"/>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Τα τοκοφόρα στοιχεία Ενεργητικού περιλαμβάνουν τα εν δυνάμει τοκοφόρα στοιχεία του ενεργητικού και αφορούν το ταμείο και διαθέσιμα σε Κεντρικές Τράπεζες, τις απαιτήσεις κατά χρηματοπιστωτικών ιδρυμάτων, τα χρηματοοικονομικά περιουσιακά στοιχεία στην εύλογη αξία (εξαιρουμένων των μετοχών και μεριδίων αμοιβαίων κεφαλαίων), δάνεια και απαιτήσεις κατά πελατών και χαρτοφυλάκιο επενδύσεων (εξαιρουμένων των μετοχών και μεριδίων αμοιβαίων κεφαλαίων)</w:t>
            </w:r>
          </w:p>
        </w:tc>
      </w:tr>
      <w:tr w:rsidR="0027264F" w:rsidRPr="00CB691B" w:rsidTr="00D95F56">
        <w:trPr>
          <w:trHeight w:val="113"/>
        </w:trPr>
        <w:tc>
          <w:tcPr>
            <w:tcW w:w="1972" w:type="dxa"/>
            <w:shd w:val="clear" w:color="auto" w:fill="F2F2F2" w:themeFill="background1" w:themeFillShade="F2"/>
            <w:noWrap/>
            <w:vAlign w:val="center"/>
            <w:hideMark/>
          </w:tcPr>
          <w:p w:rsidR="0027264F" w:rsidRPr="00285C10" w:rsidRDefault="00285C10" w:rsidP="00285C10">
            <w:pPr>
              <w:rPr>
                <w:rFonts w:ascii="Segoe UI" w:eastAsia="MS Mincho" w:hAnsi="Segoe UI" w:cs="Segoe UI"/>
                <w:color w:val="000000"/>
                <w:sz w:val="13"/>
                <w:szCs w:val="13"/>
                <w:lang w:val="en-GB"/>
              </w:rPr>
            </w:pPr>
            <w:r>
              <w:rPr>
                <w:rFonts w:ascii="Segoe UI" w:eastAsia="MS Mincho" w:hAnsi="Segoe UI" w:cs="Segoe UI"/>
                <w:color w:val="000000"/>
                <w:sz w:val="13"/>
                <w:szCs w:val="13"/>
              </w:rPr>
              <w:t>Σταθμισμένα Στοιχεία</w:t>
            </w:r>
            <w:r w:rsidR="0027264F" w:rsidRPr="00285C10">
              <w:rPr>
                <w:rFonts w:ascii="Segoe UI" w:eastAsia="MS Mincho" w:hAnsi="Segoe UI" w:cs="Segoe UI"/>
                <w:color w:val="000000"/>
                <w:sz w:val="13"/>
                <w:szCs w:val="13"/>
                <w:lang w:val="en-GB"/>
              </w:rPr>
              <w:t xml:space="preserve"> Ενεργητικού  </w:t>
            </w:r>
          </w:p>
        </w:tc>
        <w:tc>
          <w:tcPr>
            <w:tcW w:w="1134" w:type="dxa"/>
            <w:shd w:val="clear" w:color="auto" w:fill="F2F2F2" w:themeFill="background1" w:themeFillShade="F2"/>
            <w:noWrap/>
            <w:vAlign w:val="center"/>
            <w:hideMark/>
          </w:tcPr>
          <w:p w:rsidR="0027264F" w:rsidRPr="00285C10" w:rsidRDefault="00B30A25" w:rsidP="00B30A25">
            <w:pPr>
              <w:rPr>
                <w:rFonts w:ascii="Segoe UI" w:eastAsia="MS Mincho" w:hAnsi="Segoe UI" w:cs="Segoe UI"/>
                <w:color w:val="000000"/>
                <w:sz w:val="13"/>
                <w:szCs w:val="13"/>
                <w:lang w:val="en-GB"/>
              </w:rPr>
            </w:pPr>
            <w:r>
              <w:rPr>
                <w:rFonts w:ascii="Segoe UI" w:eastAsia="MS Mincho" w:hAnsi="Segoe UI" w:cs="Segoe UI"/>
                <w:color w:val="000000"/>
                <w:sz w:val="13"/>
                <w:szCs w:val="13"/>
              </w:rPr>
              <w:t>ΣτΕ</w:t>
            </w:r>
          </w:p>
        </w:tc>
        <w:tc>
          <w:tcPr>
            <w:tcW w:w="7087" w:type="dxa"/>
            <w:shd w:val="clear" w:color="auto" w:fill="F2F2F2" w:themeFill="background1" w:themeFillShade="F2"/>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Στοιχεία Ενεργητικού και στοιχεία εκτός Ισολογισμού, προσδιορισμένα βάσει σταθμισμένου κινδύνου, σύμφωνα με τον κανονισμό (</w:t>
            </w:r>
            <w:r w:rsidRPr="00285C10">
              <w:rPr>
                <w:rFonts w:ascii="Segoe UI" w:eastAsia="MS Mincho" w:hAnsi="Segoe UI" w:cs="Segoe UI"/>
                <w:color w:val="000000"/>
                <w:sz w:val="13"/>
                <w:szCs w:val="13"/>
                <w:lang w:val="en-GB"/>
              </w:rPr>
              <w:t>EU</w:t>
            </w:r>
            <w:r w:rsidRPr="00285C10">
              <w:rPr>
                <w:rFonts w:ascii="Segoe UI" w:eastAsia="MS Mincho" w:hAnsi="Segoe UI" w:cs="Segoe UI"/>
                <w:color w:val="000000"/>
                <w:sz w:val="13"/>
                <w:szCs w:val="13"/>
              </w:rPr>
              <w:t>) 575/2013</w:t>
            </w:r>
          </w:p>
        </w:tc>
      </w:tr>
      <w:tr w:rsidR="0027264F" w:rsidRPr="00CB691B" w:rsidTr="00D95F56">
        <w:trPr>
          <w:trHeight w:val="113"/>
        </w:trPr>
        <w:tc>
          <w:tcPr>
            <w:tcW w:w="1972" w:type="dxa"/>
            <w:shd w:val="clear" w:color="auto" w:fill="auto"/>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Σωρευμένες προβλέψεις </w:t>
            </w:r>
          </w:p>
        </w:tc>
        <w:tc>
          <w:tcPr>
            <w:tcW w:w="1134" w:type="dxa"/>
            <w:shd w:val="clear" w:color="auto" w:fill="auto"/>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w:t>
            </w:r>
          </w:p>
        </w:tc>
        <w:tc>
          <w:tcPr>
            <w:tcW w:w="7087" w:type="dxa"/>
            <w:shd w:val="clear" w:color="auto" w:fill="auto"/>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Πρόβλεψη ΑΠΖ δανείων και απαιτήσεων κατά πελατών</w:t>
            </w:r>
          </w:p>
        </w:tc>
      </w:tr>
    </w:tbl>
    <w:p w:rsidR="0027264F" w:rsidRDefault="0027264F">
      <w:pPr>
        <w:rPr>
          <w:rFonts w:ascii="Segoe UI" w:hAnsi="Segoe UI" w:cs="Segoe UI"/>
          <w:sz w:val="15"/>
          <w:szCs w:val="15"/>
        </w:rPr>
      </w:pPr>
    </w:p>
    <w:p w:rsidR="008146D0" w:rsidRPr="00F04303" w:rsidRDefault="008146D0" w:rsidP="00E55AED">
      <w:pPr>
        <w:rPr>
          <w:rFonts w:ascii="Segoe UI" w:hAnsi="Segoe UI" w:cs="Segoe UI"/>
          <w:sz w:val="4"/>
          <w:szCs w:val="20"/>
          <w:lang w:eastAsia="el-GR"/>
        </w:rPr>
        <w:sectPr w:rsidR="008146D0" w:rsidRPr="00F04303" w:rsidSect="008D7AFE">
          <w:headerReference w:type="default" r:id="rId18"/>
          <w:footerReference w:type="default" r:id="rId19"/>
          <w:type w:val="continuous"/>
          <w:pgSz w:w="11900" w:h="16840"/>
          <w:pgMar w:top="993" w:right="851" w:bottom="1134" w:left="851" w:header="283" w:footer="0" w:gutter="0"/>
          <w:pgBorders w:offsetFrom="page">
            <w:bottom w:val="single" w:sz="12" w:space="24" w:color="FFC000"/>
          </w:pgBorders>
          <w:cols w:space="292"/>
          <w:docGrid w:linePitch="360"/>
        </w:sectPr>
      </w:pPr>
    </w:p>
    <w:p w:rsidR="00E55AED" w:rsidRPr="003F566B" w:rsidRDefault="003F566B" w:rsidP="00E55AED">
      <w:pPr>
        <w:spacing w:after="160"/>
        <w:jc w:val="both"/>
        <w:rPr>
          <w:rFonts w:ascii="Segoe UI" w:hAnsi="Segoe UI" w:cs="Segoe UI"/>
          <w:b/>
          <w:sz w:val="18"/>
        </w:rPr>
      </w:pPr>
      <w:r w:rsidRPr="003F566B">
        <w:rPr>
          <w:rFonts w:ascii="Segoe UI" w:hAnsi="Segoe UI" w:cs="Segoe UI"/>
          <w:b/>
          <w:sz w:val="18"/>
        </w:rPr>
        <w:lastRenderedPageBreak/>
        <w:t>ΑΠΟΠΟΙΗΣΗΣ ΕΥΘΥΝΗΣ</w:t>
      </w:r>
    </w:p>
    <w:p w:rsidR="003F566B" w:rsidRPr="00AC6374" w:rsidRDefault="003F566B" w:rsidP="003F566B">
      <w:pPr>
        <w:spacing w:after="160" w:line="276" w:lineRule="auto"/>
        <w:jc w:val="both"/>
        <w:rPr>
          <w:rFonts w:ascii="Segoe UI" w:eastAsia="MS Mincho" w:hAnsi="Segoe UI" w:cs="Segoe UI"/>
          <w:sz w:val="13"/>
          <w:szCs w:val="13"/>
          <w:highlight w:val="yellow"/>
        </w:rPr>
      </w:pPr>
      <w:r w:rsidRPr="00AC6374">
        <w:rPr>
          <w:rFonts w:ascii="Segoe UI" w:eastAsia="MS Mincho" w:hAnsi="Segoe UI" w:cs="Segoe UI"/>
          <w:sz w:val="13"/>
          <w:szCs w:val="13"/>
        </w:rPr>
        <w:t xml:space="preserve">Οι πληροφορίες, οι δηλώσεις και οι γνώμες που παρατίθενται στο παρών Δελτίο Τύπου Αποτελεσμάτων </w:t>
      </w:r>
      <w:r w:rsidR="00692821">
        <w:rPr>
          <w:rFonts w:ascii="Segoe UI" w:eastAsia="MS Mincho" w:hAnsi="Segoe UI" w:cs="Segoe UI"/>
          <w:sz w:val="13"/>
          <w:szCs w:val="13"/>
          <w:lang w:val="en-US"/>
        </w:rPr>
        <w:t>B</w:t>
      </w:r>
      <w:r w:rsidR="004F09A6">
        <w:rPr>
          <w:rFonts w:ascii="Segoe UI" w:eastAsia="MS Mincho" w:hAnsi="Segoe UI" w:cs="Segoe UI"/>
          <w:sz w:val="13"/>
          <w:szCs w:val="13"/>
        </w:rPr>
        <w:t>’ τριμήνου 2021</w:t>
      </w:r>
      <w:r w:rsidR="00C601D1" w:rsidRPr="00C601D1">
        <w:rPr>
          <w:rFonts w:ascii="Segoe UI" w:eastAsia="MS Mincho" w:hAnsi="Segoe UI" w:cs="Segoe UI"/>
          <w:sz w:val="13"/>
          <w:szCs w:val="13"/>
        </w:rPr>
        <w:t xml:space="preserve"> </w:t>
      </w:r>
      <w:r w:rsidRPr="00AC6374">
        <w:rPr>
          <w:rFonts w:ascii="Segoe UI" w:eastAsia="MS Mincho" w:hAnsi="Segoe UI" w:cs="Segoe UI"/>
          <w:sz w:val="13"/>
          <w:szCs w:val="13"/>
        </w:rPr>
        <w:t>και η συνοδευτική συζήτηση (το «Δελτίο Τύπου») έχουν παρασχεθεί από την Εθνική Τράπεζα της Ελλάδας Α.Ε. (η «Τράπεζα») (μαζί με τις ενοποιούμενες θυγατρικές της (</w:t>
      </w:r>
      <w:r w:rsidRPr="00AC6374">
        <w:rPr>
          <w:rFonts w:ascii="Segoe UI" w:eastAsia="MS Mincho" w:hAnsi="Segoe UI" w:cs="Segoe UI"/>
          <w:sz w:val="13"/>
          <w:szCs w:val="13"/>
          <w:lang w:val="en-US"/>
        </w:rPr>
        <w:t>o</w:t>
      </w:r>
      <w:r w:rsidRPr="00AC6374">
        <w:rPr>
          <w:rFonts w:ascii="Segoe UI" w:eastAsia="MS Mincho" w:hAnsi="Segoe UI" w:cs="Segoe UI"/>
          <w:sz w:val="13"/>
          <w:szCs w:val="13"/>
        </w:rPr>
        <w:t xml:space="preserve"> «Όμιλος»). Εξυπηρετούν αποκλειστικά ενημερωτικούς σκοπούς και δεν θα πρέπει να θεωρούνται ως συμβουλή ή σύσταση προς τους επενδυτές ή τους δυνητικούς επενδυτές σε σχέση με την κατοχή, την αγορά ή την πώληση κινητών αξιών ή άλλων χρηματοπιστωτικών προϊόντων ή μέσων, και δεν λαμβάνουν υπόψη συγκεκριμένους επενδυτικούς στόχους, οικονομική κατάσταση ή ανάγκες. Δεν συνιστούν έρευνα στον τομέα των επενδύσεων, επιβεβαίωση συναλλαγής ή για προσφορά ή πρόσκληση για αγορά/πώληση οποιωνδήποτε χρηματοπιστωτικών μέσων. </w:t>
      </w:r>
    </w:p>
    <w:p w:rsidR="003F566B" w:rsidRPr="00AC6374" w:rsidRDefault="003F566B" w:rsidP="003F566B">
      <w:pPr>
        <w:spacing w:line="276" w:lineRule="auto"/>
        <w:jc w:val="both"/>
        <w:rPr>
          <w:rFonts w:ascii="Segoe UI" w:eastAsia="MS Mincho" w:hAnsi="Segoe UI" w:cs="Segoe UI"/>
          <w:b/>
          <w:sz w:val="13"/>
          <w:szCs w:val="13"/>
        </w:rPr>
      </w:pPr>
      <w:r w:rsidRPr="00AC6374">
        <w:rPr>
          <w:rFonts w:ascii="Segoe UI" w:eastAsia="MS Mincho" w:hAnsi="Segoe UI" w:cs="Segoe UI"/>
          <w:b/>
          <w:sz w:val="13"/>
          <w:szCs w:val="13"/>
        </w:rPr>
        <w:t>Ακρίβεια Πληροφοριών και Περιορισμός Ευθύνης</w:t>
      </w:r>
    </w:p>
    <w:p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Μολονότι έχει ληφθεί εύλογη επιμέλεια για να διασφαλιστεί ότι το περιεχόμενό του Δελτίου Τύπου είναι αληθές και ακριβές, δεν παρέχονται δηλώσεις ή εγγυήσεις, ρητές ή σιωπηρές, όσον αφορά την ακρίβεια ή την πληρότητα των πληροφοριών που περιλαμβάνονται στο Δελτίο Τύπου. Στον μέγιστο βαθμό που επιτρέπεται από το νόμο, σε καμία περίπτωση η Τράπεζα, ή οποιαδήποτε από τις θυγατρικές της, οι μέτοχοι, οι συνδεδεμένες εταιρείες, οι εκπρόσωποι, οι διευθυντές, τα στελέχη, οι υπάλληλοι, οι σύμβουλοι ή οι αντιπρόσωποι δεν ευθύνονται για οποιαδήποτε άμεση, έμμεση ή επακόλουθη ζημία ή διαφυγόν κέρδος που τυχόν θα προκύψει από τη χρήση του Δελτίου Τύπου, το περιεχόμενό του (συμπεριλαμβανομένων των εσωτερικών οικονομικών μοντέλων), τις παραλείψεις της, την εξάρτηση από τις πληροφορίες που περιέχονται σε αυτό, ή τις απόψεις που διατυπώνονται σε σχέση με αυτό ή άλλως που προκύπτουν σε σχέση με αυτό. Οι πληροφορίες που εμπεριέχονται στο Δελτίο Τύπου δεν έχουν επαληθευτεί από ανεξάρτητο τρίτο μέρος.</w:t>
      </w:r>
    </w:p>
    <w:p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 xml:space="preserve">Οι παραλήπτες του Δελτίου Τύπου δεν θα πρέπει να ερμηνεύσουν το περιεχόμενό του, ή οποιαδήποτε προηγούμενη ή μεταγενέστερη επικοινωνία από ή με την Τράπεζα ή τους εκπροσώπους της, ως χρηματοοικονομική, επενδυτική, νομική, φορολογική, επιχειρηματική ή άλλη επαγγελματική συμβουλή. Επιπρόσθετα, το Δελτίο Τύπου δεν θεωρείται ότι είναι εξαντλητικό ή περιέχει όλες τις πληροφορίες που ενδεχομένως απαιτούνται για την πλήρη ανάλυση της Τράπεζας. Οι παραλήπτες του Δελτίου Τύπου θα πρέπει να απευθύνονται στους δικούς τους συμβούλους καθώς και να πραγματοποιούν έκαστος τις δικές τους αξιολογήσεις σε σχέση με την Τράπεζα και την καταλληλότητα και την επάρκεια των πληροφοριών. </w:t>
      </w:r>
    </w:p>
    <w:p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Το Δελτίο Τύπου περιλαμβάνει αναφορές σε συγκεκριμένα χρηματοοικονομικά μεγέθη, τα οποία δεν ορίζονται από τα ΔΠΧΑ. Τα εν λόγω μεγέθη παρουσιάζονται στην ενότητα «Ορισμός των χρηματοοικονομικών στοιχείων και των δεικτών που χρησιμοποιήθηκαν» (“Definition of financial data, ratios used and alternative performance measures”) και ενδέχεται να μην είναι συγκρίσιμα με εκείνα έτερων πιστωτικών ιδρυμάτων. Η αναφορά στα εν λόγω μεγέθη, τα οποία δεν ορίζονται από τα ΔΠΧΑ, θα πρέπει να λαμβάνει υπόψη και τα χρηματοοικονομικά μεγέθη κατά τα ΔΠΧΑ, χωρίς να θεωρείται ωστόσο ότι υποκαθιστούν καθ’ οποιονδήποτε τρόπο τα αποτελέσματα που παρουσιάζονται σύμφωνα με τα ΔΠΧΑ.</w:t>
      </w:r>
    </w:p>
    <w:p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 xml:space="preserve">Λόγω στρογγυλοποίησης, τα σύνολα των αριθμών που παρουσιάζονται στο σύνολο του Δελτίου Τύπου ενδέχεται να μην αθροίζονται στο ακέραιο και τα ποσοστά ενδέχεται να μην αντικατοπτρίζουν με ακρίβεια τις απόλυτες τιμές. </w:t>
      </w:r>
    </w:p>
    <w:p w:rsidR="003F566B" w:rsidRPr="00AC6374" w:rsidRDefault="003F566B" w:rsidP="003F566B">
      <w:pPr>
        <w:spacing w:line="276" w:lineRule="auto"/>
        <w:jc w:val="both"/>
        <w:rPr>
          <w:rFonts w:ascii="Segoe UI" w:eastAsia="MS Mincho" w:hAnsi="Segoe UI" w:cs="Segoe UI"/>
          <w:b/>
          <w:sz w:val="13"/>
          <w:szCs w:val="13"/>
        </w:rPr>
      </w:pPr>
      <w:r w:rsidRPr="00AC6374">
        <w:rPr>
          <w:rFonts w:ascii="Segoe UI" w:eastAsia="MS Mincho" w:hAnsi="Segoe UI" w:cs="Segoe UI"/>
          <w:b/>
          <w:sz w:val="13"/>
          <w:szCs w:val="13"/>
        </w:rPr>
        <w:t>Δηλώσεις σχετικά με το μέλλον (Forward Looking Statements)</w:t>
      </w:r>
    </w:p>
    <w:p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Το Δελτίο Τύπου περιέχει δηλώσεις σχετικά με το μέλλον (forward-looking statements) που αφορούν την πρόθεση της Διοίκησης, τις πεποιθήσεις ή τις σημερινές προσδοκίες σχετικά, μεταξύ άλλων, με τις δραστηριότητες και τις λειτουργίες της Τράπεζας, τις συνθήκες της αγοράς, τα αποτελέσματα της λειτουργίας και τη χρηματοοικονομική κατάσταση, την κεφαλαιακή επάρκεια, τις πρακτικές διαχείρισης κινδύνων, τη ρευστότητα, τις προοπτικές, την ανάπτυξη και τις στρατηγικές («δηλώσεις σχετικά με το μέλλον»). Οι δηλώσεις σχετικά με το μέλλον αφορούν μελλοντικές περιστάσεις και αποτελέσματα και άλλες δηλώσεις που δεν αποτελούν ιστορικά γεγονότα και ορισμένες φορές προσδιορίζονται από τους όρους «ενδεχομένως», «θα», «πιστεύει», «αναμένει», «προβλέπει», «σκοπεύει», «προβάλει», «σχεδιάζει», «εκτιμά», «στοχεύει», «διαβλέπει», «προσδοκά», «στοχοθετεί», «θα επιθυμούσε», «θα μπορούσε» ή παρόμοιες εκφράσεις ή τα αρνητικά αυτών.</w:t>
      </w:r>
    </w:p>
    <w:p w:rsidR="003B64BD" w:rsidRPr="00AC6374" w:rsidRDefault="003B64BD" w:rsidP="003B64BD">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 xml:space="preserve">Οι δηλώσεις σχετικά με το μέλλον αντικατοπτρίζουν τις γνώσεις και τις πληροφορίες που είναι διαθέσιμες κατά την ημερομηνία του Δελτίου Τύπου και υπόκεινται σε εγγενείς αβεβαιότητες και σε ποικίλες παραδοχές, είτε αυτές αναφέρονται ρητά στο Δελτίο Τύπου είτε όχι. Μολονότι οι δηλώσεις σχετικά με το μέλλον που περιλαμβάνονται στο Δελτίο Τύπου βασίζονται σε, κατά την πεποίθηση της Διοίκησης της Τράπεζας, λογικές παραδοχές, δεδομένου ότι οι παραδοχές αυτές υπόκεινται εγγενώς σε σημαντικές αβεβαιότητες και αλληλεξαρτήσεις, </w:t>
      </w:r>
      <w:r w:rsidR="00B63C07">
        <w:rPr>
          <w:rFonts w:ascii="Segoe UI" w:eastAsia="MS Mincho" w:hAnsi="Segoe UI" w:cs="Segoe UI"/>
          <w:sz w:val="13"/>
          <w:szCs w:val="13"/>
        </w:rPr>
        <w:t xml:space="preserve">συμπεριλαμβανομένων και των συνεπειών της πανδημίας του κορωνοϊού, </w:t>
      </w:r>
      <w:r w:rsidR="00B63C07" w:rsidRPr="00AC6374">
        <w:rPr>
          <w:rFonts w:ascii="Segoe UI" w:eastAsia="MS Mincho" w:hAnsi="Segoe UI" w:cs="Segoe UI"/>
          <w:sz w:val="13"/>
          <w:szCs w:val="13"/>
        </w:rPr>
        <w:t xml:space="preserve">που είναι δύσκολο ή αδύνατο να προβλεφθούν και κείνται εκτός του ελέγχου της Τράπεζας </w:t>
      </w:r>
      <w:r w:rsidRPr="00AC6374">
        <w:rPr>
          <w:rFonts w:ascii="Segoe UI" w:eastAsia="MS Mincho" w:hAnsi="Segoe UI" w:cs="Segoe UI"/>
          <w:sz w:val="13"/>
          <w:szCs w:val="13"/>
        </w:rPr>
        <w:t>δεν μπορεί να παρασχεθεί διαβεβαίωση ότι η Τράπεζα θα επιτύχει ή θα εκπληρώσει αυτές τις προσδοκίες, πεποιθήσεις ή προβλέψεις. Η εξέλιξη της νόσου και ο οικονομικός της αντίκτυπος παραμένουν εξαιρετικά αβέβαια. Ως εκ τούτου, η εξάπλωση αυτή αποτελεί έναν άλλο παράγοντα που θα μπορούσε να προκαλέσει σημαντικές διαφορές μεταξύ των πραγματικών αποτελεσμάτων και εκείνων που περιλαμβάνονται στις δηλώσεις σχετικά με το μέλλον. Οι δηλώσεις σχετικά με το μέλλον παρέχονται μόνο για επεξηγηματικούς σκοπούς και δεν προορίζονται και δεν πρέπει να θεωρούνται ως εγγύηση, διαβεβαίωση, πρόβλεψη ή οριστική δήλωση πραγματικών γεγονότων ή πιθανοτήτων.</w:t>
      </w:r>
    </w:p>
    <w:p w:rsidR="003F566B" w:rsidRPr="00AC6374" w:rsidRDefault="003B64BD" w:rsidP="003B64BD">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Τα πραγματικά αποτελέσματα της Τράπεζας ενδέχεται να διαφέρουν σημαντικά από τα αναφερόμενα στις δηλώσεις σχετικά με το μέλλον. Ορισμένοι σημαντικοί παράγοντες που θα μπορούσαν να διαφοροποιήσουν τα πραγματικά αποτελέσματα από τα αναφερόμενα στις δηλώσεις σχετικά με το μέλλον θα μπορούσαν να περιλαμβάνουν, μεταξύ άλλων, αλλαγές στις εγχώριες και ξένες επιχειρήσεις, στην αγορά, σε χρηματοοικονομικές, πολιτικές και νομικές συνθήκες, συμπεριλαμβανομένων των ρυθμιστικών αλλαγών του κλάδου, δυσμενείς αποφάσεις από εγχώριες ή διεθνείς ρυθμιστικές και εποπτικές αρχές, τον αντίκτυπο της μείωσης του μεγέθους της αγοράς, την ικανότητα διατήρησης των αξιολογήσεων πιστοληπτικής ικανότητας, τους κεφαλαιακούς πόρους και τις κεφαλαιακές δαπάνες, τις δυσμενείς δικαστικές εκβάσεις, την επίδραση του Covid19 και την επίδραση τούτων στη χρηματοοικονομική κατάσταση του Ομίλου.</w:t>
      </w:r>
    </w:p>
    <w:p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Δεν μπορεί να υπάρξει διαβεβαίωση ότι ο</w:t>
      </w:r>
      <w:r w:rsidR="00521B7A">
        <w:rPr>
          <w:rFonts w:ascii="Segoe UI" w:eastAsia="MS Mincho" w:hAnsi="Segoe UI" w:cs="Segoe UI"/>
          <w:sz w:val="13"/>
          <w:szCs w:val="13"/>
        </w:rPr>
        <w:t>ποιεσ</w:t>
      </w:r>
      <w:r w:rsidRPr="00AC6374">
        <w:rPr>
          <w:rFonts w:ascii="Segoe UI" w:eastAsia="MS Mincho" w:hAnsi="Segoe UI" w:cs="Segoe UI"/>
          <w:sz w:val="13"/>
          <w:szCs w:val="13"/>
        </w:rPr>
        <w:t>δήποτε δηλώσεις σχετικά με το μέλλον θα πραγματοποιηθούν, και η Τράπεζα ρητά αποποιείται οποιαδήποτε υποχρέωση ή δέσμευση για την επικαιροποίηση ή αναθεώρηση πληροφοριών σε οποιαδήποτε δήλωση σχετικά με το μέλλον ώστε να αντικατοπτρίζει τυχόν αλλαγές στις προσδοκίες της Τράπεζας σε σχέση με αυτές ή τυχόν αλλαγές στα γεγονότα, τις συνθήκες ή τις περιστάσεις στις οποίες βασίζεται οποιαδήποτε δήλωση σχετικά με το μέλλον. Ως εκ τούτου, εφιστάται η προσοχή του αναγνώστη να μη βασίζεται υπέρ το δέον στις δηλώσεις σχετικά με το μέλλον.</w:t>
      </w:r>
    </w:p>
    <w:p w:rsidR="003F566B" w:rsidRPr="00AC6374" w:rsidRDefault="003F566B" w:rsidP="003F566B">
      <w:pPr>
        <w:spacing w:line="276" w:lineRule="auto"/>
        <w:jc w:val="both"/>
        <w:rPr>
          <w:rFonts w:ascii="Segoe UI" w:eastAsia="MS Mincho" w:hAnsi="Segoe UI" w:cs="Segoe UI"/>
          <w:b/>
          <w:sz w:val="13"/>
          <w:szCs w:val="13"/>
        </w:rPr>
      </w:pPr>
      <w:r w:rsidRPr="00AC6374">
        <w:rPr>
          <w:rFonts w:ascii="Segoe UI" w:eastAsia="MS Mincho" w:hAnsi="Segoe UI" w:cs="Segoe UI"/>
          <w:b/>
          <w:sz w:val="13"/>
          <w:szCs w:val="13"/>
        </w:rPr>
        <w:t>Μη επικαιροποίηση</w:t>
      </w:r>
    </w:p>
    <w:p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Εκτός εάν ορίζεται διαφορετικά, όλες οι πληροφορίες στο Δελτίο Τύπου φέρουν ημερομηνία αναφοράς την ημερομηνία του Δελτίου Τύπου. Ούτε η παράδοση του Δελτίου Τύπου, ούτε οποιαδήποτε άλλη επικοινωνία με τους παραλήπτες του, υπό οποιαδήποτε συνθήκη, θα πρέπει να οδηγεί στο συμπέρασμα ότι δεν έχει υπάρξει καμία αλλαγή στα θέματα της Τράπεζας από την ημερομηνία αυτή. Εκτός εάν αναφέρεται διαφορετικά στο παρόν, η Τράπεζα δεν σκοπεύει, ούτε θα αναλάβει υποχρέωση, να επικαιροποιήσει το Δελτίο Τύπου ή οποιαδήποτε από τις πληροφορίες που περιλαμβάνονται σε αυτό.</w:t>
      </w:r>
    </w:p>
    <w:p w:rsidR="000765E8" w:rsidRPr="00AC6374" w:rsidRDefault="003F566B" w:rsidP="003F566B">
      <w:pPr>
        <w:spacing w:after="160" w:line="276" w:lineRule="auto"/>
        <w:jc w:val="both"/>
        <w:rPr>
          <w:rFonts w:ascii="Segoe UI" w:hAnsi="Segoe UI" w:cs="Segoe UI"/>
          <w:sz w:val="13"/>
          <w:szCs w:val="13"/>
        </w:rPr>
      </w:pPr>
      <w:r w:rsidRPr="00AC6374">
        <w:rPr>
          <w:rFonts w:ascii="Segoe UI" w:eastAsia="MS Mincho" w:hAnsi="Segoe UI" w:cs="Segoe UI"/>
          <w:sz w:val="13"/>
          <w:szCs w:val="13"/>
        </w:rPr>
        <w:t>Το Δελτίο Τύπου υπόκειται στο ελληνικό δίκαιο, και κάθε διαφορά που ανακύπτει σε σχέση με το Δελτίο Τύπου υπόκειται στην αποκλειστική δικαιοδοσία των Δικαστηρίων της Αθήνας.</w:t>
      </w:r>
      <w:r w:rsidR="00104FC2" w:rsidRPr="00AC6374">
        <w:rPr>
          <w:rFonts w:ascii="Segoe UI" w:eastAsia="MS Mincho" w:hAnsi="Segoe UI" w:cs="Segoe UI"/>
          <w:sz w:val="13"/>
          <w:szCs w:val="13"/>
        </w:rPr>
        <w:t xml:space="preserve"> </w:t>
      </w:r>
    </w:p>
    <w:sectPr w:rsidR="000765E8" w:rsidRPr="00AC6374" w:rsidSect="00D56B7A">
      <w:pgSz w:w="11900" w:h="16840"/>
      <w:pgMar w:top="1248" w:right="851" w:bottom="1134" w:left="851" w:header="283" w:footer="283" w:gutter="0"/>
      <w:pgBorders w:offsetFrom="page">
        <w:bottom w:val="single" w:sz="12" w:space="24" w:color="FFC000"/>
      </w:pgBorders>
      <w:cols w:space="29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0D1" w:rsidRDefault="00CB50D1" w:rsidP="005D44F6">
      <w:r>
        <w:separator/>
      </w:r>
    </w:p>
  </w:endnote>
  <w:endnote w:type="continuationSeparator" w:id="0">
    <w:p w:rsidR="00CB50D1" w:rsidRDefault="00CB50D1" w:rsidP="005D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A1"/>
    <w:family w:val="swiss"/>
    <w:pitch w:val="variable"/>
    <w:sig w:usb0="E10022FF" w:usb1="C000E47F" w:usb2="00000029" w:usb3="00000000" w:csb0="000001D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1632402"/>
      <w:docPartObj>
        <w:docPartGallery w:val="Page Numbers (Bottom of Page)"/>
        <w:docPartUnique/>
      </w:docPartObj>
    </w:sdtPr>
    <w:sdtEndPr>
      <w:rPr>
        <w:noProof/>
        <w:sz w:val="16"/>
        <w:szCs w:val="16"/>
      </w:rPr>
    </w:sdtEndPr>
    <w:sdtContent>
      <w:p w:rsidR="00DA0337" w:rsidRPr="008A22B0" w:rsidRDefault="00DA0337">
        <w:pPr>
          <w:pStyle w:val="Footer"/>
          <w:jc w:val="right"/>
          <w:rPr>
            <w:sz w:val="16"/>
            <w:szCs w:val="16"/>
          </w:rPr>
        </w:pPr>
        <w:r w:rsidRPr="008A22B0">
          <w:rPr>
            <w:sz w:val="16"/>
            <w:szCs w:val="16"/>
          </w:rPr>
          <w:fldChar w:fldCharType="begin"/>
        </w:r>
        <w:r w:rsidRPr="008A22B0">
          <w:rPr>
            <w:sz w:val="16"/>
            <w:szCs w:val="16"/>
          </w:rPr>
          <w:instrText xml:space="preserve"> PAGE   \* MERGEFORMAT </w:instrText>
        </w:r>
        <w:r w:rsidRPr="008A22B0">
          <w:rPr>
            <w:sz w:val="16"/>
            <w:szCs w:val="16"/>
          </w:rPr>
          <w:fldChar w:fldCharType="separate"/>
        </w:r>
        <w:r w:rsidR="000300C2">
          <w:rPr>
            <w:noProof/>
            <w:sz w:val="16"/>
            <w:szCs w:val="16"/>
          </w:rPr>
          <w:t>4</w:t>
        </w:r>
        <w:r w:rsidRPr="008A22B0">
          <w:rPr>
            <w:noProof/>
            <w:sz w:val="16"/>
            <w:szCs w:val="16"/>
          </w:rPr>
          <w:fldChar w:fldCharType="end"/>
        </w:r>
      </w:p>
    </w:sdtContent>
  </w:sdt>
  <w:p w:rsidR="00DA0337" w:rsidRDefault="00DA03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0D1" w:rsidRDefault="00CB50D1" w:rsidP="005D44F6">
      <w:r>
        <w:separator/>
      </w:r>
    </w:p>
  </w:footnote>
  <w:footnote w:type="continuationSeparator" w:id="0">
    <w:p w:rsidR="00CB50D1" w:rsidRDefault="00CB50D1" w:rsidP="005D44F6">
      <w:r>
        <w:continuationSeparator/>
      </w:r>
    </w:p>
  </w:footnote>
  <w:footnote w:id="1">
    <w:p w:rsidR="00DA0337" w:rsidRPr="009733C4" w:rsidRDefault="00DA0337" w:rsidP="00EE40A0">
      <w:pPr>
        <w:pStyle w:val="FootnoteText"/>
        <w:rPr>
          <w:lang w:val="el-GR"/>
        </w:rPr>
      </w:pPr>
      <w:r w:rsidRPr="00EE40A0">
        <w:rPr>
          <w:rStyle w:val="FootnoteReference"/>
          <w:color w:val="7F7F7F" w:themeColor="text1" w:themeTint="80"/>
          <w:sz w:val="12"/>
          <w:szCs w:val="12"/>
        </w:rPr>
        <w:footnoteRef/>
      </w:r>
      <w:r w:rsidRPr="009733C4">
        <w:rPr>
          <w:rFonts w:ascii="Segoe UI" w:hAnsi="Segoe UI" w:cs="Segoe UI"/>
          <w:color w:val="7F7F7F" w:themeColor="text1" w:themeTint="80"/>
          <w:sz w:val="12"/>
          <w:szCs w:val="12"/>
          <w:lang w:val="el-GR"/>
        </w:rPr>
        <w:t>Οι διεθνείς (συνεχιζόμενες) δραστηριότητες περιλαμβάνουν τις δραστηριότητες του Ομίλου στη Βόρεια Μακεδονία (</w:t>
      </w:r>
      <w:r w:rsidRPr="009733C4">
        <w:rPr>
          <w:rFonts w:ascii="Segoe UI" w:hAnsi="Segoe UI" w:cs="Segoe UI"/>
          <w:color w:val="7F7F7F" w:themeColor="text1" w:themeTint="80"/>
          <w:sz w:val="12"/>
          <w:szCs w:val="12"/>
          <w:lang w:val="en-US"/>
        </w:rPr>
        <w:t>Stopanska</w:t>
      </w:r>
      <w:r w:rsidRPr="00222B27">
        <w:rPr>
          <w:lang w:val="el-GR"/>
        </w:rPr>
        <w:t xml:space="preserve"> </w:t>
      </w:r>
      <w:r w:rsidRPr="00222B27">
        <w:rPr>
          <w:rFonts w:ascii="Segoe UI" w:hAnsi="Segoe UI" w:cs="Segoe UI"/>
          <w:color w:val="7F7F7F" w:themeColor="text1" w:themeTint="80"/>
          <w:sz w:val="12"/>
          <w:szCs w:val="12"/>
          <w:lang w:val="en-US"/>
        </w:rPr>
        <w:t>Banka</w:t>
      </w:r>
      <w:r w:rsidRPr="009733C4">
        <w:rPr>
          <w:rFonts w:ascii="Segoe UI" w:hAnsi="Segoe UI" w:cs="Segoe UI"/>
          <w:color w:val="7F7F7F" w:themeColor="text1" w:themeTint="80"/>
          <w:sz w:val="12"/>
          <w:szCs w:val="12"/>
          <w:lang w:val="el-GR"/>
        </w:rPr>
        <w:t>)</w:t>
      </w:r>
      <w:r>
        <w:rPr>
          <w:rFonts w:ascii="Segoe UI" w:hAnsi="Segoe UI" w:cs="Segoe UI"/>
          <w:color w:val="7F7F7F" w:themeColor="text1" w:themeTint="80"/>
          <w:sz w:val="12"/>
          <w:szCs w:val="12"/>
          <w:lang w:val="el-GR"/>
        </w:rPr>
        <w:t xml:space="preserve">, </w:t>
      </w:r>
      <w:r w:rsidRPr="0047559C">
        <w:rPr>
          <w:rFonts w:ascii="Segoe UI" w:hAnsi="Segoe UI" w:cs="Segoe UI"/>
          <w:color w:val="7F7F7F" w:themeColor="text1" w:themeTint="80"/>
          <w:sz w:val="12"/>
          <w:szCs w:val="12"/>
          <w:lang w:val="el-GR"/>
        </w:rPr>
        <w:t>Μάλτα (NBG Malta) και Αίγυπτο (ETE Αιγύπτου)</w:t>
      </w:r>
    </w:p>
  </w:footnote>
  <w:footnote w:id="2">
    <w:p w:rsidR="00DA0337" w:rsidRPr="009733C4" w:rsidRDefault="00DA0337" w:rsidP="00E76A9D">
      <w:pPr>
        <w:pStyle w:val="FootnoteText"/>
        <w:rPr>
          <w:lang w:val="el-GR"/>
        </w:rPr>
      </w:pPr>
      <w:r w:rsidRPr="00EE40A0">
        <w:rPr>
          <w:rStyle w:val="FootnoteReference"/>
          <w:color w:val="7F7F7F" w:themeColor="text1" w:themeTint="80"/>
          <w:sz w:val="12"/>
          <w:szCs w:val="12"/>
        </w:rPr>
        <w:footnoteRef/>
      </w:r>
      <w:r>
        <w:rPr>
          <w:rFonts w:ascii="Segoe UI" w:hAnsi="Segoe UI" w:cs="Segoe UI"/>
          <w:color w:val="7F7F7F" w:themeColor="text1" w:themeTint="80"/>
          <w:sz w:val="12"/>
          <w:szCs w:val="12"/>
          <w:lang w:val="el-GR"/>
        </w:rPr>
        <w:t xml:space="preserve">Οι επιχειρηματικοί και συνολικοί δείκτες </w:t>
      </w:r>
      <w:r w:rsidRPr="00186DAF">
        <w:rPr>
          <w:rFonts w:ascii="Segoe UI" w:hAnsi="Segoe UI" w:cs="Segoe UI"/>
          <w:color w:val="7F7F7F" w:themeColor="text1" w:themeTint="80"/>
          <w:sz w:val="12"/>
          <w:szCs w:val="12"/>
          <w:lang w:val="el-GR"/>
        </w:rPr>
        <w:t xml:space="preserve">δανείων σε καθυστέρηση άνω των 90 ημερών </w:t>
      </w:r>
      <w:r>
        <w:rPr>
          <w:rFonts w:ascii="Segoe UI" w:hAnsi="Segoe UI" w:cs="Segoe UI"/>
          <w:color w:val="7F7F7F" w:themeColor="text1" w:themeTint="80"/>
          <w:sz w:val="12"/>
          <w:szCs w:val="12"/>
          <w:lang w:val="el-GR"/>
        </w:rPr>
        <w:t>και ΜΕΑ π</w:t>
      </w:r>
      <w:r w:rsidRPr="00453E66">
        <w:rPr>
          <w:rFonts w:ascii="Segoe UI" w:hAnsi="Segoe UI" w:cs="Segoe UI"/>
          <w:color w:val="7F7F7F" w:themeColor="text1" w:themeTint="80"/>
          <w:sz w:val="12"/>
          <w:szCs w:val="12"/>
          <w:lang w:val="el-GR"/>
        </w:rPr>
        <w:t>εριλαμβάν</w:t>
      </w:r>
      <w:r>
        <w:rPr>
          <w:rFonts w:ascii="Segoe UI" w:hAnsi="Segoe UI" w:cs="Segoe UI"/>
          <w:color w:val="7F7F7F" w:themeColor="text1" w:themeTint="80"/>
          <w:sz w:val="12"/>
          <w:szCs w:val="12"/>
          <w:lang w:val="el-GR"/>
        </w:rPr>
        <w:t>ουν</w:t>
      </w:r>
      <w:r w:rsidRPr="00453E66">
        <w:rPr>
          <w:rFonts w:ascii="Segoe UI" w:hAnsi="Segoe UI" w:cs="Segoe UI"/>
          <w:color w:val="7F7F7F" w:themeColor="text1" w:themeTint="80"/>
          <w:sz w:val="12"/>
          <w:szCs w:val="12"/>
          <w:lang w:val="el-GR"/>
        </w:rPr>
        <w:t xml:space="preserve"> τα ομόλογα υψηλής διαβάθμισης</w:t>
      </w:r>
      <w:r w:rsidRPr="004C43FA">
        <w:rPr>
          <w:rFonts w:ascii="Segoe UI" w:hAnsi="Segoe UI" w:cs="Segoe UI"/>
          <w:color w:val="7F7F7F" w:themeColor="text1" w:themeTint="80"/>
          <w:sz w:val="12"/>
          <w:szCs w:val="12"/>
          <w:lang w:val="el-GR"/>
        </w:rPr>
        <w:t xml:space="preserve"> </w:t>
      </w:r>
      <w:r w:rsidRPr="00453E66">
        <w:rPr>
          <w:rFonts w:ascii="Segoe UI" w:hAnsi="Segoe UI" w:cs="Segoe UI"/>
          <w:color w:val="7F7F7F" w:themeColor="text1" w:themeTint="80"/>
          <w:sz w:val="12"/>
          <w:szCs w:val="12"/>
          <w:lang w:val="el-GR"/>
        </w:rPr>
        <w:t>ύψους περίπου €3</w:t>
      </w:r>
      <w:r>
        <w:rPr>
          <w:rFonts w:ascii="Segoe UI" w:hAnsi="Segoe UI" w:cs="Segoe UI"/>
          <w:color w:val="7F7F7F" w:themeColor="text1" w:themeTint="80"/>
          <w:sz w:val="12"/>
          <w:szCs w:val="12"/>
          <w:lang w:val="el-GR"/>
        </w:rPr>
        <w:t>,0</w:t>
      </w:r>
      <w:r w:rsidRPr="00230DD2">
        <w:rPr>
          <w:rFonts w:ascii="Segoe UI" w:hAnsi="Segoe UI" w:cs="Segoe UI"/>
          <w:color w:val="7F7F7F" w:themeColor="text1" w:themeTint="80"/>
          <w:sz w:val="12"/>
          <w:szCs w:val="12"/>
          <w:lang w:val="el-GR"/>
        </w:rPr>
        <w:t xml:space="preserve"> </w:t>
      </w:r>
      <w:r w:rsidRPr="00453E66">
        <w:rPr>
          <w:rFonts w:ascii="Segoe UI" w:hAnsi="Segoe UI" w:cs="Segoe UI"/>
          <w:color w:val="7F7F7F" w:themeColor="text1" w:themeTint="80"/>
          <w:sz w:val="12"/>
          <w:szCs w:val="12"/>
          <w:lang w:val="el-GR"/>
        </w:rPr>
        <w:t>δισ. της συναλλαγής Frontier</w:t>
      </w:r>
    </w:p>
  </w:footnote>
  <w:footnote w:id="3">
    <w:p w:rsidR="00DA0337" w:rsidRPr="009733C4" w:rsidRDefault="00DA0337" w:rsidP="002F4103">
      <w:pPr>
        <w:pStyle w:val="FootnoteText"/>
        <w:rPr>
          <w:lang w:val="el-GR"/>
        </w:rPr>
      </w:pPr>
      <w:r w:rsidRPr="00EE40A0">
        <w:rPr>
          <w:rStyle w:val="FootnoteReference"/>
          <w:color w:val="7F7F7F" w:themeColor="text1" w:themeTint="80"/>
          <w:sz w:val="12"/>
          <w:szCs w:val="12"/>
        </w:rPr>
        <w:footnoteRef/>
      </w:r>
      <w:r>
        <w:rPr>
          <w:rFonts w:ascii="Segoe UI" w:hAnsi="Segoe UI" w:cs="Segoe UI"/>
          <w:color w:val="7F7F7F" w:themeColor="text1" w:themeTint="80"/>
          <w:sz w:val="12"/>
          <w:szCs w:val="12"/>
          <w:lang w:val="el-GR"/>
        </w:rPr>
        <w:t xml:space="preserve">Περιλαμβάνει το κέρδος της περιόδου </w:t>
      </w:r>
    </w:p>
  </w:footnote>
  <w:footnote w:id="4">
    <w:p w:rsidR="00DA0337" w:rsidRPr="009733C4" w:rsidRDefault="00DA0337" w:rsidP="00077EE6">
      <w:pPr>
        <w:pStyle w:val="FootnoteText"/>
        <w:rPr>
          <w:lang w:val="el-GR"/>
        </w:rPr>
      </w:pPr>
      <w:r w:rsidRPr="00EE40A0">
        <w:rPr>
          <w:rStyle w:val="FootnoteReference"/>
          <w:color w:val="7F7F7F" w:themeColor="text1" w:themeTint="80"/>
          <w:sz w:val="12"/>
          <w:szCs w:val="12"/>
        </w:rPr>
        <w:footnoteRef/>
      </w:r>
      <w:r>
        <w:rPr>
          <w:rFonts w:ascii="Segoe UI" w:hAnsi="Segoe UI" w:cs="Segoe UI"/>
          <w:color w:val="7F7F7F" w:themeColor="text1" w:themeTint="80"/>
          <w:sz w:val="12"/>
          <w:szCs w:val="12"/>
          <w:lang w:val="el-GR"/>
        </w:rPr>
        <w:t>Οι Συνολικές Κεφαλαιακές Απαιτήσεις (</w:t>
      </w:r>
      <w:r>
        <w:rPr>
          <w:rFonts w:ascii="Segoe UI" w:hAnsi="Segoe UI" w:cs="Segoe UI"/>
          <w:color w:val="7F7F7F" w:themeColor="text1" w:themeTint="80"/>
          <w:sz w:val="12"/>
          <w:szCs w:val="12"/>
          <w:lang w:val="en-US"/>
        </w:rPr>
        <w:t>OCR</w:t>
      </w:r>
      <w:r w:rsidRPr="00E05B00">
        <w:rPr>
          <w:rFonts w:ascii="Segoe UI" w:hAnsi="Segoe UI" w:cs="Segoe UI"/>
          <w:color w:val="7F7F7F" w:themeColor="text1" w:themeTint="80"/>
          <w:sz w:val="12"/>
          <w:szCs w:val="12"/>
          <w:lang w:val="el-GR"/>
        </w:rPr>
        <w:t xml:space="preserve">) </w:t>
      </w:r>
      <w:r>
        <w:rPr>
          <w:rFonts w:ascii="Segoe UI" w:hAnsi="Segoe UI" w:cs="Segoe UI"/>
          <w:color w:val="7F7F7F" w:themeColor="text1" w:themeTint="80"/>
          <w:sz w:val="12"/>
          <w:szCs w:val="12"/>
          <w:lang w:val="el-GR"/>
        </w:rPr>
        <w:t xml:space="preserve">ύψους 11,00% (δείκτης </w:t>
      </w:r>
      <w:r>
        <w:rPr>
          <w:rFonts w:ascii="Segoe UI" w:hAnsi="Segoe UI" w:cs="Segoe UI"/>
          <w:color w:val="7F7F7F" w:themeColor="text1" w:themeTint="80"/>
          <w:sz w:val="12"/>
          <w:szCs w:val="12"/>
        </w:rPr>
        <w:t>CET</w:t>
      </w:r>
      <w:r w:rsidRPr="00DE31D8">
        <w:rPr>
          <w:rFonts w:ascii="Segoe UI" w:hAnsi="Segoe UI" w:cs="Segoe UI"/>
          <w:color w:val="7F7F7F" w:themeColor="text1" w:themeTint="80"/>
          <w:sz w:val="12"/>
          <w:szCs w:val="12"/>
          <w:lang w:val="el-GR"/>
        </w:rPr>
        <w:t xml:space="preserve">1 </w:t>
      </w:r>
      <w:r>
        <w:rPr>
          <w:rFonts w:ascii="Segoe UI" w:hAnsi="Segoe UI" w:cs="Segoe UI"/>
          <w:color w:val="7F7F7F" w:themeColor="text1" w:themeTint="80"/>
          <w:sz w:val="12"/>
          <w:szCs w:val="12"/>
          <w:lang w:val="el-GR"/>
        </w:rPr>
        <w:t>στο 6,19%) εξαιρούν το α</w:t>
      </w:r>
      <w:r w:rsidRPr="00A52D2B">
        <w:rPr>
          <w:rFonts w:ascii="Segoe UI" w:hAnsi="Segoe UI" w:cs="Segoe UI"/>
          <w:color w:val="7F7F7F" w:themeColor="text1" w:themeTint="80"/>
          <w:sz w:val="12"/>
          <w:szCs w:val="12"/>
          <w:lang w:val="el-GR"/>
        </w:rPr>
        <w:t>πόθεμα Ασφαλείας των Λοιπών Συστημικά Σημαντικ</w:t>
      </w:r>
      <w:r>
        <w:rPr>
          <w:rFonts w:ascii="Segoe UI" w:hAnsi="Segoe UI" w:cs="Segoe UI"/>
          <w:color w:val="7F7F7F" w:themeColor="text1" w:themeTint="80"/>
          <w:sz w:val="12"/>
          <w:szCs w:val="12"/>
          <w:lang w:val="el-GR"/>
        </w:rPr>
        <w:t xml:space="preserve">ών Πιστωτικών Ιδρυμάτων (O-SII) ύψους </w:t>
      </w:r>
      <w:r w:rsidRPr="00A52D2B">
        <w:rPr>
          <w:rFonts w:ascii="Segoe UI" w:hAnsi="Segoe UI" w:cs="Segoe UI"/>
          <w:color w:val="7F7F7F" w:themeColor="text1" w:themeTint="80"/>
          <w:sz w:val="12"/>
          <w:szCs w:val="12"/>
          <w:lang w:val="el-GR"/>
        </w:rPr>
        <w:t>0,5</w:t>
      </w:r>
      <w:r>
        <w:rPr>
          <w:rFonts w:ascii="Segoe UI" w:hAnsi="Segoe UI" w:cs="Segoe UI"/>
          <w:color w:val="7F7F7F" w:themeColor="text1" w:themeTint="80"/>
          <w:sz w:val="12"/>
          <w:szCs w:val="12"/>
          <w:lang w:val="el-GR"/>
        </w:rPr>
        <w:t>0</w:t>
      </w:r>
      <w:r w:rsidRPr="00A52D2B">
        <w:rPr>
          <w:rFonts w:ascii="Segoe UI" w:hAnsi="Segoe UI" w:cs="Segoe UI"/>
          <w:color w:val="7F7F7F" w:themeColor="text1" w:themeTint="80"/>
          <w:sz w:val="12"/>
          <w:szCs w:val="12"/>
          <w:lang w:val="el-GR"/>
        </w:rPr>
        <w:t>%</w:t>
      </w:r>
      <w:r>
        <w:rPr>
          <w:rFonts w:ascii="Segoe UI" w:hAnsi="Segoe UI" w:cs="Segoe UI"/>
          <w:color w:val="7F7F7F" w:themeColor="text1" w:themeTint="80"/>
          <w:sz w:val="12"/>
          <w:szCs w:val="12"/>
          <w:lang w:val="el-GR"/>
        </w:rPr>
        <w:t xml:space="preserve">, υπό την αίρεση της </w:t>
      </w:r>
      <w:r w:rsidRPr="00A52D2B">
        <w:rPr>
          <w:rFonts w:ascii="Segoe UI" w:hAnsi="Segoe UI" w:cs="Segoe UI"/>
          <w:color w:val="7F7F7F" w:themeColor="text1" w:themeTint="80"/>
          <w:sz w:val="12"/>
          <w:szCs w:val="12"/>
          <w:lang w:val="el-GR"/>
        </w:rPr>
        <w:t>έγκριση</w:t>
      </w:r>
      <w:r>
        <w:rPr>
          <w:rFonts w:ascii="Segoe UI" w:hAnsi="Segoe UI" w:cs="Segoe UI"/>
          <w:color w:val="7F7F7F" w:themeColor="text1" w:themeTint="80"/>
          <w:sz w:val="12"/>
          <w:szCs w:val="12"/>
          <w:lang w:val="el-GR"/>
        </w:rPr>
        <w:t>ς</w:t>
      </w:r>
      <w:r w:rsidRPr="00A52D2B">
        <w:rPr>
          <w:rFonts w:ascii="Segoe UI" w:hAnsi="Segoe UI" w:cs="Segoe UI"/>
          <w:color w:val="7F7F7F" w:themeColor="text1" w:themeTint="80"/>
          <w:sz w:val="12"/>
          <w:szCs w:val="12"/>
          <w:lang w:val="el-GR"/>
        </w:rPr>
        <w:t xml:space="preserve"> της ΤτΕ</w:t>
      </w:r>
    </w:p>
  </w:footnote>
  <w:footnote w:id="5">
    <w:p w:rsidR="00DA0337" w:rsidRPr="009733C4" w:rsidRDefault="00DA0337" w:rsidP="003C6BDB">
      <w:pPr>
        <w:pStyle w:val="FootnoteText"/>
        <w:rPr>
          <w:lang w:val="el-GR"/>
        </w:rPr>
      </w:pPr>
      <w:r w:rsidRPr="00EE40A0">
        <w:rPr>
          <w:rStyle w:val="FootnoteReference"/>
          <w:color w:val="7F7F7F" w:themeColor="text1" w:themeTint="80"/>
          <w:sz w:val="12"/>
          <w:szCs w:val="12"/>
        </w:rPr>
        <w:footnoteRef/>
      </w:r>
      <w:r w:rsidRPr="009733C4">
        <w:rPr>
          <w:rFonts w:ascii="Segoe UI" w:hAnsi="Segoe UI" w:cs="Segoe UI"/>
          <w:color w:val="7F7F7F" w:themeColor="text1" w:themeTint="80"/>
          <w:sz w:val="12"/>
          <w:szCs w:val="12"/>
          <w:lang w:val="el-GR"/>
        </w:rPr>
        <w:t>Οι διεθνείς (συνεχιζόμενες) δραστηριότητες περιλαμβάνουν τις δραστηριότητες του Ομίλου στη Βόρεια Μακεδονία (</w:t>
      </w:r>
      <w:r w:rsidRPr="009733C4">
        <w:rPr>
          <w:rFonts w:ascii="Segoe UI" w:hAnsi="Segoe UI" w:cs="Segoe UI"/>
          <w:color w:val="7F7F7F" w:themeColor="text1" w:themeTint="80"/>
          <w:sz w:val="12"/>
          <w:szCs w:val="12"/>
          <w:lang w:val="en-US"/>
        </w:rPr>
        <w:t>Stopanska</w:t>
      </w:r>
      <w:r w:rsidRPr="00A02A20">
        <w:rPr>
          <w:lang w:val="el-GR"/>
        </w:rPr>
        <w:t xml:space="preserve"> </w:t>
      </w:r>
      <w:r w:rsidRPr="00222B27">
        <w:rPr>
          <w:rFonts w:ascii="Segoe UI" w:hAnsi="Segoe UI" w:cs="Segoe UI"/>
          <w:color w:val="7F7F7F" w:themeColor="text1" w:themeTint="80"/>
          <w:sz w:val="12"/>
          <w:szCs w:val="12"/>
          <w:lang w:val="en-US"/>
        </w:rPr>
        <w:t>Banka</w:t>
      </w:r>
      <w:r>
        <w:rPr>
          <w:rFonts w:ascii="Segoe UI" w:hAnsi="Segoe UI" w:cs="Segoe UI"/>
          <w:color w:val="7F7F7F" w:themeColor="text1" w:themeTint="80"/>
          <w:sz w:val="12"/>
          <w:szCs w:val="12"/>
          <w:lang w:val="el-GR"/>
        </w:rPr>
        <w:t xml:space="preserve">), </w:t>
      </w:r>
      <w:r w:rsidRPr="009733C4">
        <w:rPr>
          <w:rFonts w:ascii="Segoe UI" w:hAnsi="Segoe UI" w:cs="Segoe UI"/>
          <w:color w:val="7F7F7F" w:themeColor="text1" w:themeTint="80"/>
          <w:sz w:val="12"/>
          <w:szCs w:val="12"/>
          <w:lang w:val="el-GR"/>
        </w:rPr>
        <w:t>Μάλτα (</w:t>
      </w:r>
      <w:r w:rsidRPr="009733C4">
        <w:rPr>
          <w:rFonts w:ascii="Segoe UI" w:hAnsi="Segoe UI" w:cs="Segoe UI"/>
          <w:color w:val="7F7F7F" w:themeColor="text1" w:themeTint="80"/>
          <w:sz w:val="12"/>
          <w:szCs w:val="12"/>
          <w:lang w:val="en-US"/>
        </w:rPr>
        <w:t>NBG</w:t>
      </w:r>
      <w:r>
        <w:rPr>
          <w:rFonts w:ascii="Segoe UI" w:hAnsi="Segoe UI" w:cs="Segoe UI"/>
          <w:color w:val="7F7F7F" w:themeColor="text1" w:themeTint="80"/>
          <w:sz w:val="12"/>
          <w:szCs w:val="12"/>
          <w:lang w:val="el-GR"/>
        </w:rPr>
        <w:t xml:space="preserve"> </w:t>
      </w:r>
      <w:r w:rsidRPr="009733C4">
        <w:rPr>
          <w:rFonts w:ascii="Segoe UI" w:hAnsi="Segoe UI" w:cs="Segoe UI"/>
          <w:color w:val="7F7F7F" w:themeColor="text1" w:themeTint="80"/>
          <w:sz w:val="12"/>
          <w:szCs w:val="12"/>
          <w:lang w:val="en-US"/>
        </w:rPr>
        <w:t>Malta</w:t>
      </w:r>
      <w:r w:rsidRPr="009733C4">
        <w:rPr>
          <w:rFonts w:ascii="Segoe UI" w:hAnsi="Segoe UI" w:cs="Segoe UI"/>
          <w:color w:val="7F7F7F" w:themeColor="text1" w:themeTint="80"/>
          <w:sz w:val="12"/>
          <w:szCs w:val="12"/>
          <w:lang w:val="el-GR"/>
        </w:rPr>
        <w:t>)</w:t>
      </w:r>
      <w:r w:rsidRPr="009F27D9">
        <w:rPr>
          <w:lang w:val="el-GR"/>
        </w:rPr>
        <w:t xml:space="preserve"> </w:t>
      </w:r>
      <w:r w:rsidRPr="0047559C">
        <w:rPr>
          <w:rFonts w:ascii="Segoe UI" w:hAnsi="Segoe UI" w:cs="Segoe UI"/>
          <w:color w:val="7F7F7F" w:themeColor="text1" w:themeTint="80"/>
          <w:sz w:val="12"/>
          <w:szCs w:val="12"/>
          <w:lang w:val="el-GR"/>
        </w:rPr>
        <w:t>και Αίγυπτο (ETE Αιγύπτου)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16"/>
      <w:gridCol w:w="4868"/>
    </w:tblGrid>
    <w:tr w:rsidR="00DA0337" w:rsidRPr="00044763" w:rsidTr="00B5579A">
      <w:trPr>
        <w:trHeight w:val="370"/>
      </w:trPr>
      <w:tc>
        <w:tcPr>
          <w:tcW w:w="2610" w:type="pct"/>
          <w:tcBorders>
            <w:bottom w:val="single" w:sz="18" w:space="0" w:color="00B2C6"/>
          </w:tcBorders>
          <w:shd w:val="clear" w:color="auto" w:fill="auto"/>
          <w:vAlign w:val="bottom"/>
        </w:tcPr>
        <w:p w:rsidR="00DA0337" w:rsidRPr="00061D9F" w:rsidRDefault="00DA0337" w:rsidP="00F81F11">
          <w:pPr>
            <w:pStyle w:val="Header"/>
            <w:rPr>
              <w:b/>
              <w:bCs/>
              <w:color w:val="007382"/>
              <w:sz w:val="20"/>
              <w:szCs w:val="20"/>
              <w:lang w:val="en-US"/>
            </w:rPr>
          </w:pPr>
          <w:r>
            <w:rPr>
              <w:b/>
              <w:bCs/>
              <w:color w:val="007382"/>
              <w:sz w:val="20"/>
              <w:szCs w:val="20"/>
            </w:rPr>
            <w:t>Όμιλος ΕΤΕ</w:t>
          </w:r>
        </w:p>
      </w:tc>
      <w:tc>
        <w:tcPr>
          <w:tcW w:w="2390" w:type="pct"/>
          <w:tcBorders>
            <w:bottom w:val="single" w:sz="18" w:space="0" w:color="00B2C6"/>
          </w:tcBorders>
          <w:shd w:val="clear" w:color="auto" w:fill="auto"/>
          <w:vAlign w:val="bottom"/>
        </w:tcPr>
        <w:p w:rsidR="00DA0337" w:rsidRPr="005A4681" w:rsidRDefault="00DA0337" w:rsidP="00262759">
          <w:pPr>
            <w:pStyle w:val="Header"/>
            <w:jc w:val="right"/>
            <w:rPr>
              <w:color w:val="007382"/>
              <w:sz w:val="18"/>
              <w:szCs w:val="18"/>
              <w:lang w:val="en-US"/>
            </w:rPr>
          </w:pPr>
          <w:r>
            <w:rPr>
              <w:color w:val="808080" w:themeColor="background1" w:themeShade="80"/>
              <w:sz w:val="18"/>
              <w:szCs w:val="18"/>
            </w:rPr>
            <w:t>Αποτελέσματα Β’ τριμήνου 2021</w:t>
          </w:r>
        </w:p>
      </w:tc>
    </w:tr>
  </w:tbl>
  <w:p w:rsidR="00DA0337" w:rsidRPr="00044763" w:rsidRDefault="00DA0337" w:rsidP="00D1701C">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A7F36A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515_"/>
      </v:shape>
    </w:pict>
  </w:numPicBullet>
  <w:abstractNum w:abstractNumId="0" w15:restartNumberingAfterBreak="0">
    <w:nsid w:val="005313C5"/>
    <w:multiLevelType w:val="hybridMultilevel"/>
    <w:tmpl w:val="7E40CD20"/>
    <w:lvl w:ilvl="0" w:tplc="BF7C7776">
      <w:start w:val="1"/>
      <w:numFmt w:val="decimal"/>
      <w:lvlText w:val="%1."/>
      <w:lvlJc w:val="left"/>
      <w:pPr>
        <w:ind w:left="644" w:hanging="360"/>
      </w:pPr>
      <w:rPr>
        <w:rFonts w:hint="default"/>
        <w:vertAlign w:val="superscrip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 w15:restartNumberingAfterBreak="0">
    <w:nsid w:val="07A90119"/>
    <w:multiLevelType w:val="hybridMultilevel"/>
    <w:tmpl w:val="82AA1DF6"/>
    <w:lvl w:ilvl="0" w:tplc="AF084EA6">
      <w:start w:val="1"/>
      <w:numFmt w:val="bullet"/>
      <w:lvlText w:val="•"/>
      <w:lvlJc w:val="left"/>
      <w:pPr>
        <w:tabs>
          <w:tab w:val="num" w:pos="720"/>
        </w:tabs>
        <w:ind w:left="720" w:hanging="360"/>
      </w:pPr>
      <w:rPr>
        <w:rFonts w:ascii="Arial" w:hAnsi="Arial" w:hint="default"/>
      </w:rPr>
    </w:lvl>
    <w:lvl w:ilvl="1" w:tplc="A8ECFF68">
      <w:start w:val="1"/>
      <w:numFmt w:val="bullet"/>
      <w:lvlText w:val="•"/>
      <w:lvlJc w:val="left"/>
      <w:pPr>
        <w:tabs>
          <w:tab w:val="num" w:pos="1440"/>
        </w:tabs>
        <w:ind w:left="1440" w:hanging="360"/>
      </w:pPr>
      <w:rPr>
        <w:rFonts w:ascii="Arial" w:hAnsi="Arial" w:hint="default"/>
      </w:rPr>
    </w:lvl>
    <w:lvl w:ilvl="2" w:tplc="E6CCC7BE" w:tentative="1">
      <w:start w:val="1"/>
      <w:numFmt w:val="bullet"/>
      <w:lvlText w:val="•"/>
      <w:lvlJc w:val="left"/>
      <w:pPr>
        <w:tabs>
          <w:tab w:val="num" w:pos="2160"/>
        </w:tabs>
        <w:ind w:left="2160" w:hanging="360"/>
      </w:pPr>
      <w:rPr>
        <w:rFonts w:ascii="Arial" w:hAnsi="Arial" w:hint="default"/>
      </w:rPr>
    </w:lvl>
    <w:lvl w:ilvl="3" w:tplc="5A8E91E0" w:tentative="1">
      <w:start w:val="1"/>
      <w:numFmt w:val="bullet"/>
      <w:lvlText w:val="•"/>
      <w:lvlJc w:val="left"/>
      <w:pPr>
        <w:tabs>
          <w:tab w:val="num" w:pos="2880"/>
        </w:tabs>
        <w:ind w:left="2880" w:hanging="360"/>
      </w:pPr>
      <w:rPr>
        <w:rFonts w:ascii="Arial" w:hAnsi="Arial" w:hint="default"/>
      </w:rPr>
    </w:lvl>
    <w:lvl w:ilvl="4" w:tplc="BCE29D90" w:tentative="1">
      <w:start w:val="1"/>
      <w:numFmt w:val="bullet"/>
      <w:lvlText w:val="•"/>
      <w:lvlJc w:val="left"/>
      <w:pPr>
        <w:tabs>
          <w:tab w:val="num" w:pos="3600"/>
        </w:tabs>
        <w:ind w:left="3600" w:hanging="360"/>
      </w:pPr>
      <w:rPr>
        <w:rFonts w:ascii="Arial" w:hAnsi="Arial" w:hint="default"/>
      </w:rPr>
    </w:lvl>
    <w:lvl w:ilvl="5" w:tplc="1CE61C36" w:tentative="1">
      <w:start w:val="1"/>
      <w:numFmt w:val="bullet"/>
      <w:lvlText w:val="•"/>
      <w:lvlJc w:val="left"/>
      <w:pPr>
        <w:tabs>
          <w:tab w:val="num" w:pos="4320"/>
        </w:tabs>
        <w:ind w:left="4320" w:hanging="360"/>
      </w:pPr>
      <w:rPr>
        <w:rFonts w:ascii="Arial" w:hAnsi="Arial" w:hint="default"/>
      </w:rPr>
    </w:lvl>
    <w:lvl w:ilvl="6" w:tplc="98B00A6C" w:tentative="1">
      <w:start w:val="1"/>
      <w:numFmt w:val="bullet"/>
      <w:lvlText w:val="•"/>
      <w:lvlJc w:val="left"/>
      <w:pPr>
        <w:tabs>
          <w:tab w:val="num" w:pos="5040"/>
        </w:tabs>
        <w:ind w:left="5040" w:hanging="360"/>
      </w:pPr>
      <w:rPr>
        <w:rFonts w:ascii="Arial" w:hAnsi="Arial" w:hint="default"/>
      </w:rPr>
    </w:lvl>
    <w:lvl w:ilvl="7" w:tplc="138AF13E" w:tentative="1">
      <w:start w:val="1"/>
      <w:numFmt w:val="bullet"/>
      <w:lvlText w:val="•"/>
      <w:lvlJc w:val="left"/>
      <w:pPr>
        <w:tabs>
          <w:tab w:val="num" w:pos="5760"/>
        </w:tabs>
        <w:ind w:left="5760" w:hanging="360"/>
      </w:pPr>
      <w:rPr>
        <w:rFonts w:ascii="Arial" w:hAnsi="Arial" w:hint="default"/>
      </w:rPr>
    </w:lvl>
    <w:lvl w:ilvl="8" w:tplc="6DC2103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B30835"/>
    <w:multiLevelType w:val="hybridMultilevel"/>
    <w:tmpl w:val="F8768AFE"/>
    <w:lvl w:ilvl="0" w:tplc="AB60207C">
      <w:start w:val="1"/>
      <w:numFmt w:val="bullet"/>
      <w:lvlText w:val="•"/>
      <w:lvlJc w:val="left"/>
      <w:pPr>
        <w:tabs>
          <w:tab w:val="num" w:pos="720"/>
        </w:tabs>
        <w:ind w:left="720" w:hanging="360"/>
      </w:pPr>
      <w:rPr>
        <w:rFonts w:ascii="Arial" w:hAnsi="Arial" w:hint="default"/>
      </w:rPr>
    </w:lvl>
    <w:lvl w:ilvl="1" w:tplc="C186E6C6" w:tentative="1">
      <w:start w:val="1"/>
      <w:numFmt w:val="bullet"/>
      <w:lvlText w:val="•"/>
      <w:lvlJc w:val="left"/>
      <w:pPr>
        <w:tabs>
          <w:tab w:val="num" w:pos="1440"/>
        </w:tabs>
        <w:ind w:left="1440" w:hanging="360"/>
      </w:pPr>
      <w:rPr>
        <w:rFonts w:ascii="Arial" w:hAnsi="Arial" w:hint="default"/>
      </w:rPr>
    </w:lvl>
    <w:lvl w:ilvl="2" w:tplc="B5367868" w:tentative="1">
      <w:start w:val="1"/>
      <w:numFmt w:val="bullet"/>
      <w:lvlText w:val="•"/>
      <w:lvlJc w:val="left"/>
      <w:pPr>
        <w:tabs>
          <w:tab w:val="num" w:pos="2160"/>
        </w:tabs>
        <w:ind w:left="2160" w:hanging="360"/>
      </w:pPr>
      <w:rPr>
        <w:rFonts w:ascii="Arial" w:hAnsi="Arial" w:hint="default"/>
      </w:rPr>
    </w:lvl>
    <w:lvl w:ilvl="3" w:tplc="B434DB3A">
      <w:start w:val="1"/>
      <w:numFmt w:val="bullet"/>
      <w:lvlText w:val="•"/>
      <w:lvlJc w:val="left"/>
      <w:pPr>
        <w:tabs>
          <w:tab w:val="num" w:pos="2880"/>
        </w:tabs>
        <w:ind w:left="2880" w:hanging="360"/>
      </w:pPr>
      <w:rPr>
        <w:rFonts w:ascii="Arial" w:hAnsi="Arial" w:hint="default"/>
      </w:rPr>
    </w:lvl>
    <w:lvl w:ilvl="4" w:tplc="F27636D2" w:tentative="1">
      <w:start w:val="1"/>
      <w:numFmt w:val="bullet"/>
      <w:lvlText w:val="•"/>
      <w:lvlJc w:val="left"/>
      <w:pPr>
        <w:tabs>
          <w:tab w:val="num" w:pos="3600"/>
        </w:tabs>
        <w:ind w:left="3600" w:hanging="360"/>
      </w:pPr>
      <w:rPr>
        <w:rFonts w:ascii="Arial" w:hAnsi="Arial" w:hint="default"/>
      </w:rPr>
    </w:lvl>
    <w:lvl w:ilvl="5" w:tplc="89284D48" w:tentative="1">
      <w:start w:val="1"/>
      <w:numFmt w:val="bullet"/>
      <w:lvlText w:val="•"/>
      <w:lvlJc w:val="left"/>
      <w:pPr>
        <w:tabs>
          <w:tab w:val="num" w:pos="4320"/>
        </w:tabs>
        <w:ind w:left="4320" w:hanging="360"/>
      </w:pPr>
      <w:rPr>
        <w:rFonts w:ascii="Arial" w:hAnsi="Arial" w:hint="default"/>
      </w:rPr>
    </w:lvl>
    <w:lvl w:ilvl="6" w:tplc="4156D3D6" w:tentative="1">
      <w:start w:val="1"/>
      <w:numFmt w:val="bullet"/>
      <w:lvlText w:val="•"/>
      <w:lvlJc w:val="left"/>
      <w:pPr>
        <w:tabs>
          <w:tab w:val="num" w:pos="5040"/>
        </w:tabs>
        <w:ind w:left="5040" w:hanging="360"/>
      </w:pPr>
      <w:rPr>
        <w:rFonts w:ascii="Arial" w:hAnsi="Arial" w:hint="default"/>
      </w:rPr>
    </w:lvl>
    <w:lvl w:ilvl="7" w:tplc="6EB2FD8A" w:tentative="1">
      <w:start w:val="1"/>
      <w:numFmt w:val="bullet"/>
      <w:lvlText w:val="•"/>
      <w:lvlJc w:val="left"/>
      <w:pPr>
        <w:tabs>
          <w:tab w:val="num" w:pos="5760"/>
        </w:tabs>
        <w:ind w:left="5760" w:hanging="360"/>
      </w:pPr>
      <w:rPr>
        <w:rFonts w:ascii="Arial" w:hAnsi="Arial" w:hint="default"/>
      </w:rPr>
    </w:lvl>
    <w:lvl w:ilvl="8" w:tplc="368057B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0C2168"/>
    <w:multiLevelType w:val="hybridMultilevel"/>
    <w:tmpl w:val="BBD42F5E"/>
    <w:lvl w:ilvl="0" w:tplc="A492FE0E">
      <w:start w:val="1"/>
      <w:numFmt w:val="bullet"/>
      <w:lvlText w:val="•"/>
      <w:lvlJc w:val="left"/>
      <w:pPr>
        <w:tabs>
          <w:tab w:val="num" w:pos="720"/>
        </w:tabs>
        <w:ind w:left="720" w:hanging="360"/>
      </w:pPr>
      <w:rPr>
        <w:rFonts w:ascii="Arial" w:hAnsi="Arial" w:hint="default"/>
      </w:rPr>
    </w:lvl>
    <w:lvl w:ilvl="1" w:tplc="245AE5C8" w:tentative="1">
      <w:start w:val="1"/>
      <w:numFmt w:val="bullet"/>
      <w:lvlText w:val="•"/>
      <w:lvlJc w:val="left"/>
      <w:pPr>
        <w:tabs>
          <w:tab w:val="num" w:pos="1440"/>
        </w:tabs>
        <w:ind w:left="1440" w:hanging="360"/>
      </w:pPr>
      <w:rPr>
        <w:rFonts w:ascii="Arial" w:hAnsi="Arial" w:hint="default"/>
      </w:rPr>
    </w:lvl>
    <w:lvl w:ilvl="2" w:tplc="E06C0BFE" w:tentative="1">
      <w:start w:val="1"/>
      <w:numFmt w:val="bullet"/>
      <w:lvlText w:val="•"/>
      <w:lvlJc w:val="left"/>
      <w:pPr>
        <w:tabs>
          <w:tab w:val="num" w:pos="2160"/>
        </w:tabs>
        <w:ind w:left="2160" w:hanging="360"/>
      </w:pPr>
      <w:rPr>
        <w:rFonts w:ascii="Arial" w:hAnsi="Arial" w:hint="default"/>
      </w:rPr>
    </w:lvl>
    <w:lvl w:ilvl="3" w:tplc="7D886F9A">
      <w:start w:val="1"/>
      <w:numFmt w:val="bullet"/>
      <w:lvlText w:val="•"/>
      <w:lvlJc w:val="left"/>
      <w:pPr>
        <w:tabs>
          <w:tab w:val="num" w:pos="2880"/>
        </w:tabs>
        <w:ind w:left="2880" w:hanging="360"/>
      </w:pPr>
      <w:rPr>
        <w:rFonts w:ascii="Arial" w:hAnsi="Arial" w:hint="default"/>
      </w:rPr>
    </w:lvl>
    <w:lvl w:ilvl="4" w:tplc="F5FC4DC8" w:tentative="1">
      <w:start w:val="1"/>
      <w:numFmt w:val="bullet"/>
      <w:lvlText w:val="•"/>
      <w:lvlJc w:val="left"/>
      <w:pPr>
        <w:tabs>
          <w:tab w:val="num" w:pos="3600"/>
        </w:tabs>
        <w:ind w:left="3600" w:hanging="360"/>
      </w:pPr>
      <w:rPr>
        <w:rFonts w:ascii="Arial" w:hAnsi="Arial" w:hint="default"/>
      </w:rPr>
    </w:lvl>
    <w:lvl w:ilvl="5" w:tplc="8892CB60" w:tentative="1">
      <w:start w:val="1"/>
      <w:numFmt w:val="bullet"/>
      <w:lvlText w:val="•"/>
      <w:lvlJc w:val="left"/>
      <w:pPr>
        <w:tabs>
          <w:tab w:val="num" w:pos="4320"/>
        </w:tabs>
        <w:ind w:left="4320" w:hanging="360"/>
      </w:pPr>
      <w:rPr>
        <w:rFonts w:ascii="Arial" w:hAnsi="Arial" w:hint="default"/>
      </w:rPr>
    </w:lvl>
    <w:lvl w:ilvl="6" w:tplc="C09A8678" w:tentative="1">
      <w:start w:val="1"/>
      <w:numFmt w:val="bullet"/>
      <w:lvlText w:val="•"/>
      <w:lvlJc w:val="left"/>
      <w:pPr>
        <w:tabs>
          <w:tab w:val="num" w:pos="5040"/>
        </w:tabs>
        <w:ind w:left="5040" w:hanging="360"/>
      </w:pPr>
      <w:rPr>
        <w:rFonts w:ascii="Arial" w:hAnsi="Arial" w:hint="default"/>
      </w:rPr>
    </w:lvl>
    <w:lvl w:ilvl="7" w:tplc="2F10FBB4" w:tentative="1">
      <w:start w:val="1"/>
      <w:numFmt w:val="bullet"/>
      <w:lvlText w:val="•"/>
      <w:lvlJc w:val="left"/>
      <w:pPr>
        <w:tabs>
          <w:tab w:val="num" w:pos="5760"/>
        </w:tabs>
        <w:ind w:left="5760" w:hanging="360"/>
      </w:pPr>
      <w:rPr>
        <w:rFonts w:ascii="Arial" w:hAnsi="Arial" w:hint="default"/>
      </w:rPr>
    </w:lvl>
    <w:lvl w:ilvl="8" w:tplc="AB207D3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31506F"/>
    <w:multiLevelType w:val="hybridMultilevel"/>
    <w:tmpl w:val="1610C458"/>
    <w:lvl w:ilvl="0" w:tplc="F412FC76">
      <w:start w:val="1"/>
      <w:numFmt w:val="bullet"/>
      <w:lvlText w:val="•"/>
      <w:lvlJc w:val="left"/>
      <w:pPr>
        <w:tabs>
          <w:tab w:val="num" w:pos="720"/>
        </w:tabs>
        <w:ind w:left="720" w:hanging="360"/>
      </w:pPr>
      <w:rPr>
        <w:rFonts w:ascii="Arial" w:hAnsi="Arial" w:hint="default"/>
      </w:rPr>
    </w:lvl>
    <w:lvl w:ilvl="1" w:tplc="BE2AE3D8" w:tentative="1">
      <w:start w:val="1"/>
      <w:numFmt w:val="bullet"/>
      <w:lvlText w:val="•"/>
      <w:lvlJc w:val="left"/>
      <w:pPr>
        <w:tabs>
          <w:tab w:val="num" w:pos="1440"/>
        </w:tabs>
        <w:ind w:left="1440" w:hanging="360"/>
      </w:pPr>
      <w:rPr>
        <w:rFonts w:ascii="Arial" w:hAnsi="Arial" w:hint="default"/>
      </w:rPr>
    </w:lvl>
    <w:lvl w:ilvl="2" w:tplc="5634937A" w:tentative="1">
      <w:start w:val="1"/>
      <w:numFmt w:val="bullet"/>
      <w:lvlText w:val="•"/>
      <w:lvlJc w:val="left"/>
      <w:pPr>
        <w:tabs>
          <w:tab w:val="num" w:pos="2160"/>
        </w:tabs>
        <w:ind w:left="2160" w:hanging="360"/>
      </w:pPr>
      <w:rPr>
        <w:rFonts w:ascii="Arial" w:hAnsi="Arial" w:hint="default"/>
      </w:rPr>
    </w:lvl>
    <w:lvl w:ilvl="3" w:tplc="512C9CF0">
      <w:start w:val="1"/>
      <w:numFmt w:val="bullet"/>
      <w:lvlText w:val="•"/>
      <w:lvlJc w:val="left"/>
      <w:pPr>
        <w:tabs>
          <w:tab w:val="num" w:pos="2880"/>
        </w:tabs>
        <w:ind w:left="2880" w:hanging="360"/>
      </w:pPr>
      <w:rPr>
        <w:rFonts w:ascii="Arial" w:hAnsi="Arial" w:hint="default"/>
      </w:rPr>
    </w:lvl>
    <w:lvl w:ilvl="4" w:tplc="2E62B71C" w:tentative="1">
      <w:start w:val="1"/>
      <w:numFmt w:val="bullet"/>
      <w:lvlText w:val="•"/>
      <w:lvlJc w:val="left"/>
      <w:pPr>
        <w:tabs>
          <w:tab w:val="num" w:pos="3600"/>
        </w:tabs>
        <w:ind w:left="3600" w:hanging="360"/>
      </w:pPr>
      <w:rPr>
        <w:rFonts w:ascii="Arial" w:hAnsi="Arial" w:hint="default"/>
      </w:rPr>
    </w:lvl>
    <w:lvl w:ilvl="5" w:tplc="22F8FE58" w:tentative="1">
      <w:start w:val="1"/>
      <w:numFmt w:val="bullet"/>
      <w:lvlText w:val="•"/>
      <w:lvlJc w:val="left"/>
      <w:pPr>
        <w:tabs>
          <w:tab w:val="num" w:pos="4320"/>
        </w:tabs>
        <w:ind w:left="4320" w:hanging="360"/>
      </w:pPr>
      <w:rPr>
        <w:rFonts w:ascii="Arial" w:hAnsi="Arial" w:hint="default"/>
      </w:rPr>
    </w:lvl>
    <w:lvl w:ilvl="6" w:tplc="05701C24" w:tentative="1">
      <w:start w:val="1"/>
      <w:numFmt w:val="bullet"/>
      <w:lvlText w:val="•"/>
      <w:lvlJc w:val="left"/>
      <w:pPr>
        <w:tabs>
          <w:tab w:val="num" w:pos="5040"/>
        </w:tabs>
        <w:ind w:left="5040" w:hanging="360"/>
      </w:pPr>
      <w:rPr>
        <w:rFonts w:ascii="Arial" w:hAnsi="Arial" w:hint="default"/>
      </w:rPr>
    </w:lvl>
    <w:lvl w:ilvl="7" w:tplc="1C52D5B8" w:tentative="1">
      <w:start w:val="1"/>
      <w:numFmt w:val="bullet"/>
      <w:lvlText w:val="•"/>
      <w:lvlJc w:val="left"/>
      <w:pPr>
        <w:tabs>
          <w:tab w:val="num" w:pos="5760"/>
        </w:tabs>
        <w:ind w:left="5760" w:hanging="360"/>
      </w:pPr>
      <w:rPr>
        <w:rFonts w:ascii="Arial" w:hAnsi="Arial" w:hint="default"/>
      </w:rPr>
    </w:lvl>
    <w:lvl w:ilvl="8" w:tplc="9C3A017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6E1ADB"/>
    <w:multiLevelType w:val="hybridMultilevel"/>
    <w:tmpl w:val="47AC1F08"/>
    <w:lvl w:ilvl="0" w:tplc="BE08C698">
      <w:start w:val="1"/>
      <w:numFmt w:val="decimal"/>
      <w:lvlText w:val="%1."/>
      <w:lvlJc w:val="left"/>
      <w:pPr>
        <w:ind w:left="720" w:hanging="360"/>
      </w:pPr>
      <w:rPr>
        <w:rFonts w:hint="default"/>
        <w:vertAlign w:val="superscrip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6433C3D"/>
    <w:multiLevelType w:val="hybridMultilevel"/>
    <w:tmpl w:val="3B6052CC"/>
    <w:lvl w:ilvl="0" w:tplc="D32CD860">
      <w:start w:val="1"/>
      <w:numFmt w:val="bullet"/>
      <w:lvlText w:val="•"/>
      <w:lvlJc w:val="left"/>
      <w:pPr>
        <w:tabs>
          <w:tab w:val="num" w:pos="720"/>
        </w:tabs>
        <w:ind w:left="720" w:hanging="360"/>
      </w:pPr>
      <w:rPr>
        <w:rFonts w:ascii="Arial" w:hAnsi="Arial" w:hint="default"/>
      </w:rPr>
    </w:lvl>
    <w:lvl w:ilvl="1" w:tplc="78C82E92" w:tentative="1">
      <w:start w:val="1"/>
      <w:numFmt w:val="bullet"/>
      <w:lvlText w:val="•"/>
      <w:lvlJc w:val="left"/>
      <w:pPr>
        <w:tabs>
          <w:tab w:val="num" w:pos="1440"/>
        </w:tabs>
        <w:ind w:left="1440" w:hanging="360"/>
      </w:pPr>
      <w:rPr>
        <w:rFonts w:ascii="Arial" w:hAnsi="Arial" w:hint="default"/>
      </w:rPr>
    </w:lvl>
    <w:lvl w:ilvl="2" w:tplc="E8326DAE" w:tentative="1">
      <w:start w:val="1"/>
      <w:numFmt w:val="bullet"/>
      <w:lvlText w:val="•"/>
      <w:lvlJc w:val="left"/>
      <w:pPr>
        <w:tabs>
          <w:tab w:val="num" w:pos="2160"/>
        </w:tabs>
        <w:ind w:left="2160" w:hanging="360"/>
      </w:pPr>
      <w:rPr>
        <w:rFonts w:ascii="Arial" w:hAnsi="Arial" w:hint="default"/>
      </w:rPr>
    </w:lvl>
    <w:lvl w:ilvl="3" w:tplc="33FE070A">
      <w:start w:val="1"/>
      <w:numFmt w:val="bullet"/>
      <w:lvlText w:val="•"/>
      <w:lvlJc w:val="left"/>
      <w:pPr>
        <w:tabs>
          <w:tab w:val="num" w:pos="2880"/>
        </w:tabs>
        <w:ind w:left="2880" w:hanging="360"/>
      </w:pPr>
      <w:rPr>
        <w:rFonts w:ascii="Arial" w:hAnsi="Arial" w:hint="default"/>
      </w:rPr>
    </w:lvl>
    <w:lvl w:ilvl="4" w:tplc="7CECF156" w:tentative="1">
      <w:start w:val="1"/>
      <w:numFmt w:val="bullet"/>
      <w:lvlText w:val="•"/>
      <w:lvlJc w:val="left"/>
      <w:pPr>
        <w:tabs>
          <w:tab w:val="num" w:pos="3600"/>
        </w:tabs>
        <w:ind w:left="3600" w:hanging="360"/>
      </w:pPr>
      <w:rPr>
        <w:rFonts w:ascii="Arial" w:hAnsi="Arial" w:hint="default"/>
      </w:rPr>
    </w:lvl>
    <w:lvl w:ilvl="5" w:tplc="034A68E2" w:tentative="1">
      <w:start w:val="1"/>
      <w:numFmt w:val="bullet"/>
      <w:lvlText w:val="•"/>
      <w:lvlJc w:val="left"/>
      <w:pPr>
        <w:tabs>
          <w:tab w:val="num" w:pos="4320"/>
        </w:tabs>
        <w:ind w:left="4320" w:hanging="360"/>
      </w:pPr>
      <w:rPr>
        <w:rFonts w:ascii="Arial" w:hAnsi="Arial" w:hint="default"/>
      </w:rPr>
    </w:lvl>
    <w:lvl w:ilvl="6" w:tplc="09369E52" w:tentative="1">
      <w:start w:val="1"/>
      <w:numFmt w:val="bullet"/>
      <w:lvlText w:val="•"/>
      <w:lvlJc w:val="left"/>
      <w:pPr>
        <w:tabs>
          <w:tab w:val="num" w:pos="5040"/>
        </w:tabs>
        <w:ind w:left="5040" w:hanging="360"/>
      </w:pPr>
      <w:rPr>
        <w:rFonts w:ascii="Arial" w:hAnsi="Arial" w:hint="default"/>
      </w:rPr>
    </w:lvl>
    <w:lvl w:ilvl="7" w:tplc="4A983066" w:tentative="1">
      <w:start w:val="1"/>
      <w:numFmt w:val="bullet"/>
      <w:lvlText w:val="•"/>
      <w:lvlJc w:val="left"/>
      <w:pPr>
        <w:tabs>
          <w:tab w:val="num" w:pos="5760"/>
        </w:tabs>
        <w:ind w:left="5760" w:hanging="360"/>
      </w:pPr>
      <w:rPr>
        <w:rFonts w:ascii="Arial" w:hAnsi="Arial" w:hint="default"/>
      </w:rPr>
    </w:lvl>
    <w:lvl w:ilvl="8" w:tplc="33F218E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CB5DBA"/>
    <w:multiLevelType w:val="hybridMultilevel"/>
    <w:tmpl w:val="846EE38E"/>
    <w:lvl w:ilvl="0" w:tplc="82C67AB8">
      <w:start w:val="1"/>
      <w:numFmt w:val="bullet"/>
      <w:lvlText w:val=""/>
      <w:lvlJc w:val="left"/>
      <w:pPr>
        <w:ind w:left="1080" w:hanging="720"/>
      </w:pPr>
      <w:rPr>
        <w:rFonts w:ascii="Symbol" w:eastAsia="MS Mincho" w:hAnsi="Symbol"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CF0647D"/>
    <w:multiLevelType w:val="hybridMultilevel"/>
    <w:tmpl w:val="C0D2C3E2"/>
    <w:lvl w:ilvl="0" w:tplc="B16E79F0">
      <w:start w:val="1"/>
      <w:numFmt w:val="bullet"/>
      <w:lvlText w:val="o"/>
      <w:lvlJc w:val="left"/>
      <w:pPr>
        <w:ind w:left="644" w:hanging="360"/>
      </w:pPr>
      <w:rPr>
        <w:rFonts w:ascii="Courier New" w:hAnsi="Courier New" w:cs="Courier New" w:hint="default"/>
        <w:sz w:val="18"/>
        <w:szCs w:val="18"/>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9" w15:restartNumberingAfterBreak="0">
    <w:nsid w:val="1DA327F5"/>
    <w:multiLevelType w:val="hybridMultilevel"/>
    <w:tmpl w:val="3B4892EC"/>
    <w:lvl w:ilvl="0" w:tplc="0226CD10">
      <w:start w:val="1"/>
      <w:numFmt w:val="bullet"/>
      <w:lvlText w:val="•"/>
      <w:lvlJc w:val="left"/>
      <w:pPr>
        <w:tabs>
          <w:tab w:val="num" w:pos="720"/>
        </w:tabs>
        <w:ind w:left="720" w:hanging="360"/>
      </w:pPr>
      <w:rPr>
        <w:rFonts w:ascii="Arial" w:hAnsi="Arial" w:hint="default"/>
      </w:rPr>
    </w:lvl>
    <w:lvl w:ilvl="1" w:tplc="7D6880C2">
      <w:start w:val="1"/>
      <w:numFmt w:val="bullet"/>
      <w:lvlText w:val="•"/>
      <w:lvlJc w:val="left"/>
      <w:pPr>
        <w:tabs>
          <w:tab w:val="num" w:pos="1440"/>
        </w:tabs>
        <w:ind w:left="1440" w:hanging="360"/>
      </w:pPr>
      <w:rPr>
        <w:rFonts w:ascii="Arial" w:hAnsi="Arial" w:hint="default"/>
      </w:rPr>
    </w:lvl>
    <w:lvl w:ilvl="2" w:tplc="1652B73A" w:tentative="1">
      <w:start w:val="1"/>
      <w:numFmt w:val="bullet"/>
      <w:lvlText w:val="•"/>
      <w:lvlJc w:val="left"/>
      <w:pPr>
        <w:tabs>
          <w:tab w:val="num" w:pos="2160"/>
        </w:tabs>
        <w:ind w:left="2160" w:hanging="360"/>
      </w:pPr>
      <w:rPr>
        <w:rFonts w:ascii="Arial" w:hAnsi="Arial" w:hint="default"/>
      </w:rPr>
    </w:lvl>
    <w:lvl w:ilvl="3" w:tplc="C75251BC" w:tentative="1">
      <w:start w:val="1"/>
      <w:numFmt w:val="bullet"/>
      <w:lvlText w:val="•"/>
      <w:lvlJc w:val="left"/>
      <w:pPr>
        <w:tabs>
          <w:tab w:val="num" w:pos="2880"/>
        </w:tabs>
        <w:ind w:left="2880" w:hanging="360"/>
      </w:pPr>
      <w:rPr>
        <w:rFonts w:ascii="Arial" w:hAnsi="Arial" w:hint="default"/>
      </w:rPr>
    </w:lvl>
    <w:lvl w:ilvl="4" w:tplc="2EC24E3E" w:tentative="1">
      <w:start w:val="1"/>
      <w:numFmt w:val="bullet"/>
      <w:lvlText w:val="•"/>
      <w:lvlJc w:val="left"/>
      <w:pPr>
        <w:tabs>
          <w:tab w:val="num" w:pos="3600"/>
        </w:tabs>
        <w:ind w:left="3600" w:hanging="360"/>
      </w:pPr>
      <w:rPr>
        <w:rFonts w:ascii="Arial" w:hAnsi="Arial" w:hint="default"/>
      </w:rPr>
    </w:lvl>
    <w:lvl w:ilvl="5" w:tplc="3272A178" w:tentative="1">
      <w:start w:val="1"/>
      <w:numFmt w:val="bullet"/>
      <w:lvlText w:val="•"/>
      <w:lvlJc w:val="left"/>
      <w:pPr>
        <w:tabs>
          <w:tab w:val="num" w:pos="4320"/>
        </w:tabs>
        <w:ind w:left="4320" w:hanging="360"/>
      </w:pPr>
      <w:rPr>
        <w:rFonts w:ascii="Arial" w:hAnsi="Arial" w:hint="default"/>
      </w:rPr>
    </w:lvl>
    <w:lvl w:ilvl="6" w:tplc="2B70F2B6" w:tentative="1">
      <w:start w:val="1"/>
      <w:numFmt w:val="bullet"/>
      <w:lvlText w:val="•"/>
      <w:lvlJc w:val="left"/>
      <w:pPr>
        <w:tabs>
          <w:tab w:val="num" w:pos="5040"/>
        </w:tabs>
        <w:ind w:left="5040" w:hanging="360"/>
      </w:pPr>
      <w:rPr>
        <w:rFonts w:ascii="Arial" w:hAnsi="Arial" w:hint="default"/>
      </w:rPr>
    </w:lvl>
    <w:lvl w:ilvl="7" w:tplc="BB625196" w:tentative="1">
      <w:start w:val="1"/>
      <w:numFmt w:val="bullet"/>
      <w:lvlText w:val="•"/>
      <w:lvlJc w:val="left"/>
      <w:pPr>
        <w:tabs>
          <w:tab w:val="num" w:pos="5760"/>
        </w:tabs>
        <w:ind w:left="5760" w:hanging="360"/>
      </w:pPr>
      <w:rPr>
        <w:rFonts w:ascii="Arial" w:hAnsi="Arial" w:hint="default"/>
      </w:rPr>
    </w:lvl>
    <w:lvl w:ilvl="8" w:tplc="5F1E8CA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1655A4F"/>
    <w:multiLevelType w:val="hybridMultilevel"/>
    <w:tmpl w:val="87DA15DE"/>
    <w:lvl w:ilvl="0" w:tplc="62A6E3B0">
      <w:numFmt w:val="bullet"/>
      <w:lvlText w:val=""/>
      <w:lvlJc w:val="left"/>
      <w:pPr>
        <w:ind w:left="720" w:hanging="360"/>
      </w:pPr>
      <w:rPr>
        <w:rFonts w:ascii="Symbol" w:eastAsiaTheme="minorHAnsi" w:hAnsi="Symbol"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2234059"/>
    <w:multiLevelType w:val="hybridMultilevel"/>
    <w:tmpl w:val="9B2A465C"/>
    <w:lvl w:ilvl="0" w:tplc="A6EAF608">
      <w:start w:val="1"/>
      <w:numFmt w:val="bullet"/>
      <w:lvlText w:val="•"/>
      <w:lvlJc w:val="left"/>
      <w:pPr>
        <w:tabs>
          <w:tab w:val="num" w:pos="720"/>
        </w:tabs>
        <w:ind w:left="720" w:hanging="360"/>
      </w:pPr>
      <w:rPr>
        <w:rFonts w:ascii="Arial" w:hAnsi="Arial" w:hint="default"/>
      </w:rPr>
    </w:lvl>
    <w:lvl w:ilvl="1" w:tplc="4EDCCF80">
      <w:start w:val="1"/>
      <w:numFmt w:val="bullet"/>
      <w:lvlText w:val="•"/>
      <w:lvlJc w:val="left"/>
      <w:pPr>
        <w:tabs>
          <w:tab w:val="num" w:pos="1440"/>
        </w:tabs>
        <w:ind w:left="1440" w:hanging="360"/>
      </w:pPr>
      <w:rPr>
        <w:rFonts w:ascii="Arial" w:hAnsi="Arial" w:hint="default"/>
      </w:rPr>
    </w:lvl>
    <w:lvl w:ilvl="2" w:tplc="D77AECAA" w:tentative="1">
      <w:start w:val="1"/>
      <w:numFmt w:val="bullet"/>
      <w:lvlText w:val="•"/>
      <w:lvlJc w:val="left"/>
      <w:pPr>
        <w:tabs>
          <w:tab w:val="num" w:pos="2160"/>
        </w:tabs>
        <w:ind w:left="2160" w:hanging="360"/>
      </w:pPr>
      <w:rPr>
        <w:rFonts w:ascii="Arial" w:hAnsi="Arial" w:hint="default"/>
      </w:rPr>
    </w:lvl>
    <w:lvl w:ilvl="3" w:tplc="D58858DA" w:tentative="1">
      <w:start w:val="1"/>
      <w:numFmt w:val="bullet"/>
      <w:lvlText w:val="•"/>
      <w:lvlJc w:val="left"/>
      <w:pPr>
        <w:tabs>
          <w:tab w:val="num" w:pos="2880"/>
        </w:tabs>
        <w:ind w:left="2880" w:hanging="360"/>
      </w:pPr>
      <w:rPr>
        <w:rFonts w:ascii="Arial" w:hAnsi="Arial" w:hint="default"/>
      </w:rPr>
    </w:lvl>
    <w:lvl w:ilvl="4" w:tplc="09E01004" w:tentative="1">
      <w:start w:val="1"/>
      <w:numFmt w:val="bullet"/>
      <w:lvlText w:val="•"/>
      <w:lvlJc w:val="left"/>
      <w:pPr>
        <w:tabs>
          <w:tab w:val="num" w:pos="3600"/>
        </w:tabs>
        <w:ind w:left="3600" w:hanging="360"/>
      </w:pPr>
      <w:rPr>
        <w:rFonts w:ascii="Arial" w:hAnsi="Arial" w:hint="default"/>
      </w:rPr>
    </w:lvl>
    <w:lvl w:ilvl="5" w:tplc="B622ADF8" w:tentative="1">
      <w:start w:val="1"/>
      <w:numFmt w:val="bullet"/>
      <w:lvlText w:val="•"/>
      <w:lvlJc w:val="left"/>
      <w:pPr>
        <w:tabs>
          <w:tab w:val="num" w:pos="4320"/>
        </w:tabs>
        <w:ind w:left="4320" w:hanging="360"/>
      </w:pPr>
      <w:rPr>
        <w:rFonts w:ascii="Arial" w:hAnsi="Arial" w:hint="default"/>
      </w:rPr>
    </w:lvl>
    <w:lvl w:ilvl="6" w:tplc="73B2CE36" w:tentative="1">
      <w:start w:val="1"/>
      <w:numFmt w:val="bullet"/>
      <w:lvlText w:val="•"/>
      <w:lvlJc w:val="left"/>
      <w:pPr>
        <w:tabs>
          <w:tab w:val="num" w:pos="5040"/>
        </w:tabs>
        <w:ind w:left="5040" w:hanging="360"/>
      </w:pPr>
      <w:rPr>
        <w:rFonts w:ascii="Arial" w:hAnsi="Arial" w:hint="default"/>
      </w:rPr>
    </w:lvl>
    <w:lvl w:ilvl="7" w:tplc="738085BC" w:tentative="1">
      <w:start w:val="1"/>
      <w:numFmt w:val="bullet"/>
      <w:lvlText w:val="•"/>
      <w:lvlJc w:val="left"/>
      <w:pPr>
        <w:tabs>
          <w:tab w:val="num" w:pos="5760"/>
        </w:tabs>
        <w:ind w:left="5760" w:hanging="360"/>
      </w:pPr>
      <w:rPr>
        <w:rFonts w:ascii="Arial" w:hAnsi="Arial" w:hint="default"/>
      </w:rPr>
    </w:lvl>
    <w:lvl w:ilvl="8" w:tplc="FDE496F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8016908"/>
    <w:multiLevelType w:val="hybridMultilevel"/>
    <w:tmpl w:val="6B7E3278"/>
    <w:lvl w:ilvl="0" w:tplc="91BAF300">
      <w:start w:val="1"/>
      <w:numFmt w:val="bullet"/>
      <w:lvlText w:val="•"/>
      <w:lvlJc w:val="left"/>
      <w:pPr>
        <w:tabs>
          <w:tab w:val="num" w:pos="720"/>
        </w:tabs>
        <w:ind w:left="720" w:hanging="360"/>
      </w:pPr>
      <w:rPr>
        <w:rFonts w:ascii="Arial" w:hAnsi="Arial" w:hint="default"/>
      </w:rPr>
    </w:lvl>
    <w:lvl w:ilvl="1" w:tplc="0694AFA4">
      <w:start w:val="1"/>
      <w:numFmt w:val="bullet"/>
      <w:lvlText w:val="•"/>
      <w:lvlJc w:val="left"/>
      <w:pPr>
        <w:tabs>
          <w:tab w:val="num" w:pos="1440"/>
        </w:tabs>
        <w:ind w:left="1440" w:hanging="360"/>
      </w:pPr>
      <w:rPr>
        <w:rFonts w:ascii="Arial" w:hAnsi="Arial" w:hint="default"/>
      </w:rPr>
    </w:lvl>
    <w:lvl w:ilvl="2" w:tplc="D7B4C37C" w:tentative="1">
      <w:start w:val="1"/>
      <w:numFmt w:val="bullet"/>
      <w:lvlText w:val="•"/>
      <w:lvlJc w:val="left"/>
      <w:pPr>
        <w:tabs>
          <w:tab w:val="num" w:pos="2160"/>
        </w:tabs>
        <w:ind w:left="2160" w:hanging="360"/>
      </w:pPr>
      <w:rPr>
        <w:rFonts w:ascii="Arial" w:hAnsi="Arial" w:hint="default"/>
      </w:rPr>
    </w:lvl>
    <w:lvl w:ilvl="3" w:tplc="E3F018C6" w:tentative="1">
      <w:start w:val="1"/>
      <w:numFmt w:val="bullet"/>
      <w:lvlText w:val="•"/>
      <w:lvlJc w:val="left"/>
      <w:pPr>
        <w:tabs>
          <w:tab w:val="num" w:pos="2880"/>
        </w:tabs>
        <w:ind w:left="2880" w:hanging="360"/>
      </w:pPr>
      <w:rPr>
        <w:rFonts w:ascii="Arial" w:hAnsi="Arial" w:hint="default"/>
      </w:rPr>
    </w:lvl>
    <w:lvl w:ilvl="4" w:tplc="B7A24350" w:tentative="1">
      <w:start w:val="1"/>
      <w:numFmt w:val="bullet"/>
      <w:lvlText w:val="•"/>
      <w:lvlJc w:val="left"/>
      <w:pPr>
        <w:tabs>
          <w:tab w:val="num" w:pos="3600"/>
        </w:tabs>
        <w:ind w:left="3600" w:hanging="360"/>
      </w:pPr>
      <w:rPr>
        <w:rFonts w:ascii="Arial" w:hAnsi="Arial" w:hint="default"/>
      </w:rPr>
    </w:lvl>
    <w:lvl w:ilvl="5" w:tplc="B9D266F2" w:tentative="1">
      <w:start w:val="1"/>
      <w:numFmt w:val="bullet"/>
      <w:lvlText w:val="•"/>
      <w:lvlJc w:val="left"/>
      <w:pPr>
        <w:tabs>
          <w:tab w:val="num" w:pos="4320"/>
        </w:tabs>
        <w:ind w:left="4320" w:hanging="360"/>
      </w:pPr>
      <w:rPr>
        <w:rFonts w:ascii="Arial" w:hAnsi="Arial" w:hint="default"/>
      </w:rPr>
    </w:lvl>
    <w:lvl w:ilvl="6" w:tplc="EE3282CC" w:tentative="1">
      <w:start w:val="1"/>
      <w:numFmt w:val="bullet"/>
      <w:lvlText w:val="•"/>
      <w:lvlJc w:val="left"/>
      <w:pPr>
        <w:tabs>
          <w:tab w:val="num" w:pos="5040"/>
        </w:tabs>
        <w:ind w:left="5040" w:hanging="360"/>
      </w:pPr>
      <w:rPr>
        <w:rFonts w:ascii="Arial" w:hAnsi="Arial" w:hint="default"/>
      </w:rPr>
    </w:lvl>
    <w:lvl w:ilvl="7" w:tplc="682013E6" w:tentative="1">
      <w:start w:val="1"/>
      <w:numFmt w:val="bullet"/>
      <w:lvlText w:val="•"/>
      <w:lvlJc w:val="left"/>
      <w:pPr>
        <w:tabs>
          <w:tab w:val="num" w:pos="5760"/>
        </w:tabs>
        <w:ind w:left="5760" w:hanging="360"/>
      </w:pPr>
      <w:rPr>
        <w:rFonts w:ascii="Arial" w:hAnsi="Arial" w:hint="default"/>
      </w:rPr>
    </w:lvl>
    <w:lvl w:ilvl="8" w:tplc="D4BCE89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89526F8"/>
    <w:multiLevelType w:val="hybridMultilevel"/>
    <w:tmpl w:val="5128C3E8"/>
    <w:lvl w:ilvl="0" w:tplc="225C6AC4">
      <w:start w:val="1"/>
      <w:numFmt w:val="bullet"/>
      <w:lvlText w:val="•"/>
      <w:lvlJc w:val="left"/>
      <w:pPr>
        <w:tabs>
          <w:tab w:val="num" w:pos="720"/>
        </w:tabs>
        <w:ind w:left="720" w:hanging="360"/>
      </w:pPr>
      <w:rPr>
        <w:rFonts w:ascii="Arial" w:hAnsi="Arial" w:hint="default"/>
      </w:rPr>
    </w:lvl>
    <w:lvl w:ilvl="1" w:tplc="5368485A" w:tentative="1">
      <w:start w:val="1"/>
      <w:numFmt w:val="bullet"/>
      <w:lvlText w:val="•"/>
      <w:lvlJc w:val="left"/>
      <w:pPr>
        <w:tabs>
          <w:tab w:val="num" w:pos="1440"/>
        </w:tabs>
        <w:ind w:left="1440" w:hanging="360"/>
      </w:pPr>
      <w:rPr>
        <w:rFonts w:ascii="Arial" w:hAnsi="Arial" w:hint="default"/>
      </w:rPr>
    </w:lvl>
    <w:lvl w:ilvl="2" w:tplc="1CA2D85C" w:tentative="1">
      <w:start w:val="1"/>
      <w:numFmt w:val="bullet"/>
      <w:lvlText w:val="•"/>
      <w:lvlJc w:val="left"/>
      <w:pPr>
        <w:tabs>
          <w:tab w:val="num" w:pos="2160"/>
        </w:tabs>
        <w:ind w:left="2160" w:hanging="360"/>
      </w:pPr>
      <w:rPr>
        <w:rFonts w:ascii="Arial" w:hAnsi="Arial" w:hint="default"/>
      </w:rPr>
    </w:lvl>
    <w:lvl w:ilvl="3" w:tplc="F10602A8">
      <w:start w:val="1"/>
      <w:numFmt w:val="bullet"/>
      <w:lvlText w:val="•"/>
      <w:lvlJc w:val="left"/>
      <w:pPr>
        <w:tabs>
          <w:tab w:val="num" w:pos="2880"/>
        </w:tabs>
        <w:ind w:left="2880" w:hanging="360"/>
      </w:pPr>
      <w:rPr>
        <w:rFonts w:ascii="Arial" w:hAnsi="Arial" w:hint="default"/>
      </w:rPr>
    </w:lvl>
    <w:lvl w:ilvl="4" w:tplc="50CAF054" w:tentative="1">
      <w:start w:val="1"/>
      <w:numFmt w:val="bullet"/>
      <w:lvlText w:val="•"/>
      <w:lvlJc w:val="left"/>
      <w:pPr>
        <w:tabs>
          <w:tab w:val="num" w:pos="3600"/>
        </w:tabs>
        <w:ind w:left="3600" w:hanging="360"/>
      </w:pPr>
      <w:rPr>
        <w:rFonts w:ascii="Arial" w:hAnsi="Arial" w:hint="default"/>
      </w:rPr>
    </w:lvl>
    <w:lvl w:ilvl="5" w:tplc="87B80DF2" w:tentative="1">
      <w:start w:val="1"/>
      <w:numFmt w:val="bullet"/>
      <w:lvlText w:val="•"/>
      <w:lvlJc w:val="left"/>
      <w:pPr>
        <w:tabs>
          <w:tab w:val="num" w:pos="4320"/>
        </w:tabs>
        <w:ind w:left="4320" w:hanging="360"/>
      </w:pPr>
      <w:rPr>
        <w:rFonts w:ascii="Arial" w:hAnsi="Arial" w:hint="default"/>
      </w:rPr>
    </w:lvl>
    <w:lvl w:ilvl="6" w:tplc="6E6CA710" w:tentative="1">
      <w:start w:val="1"/>
      <w:numFmt w:val="bullet"/>
      <w:lvlText w:val="•"/>
      <w:lvlJc w:val="left"/>
      <w:pPr>
        <w:tabs>
          <w:tab w:val="num" w:pos="5040"/>
        </w:tabs>
        <w:ind w:left="5040" w:hanging="360"/>
      </w:pPr>
      <w:rPr>
        <w:rFonts w:ascii="Arial" w:hAnsi="Arial" w:hint="default"/>
      </w:rPr>
    </w:lvl>
    <w:lvl w:ilvl="7" w:tplc="BF0A6C32" w:tentative="1">
      <w:start w:val="1"/>
      <w:numFmt w:val="bullet"/>
      <w:lvlText w:val="•"/>
      <w:lvlJc w:val="left"/>
      <w:pPr>
        <w:tabs>
          <w:tab w:val="num" w:pos="5760"/>
        </w:tabs>
        <w:ind w:left="5760" w:hanging="360"/>
      </w:pPr>
      <w:rPr>
        <w:rFonts w:ascii="Arial" w:hAnsi="Arial" w:hint="default"/>
      </w:rPr>
    </w:lvl>
    <w:lvl w:ilvl="8" w:tplc="2674933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B4F3F7E"/>
    <w:multiLevelType w:val="hybridMultilevel"/>
    <w:tmpl w:val="058E5102"/>
    <w:lvl w:ilvl="0" w:tplc="4E2680AE">
      <w:start w:val="1"/>
      <w:numFmt w:val="bullet"/>
      <w:lvlText w:val="•"/>
      <w:lvlJc w:val="left"/>
      <w:pPr>
        <w:tabs>
          <w:tab w:val="num" w:pos="720"/>
        </w:tabs>
        <w:ind w:left="720" w:hanging="360"/>
      </w:pPr>
      <w:rPr>
        <w:rFonts w:ascii="Arial" w:hAnsi="Arial" w:hint="default"/>
      </w:rPr>
    </w:lvl>
    <w:lvl w:ilvl="1" w:tplc="0D247154">
      <w:start w:val="1"/>
      <w:numFmt w:val="bullet"/>
      <w:lvlText w:val="•"/>
      <w:lvlJc w:val="left"/>
      <w:pPr>
        <w:tabs>
          <w:tab w:val="num" w:pos="1440"/>
        </w:tabs>
        <w:ind w:left="1440" w:hanging="360"/>
      </w:pPr>
      <w:rPr>
        <w:rFonts w:ascii="Arial" w:hAnsi="Arial" w:hint="default"/>
      </w:rPr>
    </w:lvl>
    <w:lvl w:ilvl="2" w:tplc="4264618A" w:tentative="1">
      <w:start w:val="1"/>
      <w:numFmt w:val="bullet"/>
      <w:lvlText w:val="•"/>
      <w:lvlJc w:val="left"/>
      <w:pPr>
        <w:tabs>
          <w:tab w:val="num" w:pos="2160"/>
        </w:tabs>
        <w:ind w:left="2160" w:hanging="360"/>
      </w:pPr>
      <w:rPr>
        <w:rFonts w:ascii="Arial" w:hAnsi="Arial" w:hint="default"/>
      </w:rPr>
    </w:lvl>
    <w:lvl w:ilvl="3" w:tplc="88687526" w:tentative="1">
      <w:start w:val="1"/>
      <w:numFmt w:val="bullet"/>
      <w:lvlText w:val="•"/>
      <w:lvlJc w:val="left"/>
      <w:pPr>
        <w:tabs>
          <w:tab w:val="num" w:pos="2880"/>
        </w:tabs>
        <w:ind w:left="2880" w:hanging="360"/>
      </w:pPr>
      <w:rPr>
        <w:rFonts w:ascii="Arial" w:hAnsi="Arial" w:hint="default"/>
      </w:rPr>
    </w:lvl>
    <w:lvl w:ilvl="4" w:tplc="9ACE5F32" w:tentative="1">
      <w:start w:val="1"/>
      <w:numFmt w:val="bullet"/>
      <w:lvlText w:val="•"/>
      <w:lvlJc w:val="left"/>
      <w:pPr>
        <w:tabs>
          <w:tab w:val="num" w:pos="3600"/>
        </w:tabs>
        <w:ind w:left="3600" w:hanging="360"/>
      </w:pPr>
      <w:rPr>
        <w:rFonts w:ascii="Arial" w:hAnsi="Arial" w:hint="default"/>
      </w:rPr>
    </w:lvl>
    <w:lvl w:ilvl="5" w:tplc="596E38F0" w:tentative="1">
      <w:start w:val="1"/>
      <w:numFmt w:val="bullet"/>
      <w:lvlText w:val="•"/>
      <w:lvlJc w:val="left"/>
      <w:pPr>
        <w:tabs>
          <w:tab w:val="num" w:pos="4320"/>
        </w:tabs>
        <w:ind w:left="4320" w:hanging="360"/>
      </w:pPr>
      <w:rPr>
        <w:rFonts w:ascii="Arial" w:hAnsi="Arial" w:hint="default"/>
      </w:rPr>
    </w:lvl>
    <w:lvl w:ilvl="6" w:tplc="E25EAA84" w:tentative="1">
      <w:start w:val="1"/>
      <w:numFmt w:val="bullet"/>
      <w:lvlText w:val="•"/>
      <w:lvlJc w:val="left"/>
      <w:pPr>
        <w:tabs>
          <w:tab w:val="num" w:pos="5040"/>
        </w:tabs>
        <w:ind w:left="5040" w:hanging="360"/>
      </w:pPr>
      <w:rPr>
        <w:rFonts w:ascii="Arial" w:hAnsi="Arial" w:hint="default"/>
      </w:rPr>
    </w:lvl>
    <w:lvl w:ilvl="7" w:tplc="FEE07352" w:tentative="1">
      <w:start w:val="1"/>
      <w:numFmt w:val="bullet"/>
      <w:lvlText w:val="•"/>
      <w:lvlJc w:val="left"/>
      <w:pPr>
        <w:tabs>
          <w:tab w:val="num" w:pos="5760"/>
        </w:tabs>
        <w:ind w:left="5760" w:hanging="360"/>
      </w:pPr>
      <w:rPr>
        <w:rFonts w:ascii="Arial" w:hAnsi="Arial" w:hint="default"/>
      </w:rPr>
    </w:lvl>
    <w:lvl w:ilvl="8" w:tplc="746A940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BF64032"/>
    <w:multiLevelType w:val="hybridMultilevel"/>
    <w:tmpl w:val="0F08F7F8"/>
    <w:lvl w:ilvl="0" w:tplc="B16E79F0">
      <w:start w:val="1"/>
      <w:numFmt w:val="bullet"/>
      <w:lvlText w:val="o"/>
      <w:lvlJc w:val="left"/>
      <w:pPr>
        <w:ind w:left="720" w:hanging="360"/>
      </w:pPr>
      <w:rPr>
        <w:rFonts w:ascii="Courier New" w:hAnsi="Courier New" w:cs="Courier New" w:hint="default"/>
        <w:sz w:val="18"/>
        <w:szCs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FD65F2C"/>
    <w:multiLevelType w:val="hybridMultilevel"/>
    <w:tmpl w:val="CEBEE8BA"/>
    <w:lvl w:ilvl="0" w:tplc="BCEE7A58">
      <w:start w:val="1"/>
      <w:numFmt w:val="bullet"/>
      <w:lvlText w:val=""/>
      <w:lvlPicBulletId w:val="0"/>
      <w:lvlJc w:val="left"/>
      <w:pPr>
        <w:ind w:left="360" w:hanging="360"/>
      </w:pPr>
      <w:rPr>
        <w:rFonts w:ascii="Symbol" w:hAnsi="Symbol" w:hint="default"/>
        <w:color w:val="auto"/>
      </w:rPr>
    </w:lvl>
    <w:lvl w:ilvl="1" w:tplc="E7A8B170">
      <w:start w:val="1"/>
      <w:numFmt w:val="bullet"/>
      <w:lvlText w:val="o"/>
      <w:lvlJc w:val="left"/>
      <w:pPr>
        <w:ind w:left="644" w:hanging="360"/>
      </w:pPr>
      <w:rPr>
        <w:rFonts w:ascii="Courier New" w:hAnsi="Courier New" w:cs="Courier New" w:hint="default"/>
        <w:sz w:val="15"/>
        <w:szCs w:val="15"/>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23D7C8F"/>
    <w:multiLevelType w:val="hybridMultilevel"/>
    <w:tmpl w:val="9DE6E894"/>
    <w:lvl w:ilvl="0" w:tplc="1D02554A">
      <w:start w:val="1"/>
      <w:numFmt w:val="bullet"/>
      <w:lvlText w:val="•"/>
      <w:lvlJc w:val="left"/>
      <w:pPr>
        <w:tabs>
          <w:tab w:val="num" w:pos="720"/>
        </w:tabs>
        <w:ind w:left="720" w:hanging="360"/>
      </w:pPr>
      <w:rPr>
        <w:rFonts w:ascii="Arial" w:hAnsi="Arial" w:hint="default"/>
      </w:rPr>
    </w:lvl>
    <w:lvl w:ilvl="1" w:tplc="65587D5E">
      <w:start w:val="1"/>
      <w:numFmt w:val="bullet"/>
      <w:lvlText w:val="•"/>
      <w:lvlJc w:val="left"/>
      <w:pPr>
        <w:tabs>
          <w:tab w:val="num" w:pos="1440"/>
        </w:tabs>
        <w:ind w:left="1440" w:hanging="360"/>
      </w:pPr>
      <w:rPr>
        <w:rFonts w:ascii="Arial" w:hAnsi="Arial" w:hint="default"/>
      </w:rPr>
    </w:lvl>
    <w:lvl w:ilvl="2" w:tplc="048E3670" w:tentative="1">
      <w:start w:val="1"/>
      <w:numFmt w:val="bullet"/>
      <w:lvlText w:val="•"/>
      <w:lvlJc w:val="left"/>
      <w:pPr>
        <w:tabs>
          <w:tab w:val="num" w:pos="2160"/>
        </w:tabs>
        <w:ind w:left="2160" w:hanging="360"/>
      </w:pPr>
      <w:rPr>
        <w:rFonts w:ascii="Arial" w:hAnsi="Arial" w:hint="default"/>
      </w:rPr>
    </w:lvl>
    <w:lvl w:ilvl="3" w:tplc="B89E19B6" w:tentative="1">
      <w:start w:val="1"/>
      <w:numFmt w:val="bullet"/>
      <w:lvlText w:val="•"/>
      <w:lvlJc w:val="left"/>
      <w:pPr>
        <w:tabs>
          <w:tab w:val="num" w:pos="2880"/>
        </w:tabs>
        <w:ind w:left="2880" w:hanging="360"/>
      </w:pPr>
      <w:rPr>
        <w:rFonts w:ascii="Arial" w:hAnsi="Arial" w:hint="default"/>
      </w:rPr>
    </w:lvl>
    <w:lvl w:ilvl="4" w:tplc="A190880E" w:tentative="1">
      <w:start w:val="1"/>
      <w:numFmt w:val="bullet"/>
      <w:lvlText w:val="•"/>
      <w:lvlJc w:val="left"/>
      <w:pPr>
        <w:tabs>
          <w:tab w:val="num" w:pos="3600"/>
        </w:tabs>
        <w:ind w:left="3600" w:hanging="360"/>
      </w:pPr>
      <w:rPr>
        <w:rFonts w:ascii="Arial" w:hAnsi="Arial" w:hint="default"/>
      </w:rPr>
    </w:lvl>
    <w:lvl w:ilvl="5" w:tplc="FA6C9E24" w:tentative="1">
      <w:start w:val="1"/>
      <w:numFmt w:val="bullet"/>
      <w:lvlText w:val="•"/>
      <w:lvlJc w:val="left"/>
      <w:pPr>
        <w:tabs>
          <w:tab w:val="num" w:pos="4320"/>
        </w:tabs>
        <w:ind w:left="4320" w:hanging="360"/>
      </w:pPr>
      <w:rPr>
        <w:rFonts w:ascii="Arial" w:hAnsi="Arial" w:hint="default"/>
      </w:rPr>
    </w:lvl>
    <w:lvl w:ilvl="6" w:tplc="31DAFC94" w:tentative="1">
      <w:start w:val="1"/>
      <w:numFmt w:val="bullet"/>
      <w:lvlText w:val="•"/>
      <w:lvlJc w:val="left"/>
      <w:pPr>
        <w:tabs>
          <w:tab w:val="num" w:pos="5040"/>
        </w:tabs>
        <w:ind w:left="5040" w:hanging="360"/>
      </w:pPr>
      <w:rPr>
        <w:rFonts w:ascii="Arial" w:hAnsi="Arial" w:hint="default"/>
      </w:rPr>
    </w:lvl>
    <w:lvl w:ilvl="7" w:tplc="81B231A2" w:tentative="1">
      <w:start w:val="1"/>
      <w:numFmt w:val="bullet"/>
      <w:lvlText w:val="•"/>
      <w:lvlJc w:val="left"/>
      <w:pPr>
        <w:tabs>
          <w:tab w:val="num" w:pos="5760"/>
        </w:tabs>
        <w:ind w:left="5760" w:hanging="360"/>
      </w:pPr>
      <w:rPr>
        <w:rFonts w:ascii="Arial" w:hAnsi="Arial" w:hint="default"/>
      </w:rPr>
    </w:lvl>
    <w:lvl w:ilvl="8" w:tplc="6692656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6495E9E"/>
    <w:multiLevelType w:val="hybridMultilevel"/>
    <w:tmpl w:val="3CE0B506"/>
    <w:lvl w:ilvl="0" w:tplc="B16E79F0">
      <w:start w:val="1"/>
      <w:numFmt w:val="bullet"/>
      <w:lvlText w:val="o"/>
      <w:lvlJc w:val="left"/>
      <w:pPr>
        <w:ind w:left="720" w:hanging="360"/>
      </w:pPr>
      <w:rPr>
        <w:rFonts w:ascii="Courier New" w:hAnsi="Courier New" w:cs="Courier New" w:hint="default"/>
        <w:sz w:val="18"/>
        <w:szCs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85D7BBD"/>
    <w:multiLevelType w:val="hybridMultilevel"/>
    <w:tmpl w:val="8E84CBEE"/>
    <w:lvl w:ilvl="0" w:tplc="21341AFE">
      <w:start w:val="1"/>
      <w:numFmt w:val="bullet"/>
      <w:lvlText w:val="•"/>
      <w:lvlJc w:val="left"/>
      <w:pPr>
        <w:tabs>
          <w:tab w:val="num" w:pos="720"/>
        </w:tabs>
        <w:ind w:left="720" w:hanging="360"/>
      </w:pPr>
      <w:rPr>
        <w:rFonts w:ascii="Arial" w:hAnsi="Arial" w:hint="default"/>
      </w:rPr>
    </w:lvl>
    <w:lvl w:ilvl="1" w:tplc="D88648A6">
      <w:start w:val="1"/>
      <w:numFmt w:val="bullet"/>
      <w:lvlText w:val="•"/>
      <w:lvlJc w:val="left"/>
      <w:pPr>
        <w:tabs>
          <w:tab w:val="num" w:pos="1440"/>
        </w:tabs>
        <w:ind w:left="1440" w:hanging="360"/>
      </w:pPr>
      <w:rPr>
        <w:rFonts w:ascii="Arial" w:hAnsi="Arial" w:hint="default"/>
      </w:rPr>
    </w:lvl>
    <w:lvl w:ilvl="2" w:tplc="6532C9D0" w:tentative="1">
      <w:start w:val="1"/>
      <w:numFmt w:val="bullet"/>
      <w:lvlText w:val="•"/>
      <w:lvlJc w:val="left"/>
      <w:pPr>
        <w:tabs>
          <w:tab w:val="num" w:pos="2160"/>
        </w:tabs>
        <w:ind w:left="2160" w:hanging="360"/>
      </w:pPr>
      <w:rPr>
        <w:rFonts w:ascii="Arial" w:hAnsi="Arial" w:hint="default"/>
      </w:rPr>
    </w:lvl>
    <w:lvl w:ilvl="3" w:tplc="EF88E52E" w:tentative="1">
      <w:start w:val="1"/>
      <w:numFmt w:val="bullet"/>
      <w:lvlText w:val="•"/>
      <w:lvlJc w:val="left"/>
      <w:pPr>
        <w:tabs>
          <w:tab w:val="num" w:pos="2880"/>
        </w:tabs>
        <w:ind w:left="2880" w:hanging="360"/>
      </w:pPr>
      <w:rPr>
        <w:rFonts w:ascii="Arial" w:hAnsi="Arial" w:hint="default"/>
      </w:rPr>
    </w:lvl>
    <w:lvl w:ilvl="4" w:tplc="DCE6F188" w:tentative="1">
      <w:start w:val="1"/>
      <w:numFmt w:val="bullet"/>
      <w:lvlText w:val="•"/>
      <w:lvlJc w:val="left"/>
      <w:pPr>
        <w:tabs>
          <w:tab w:val="num" w:pos="3600"/>
        </w:tabs>
        <w:ind w:left="3600" w:hanging="360"/>
      </w:pPr>
      <w:rPr>
        <w:rFonts w:ascii="Arial" w:hAnsi="Arial" w:hint="default"/>
      </w:rPr>
    </w:lvl>
    <w:lvl w:ilvl="5" w:tplc="A52E434C" w:tentative="1">
      <w:start w:val="1"/>
      <w:numFmt w:val="bullet"/>
      <w:lvlText w:val="•"/>
      <w:lvlJc w:val="left"/>
      <w:pPr>
        <w:tabs>
          <w:tab w:val="num" w:pos="4320"/>
        </w:tabs>
        <w:ind w:left="4320" w:hanging="360"/>
      </w:pPr>
      <w:rPr>
        <w:rFonts w:ascii="Arial" w:hAnsi="Arial" w:hint="default"/>
      </w:rPr>
    </w:lvl>
    <w:lvl w:ilvl="6" w:tplc="281C0AF6" w:tentative="1">
      <w:start w:val="1"/>
      <w:numFmt w:val="bullet"/>
      <w:lvlText w:val="•"/>
      <w:lvlJc w:val="left"/>
      <w:pPr>
        <w:tabs>
          <w:tab w:val="num" w:pos="5040"/>
        </w:tabs>
        <w:ind w:left="5040" w:hanging="360"/>
      </w:pPr>
      <w:rPr>
        <w:rFonts w:ascii="Arial" w:hAnsi="Arial" w:hint="default"/>
      </w:rPr>
    </w:lvl>
    <w:lvl w:ilvl="7" w:tplc="E3DABD82" w:tentative="1">
      <w:start w:val="1"/>
      <w:numFmt w:val="bullet"/>
      <w:lvlText w:val="•"/>
      <w:lvlJc w:val="left"/>
      <w:pPr>
        <w:tabs>
          <w:tab w:val="num" w:pos="5760"/>
        </w:tabs>
        <w:ind w:left="5760" w:hanging="360"/>
      </w:pPr>
      <w:rPr>
        <w:rFonts w:ascii="Arial" w:hAnsi="Arial" w:hint="default"/>
      </w:rPr>
    </w:lvl>
    <w:lvl w:ilvl="8" w:tplc="CB9E05D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97A3FA4"/>
    <w:multiLevelType w:val="hybridMultilevel"/>
    <w:tmpl w:val="5D10B220"/>
    <w:lvl w:ilvl="0" w:tplc="1DC4642C">
      <w:start w:val="1"/>
      <w:numFmt w:val="bullet"/>
      <w:lvlText w:val="•"/>
      <w:lvlJc w:val="left"/>
      <w:pPr>
        <w:tabs>
          <w:tab w:val="num" w:pos="720"/>
        </w:tabs>
        <w:ind w:left="720" w:hanging="360"/>
      </w:pPr>
      <w:rPr>
        <w:rFonts w:ascii="Arial" w:hAnsi="Arial" w:hint="default"/>
      </w:rPr>
    </w:lvl>
    <w:lvl w:ilvl="1" w:tplc="56D45D92" w:tentative="1">
      <w:start w:val="1"/>
      <w:numFmt w:val="bullet"/>
      <w:lvlText w:val="•"/>
      <w:lvlJc w:val="left"/>
      <w:pPr>
        <w:tabs>
          <w:tab w:val="num" w:pos="1440"/>
        </w:tabs>
        <w:ind w:left="1440" w:hanging="360"/>
      </w:pPr>
      <w:rPr>
        <w:rFonts w:ascii="Arial" w:hAnsi="Arial" w:hint="default"/>
      </w:rPr>
    </w:lvl>
    <w:lvl w:ilvl="2" w:tplc="47948860" w:tentative="1">
      <w:start w:val="1"/>
      <w:numFmt w:val="bullet"/>
      <w:lvlText w:val="•"/>
      <w:lvlJc w:val="left"/>
      <w:pPr>
        <w:tabs>
          <w:tab w:val="num" w:pos="2160"/>
        </w:tabs>
        <w:ind w:left="2160" w:hanging="360"/>
      </w:pPr>
      <w:rPr>
        <w:rFonts w:ascii="Arial" w:hAnsi="Arial" w:hint="default"/>
      </w:rPr>
    </w:lvl>
    <w:lvl w:ilvl="3" w:tplc="47A84E50">
      <w:start w:val="1"/>
      <w:numFmt w:val="bullet"/>
      <w:lvlText w:val="•"/>
      <w:lvlJc w:val="left"/>
      <w:pPr>
        <w:tabs>
          <w:tab w:val="num" w:pos="2880"/>
        </w:tabs>
        <w:ind w:left="2880" w:hanging="360"/>
      </w:pPr>
      <w:rPr>
        <w:rFonts w:ascii="Arial" w:hAnsi="Arial" w:hint="default"/>
      </w:rPr>
    </w:lvl>
    <w:lvl w:ilvl="4" w:tplc="DA6CF9EC" w:tentative="1">
      <w:start w:val="1"/>
      <w:numFmt w:val="bullet"/>
      <w:lvlText w:val="•"/>
      <w:lvlJc w:val="left"/>
      <w:pPr>
        <w:tabs>
          <w:tab w:val="num" w:pos="3600"/>
        </w:tabs>
        <w:ind w:left="3600" w:hanging="360"/>
      </w:pPr>
      <w:rPr>
        <w:rFonts w:ascii="Arial" w:hAnsi="Arial" w:hint="default"/>
      </w:rPr>
    </w:lvl>
    <w:lvl w:ilvl="5" w:tplc="6DEEA9D6" w:tentative="1">
      <w:start w:val="1"/>
      <w:numFmt w:val="bullet"/>
      <w:lvlText w:val="•"/>
      <w:lvlJc w:val="left"/>
      <w:pPr>
        <w:tabs>
          <w:tab w:val="num" w:pos="4320"/>
        </w:tabs>
        <w:ind w:left="4320" w:hanging="360"/>
      </w:pPr>
      <w:rPr>
        <w:rFonts w:ascii="Arial" w:hAnsi="Arial" w:hint="default"/>
      </w:rPr>
    </w:lvl>
    <w:lvl w:ilvl="6" w:tplc="2B40AD1C" w:tentative="1">
      <w:start w:val="1"/>
      <w:numFmt w:val="bullet"/>
      <w:lvlText w:val="•"/>
      <w:lvlJc w:val="left"/>
      <w:pPr>
        <w:tabs>
          <w:tab w:val="num" w:pos="5040"/>
        </w:tabs>
        <w:ind w:left="5040" w:hanging="360"/>
      </w:pPr>
      <w:rPr>
        <w:rFonts w:ascii="Arial" w:hAnsi="Arial" w:hint="default"/>
      </w:rPr>
    </w:lvl>
    <w:lvl w:ilvl="7" w:tplc="9B8CF764" w:tentative="1">
      <w:start w:val="1"/>
      <w:numFmt w:val="bullet"/>
      <w:lvlText w:val="•"/>
      <w:lvlJc w:val="left"/>
      <w:pPr>
        <w:tabs>
          <w:tab w:val="num" w:pos="5760"/>
        </w:tabs>
        <w:ind w:left="5760" w:hanging="360"/>
      </w:pPr>
      <w:rPr>
        <w:rFonts w:ascii="Arial" w:hAnsi="Arial" w:hint="default"/>
      </w:rPr>
    </w:lvl>
    <w:lvl w:ilvl="8" w:tplc="5AC6AFD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DA408D5"/>
    <w:multiLevelType w:val="hybridMultilevel"/>
    <w:tmpl w:val="418033D6"/>
    <w:lvl w:ilvl="0" w:tplc="AD3C6BA6">
      <w:numFmt w:val="bullet"/>
      <w:lvlText w:val=""/>
      <w:lvlJc w:val="left"/>
      <w:pPr>
        <w:ind w:left="1080" w:hanging="720"/>
      </w:pPr>
      <w:rPr>
        <w:rFonts w:ascii="Symbol" w:eastAsia="Calibri"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E186890"/>
    <w:multiLevelType w:val="hybridMultilevel"/>
    <w:tmpl w:val="A10E4270"/>
    <w:lvl w:ilvl="0" w:tplc="2C0A0998">
      <w:start w:val="1"/>
      <w:numFmt w:val="lowerLetter"/>
      <w:lvlText w:val="%1)"/>
      <w:lvlJc w:val="left"/>
      <w:pPr>
        <w:ind w:left="360" w:hanging="360"/>
      </w:pPr>
      <w:rPr>
        <w:rFonts w:hint="default"/>
      </w:rPr>
    </w:lvl>
    <w:lvl w:ilvl="1" w:tplc="77BE2CB2">
      <w:start w:val="1"/>
      <w:numFmt w:val="bullet"/>
      <w:lvlText w:val="o"/>
      <w:lvlJc w:val="left"/>
      <w:pPr>
        <w:ind w:left="1080" w:hanging="360"/>
      </w:pPr>
      <w:rPr>
        <w:rFonts w:ascii="Courier New" w:hAnsi="Courier New" w:cs="Courier New" w:hint="default"/>
      </w:rPr>
    </w:lvl>
    <w:lvl w:ilvl="2" w:tplc="FC3E7F34">
      <w:start w:val="1"/>
      <w:numFmt w:val="bullet"/>
      <w:lvlText w:val=""/>
      <w:lvlJc w:val="left"/>
      <w:pPr>
        <w:ind w:left="1800" w:hanging="360"/>
      </w:pPr>
      <w:rPr>
        <w:rFonts w:ascii="Wingdings" w:hAnsi="Wingdings" w:hint="default"/>
      </w:rPr>
    </w:lvl>
    <w:lvl w:ilvl="3" w:tplc="825A1678">
      <w:start w:val="1"/>
      <w:numFmt w:val="bullet"/>
      <w:lvlText w:val=""/>
      <w:lvlJc w:val="left"/>
      <w:pPr>
        <w:ind w:left="2520" w:hanging="360"/>
      </w:pPr>
      <w:rPr>
        <w:rFonts w:ascii="Symbol" w:hAnsi="Symbol" w:hint="default"/>
      </w:rPr>
    </w:lvl>
    <w:lvl w:ilvl="4" w:tplc="37AC2590">
      <w:start w:val="1"/>
      <w:numFmt w:val="bullet"/>
      <w:lvlText w:val="o"/>
      <w:lvlJc w:val="left"/>
      <w:pPr>
        <w:ind w:left="3240" w:hanging="360"/>
      </w:pPr>
      <w:rPr>
        <w:rFonts w:ascii="Courier New" w:hAnsi="Courier New" w:cs="Courier New" w:hint="default"/>
      </w:rPr>
    </w:lvl>
    <w:lvl w:ilvl="5" w:tplc="8ED4C15C">
      <w:start w:val="1"/>
      <w:numFmt w:val="bullet"/>
      <w:lvlText w:val=""/>
      <w:lvlJc w:val="left"/>
      <w:pPr>
        <w:ind w:left="3960" w:hanging="360"/>
      </w:pPr>
      <w:rPr>
        <w:rFonts w:ascii="Wingdings" w:hAnsi="Wingdings" w:hint="default"/>
      </w:rPr>
    </w:lvl>
    <w:lvl w:ilvl="6" w:tplc="95649FF8">
      <w:start w:val="1"/>
      <w:numFmt w:val="bullet"/>
      <w:lvlText w:val=""/>
      <w:lvlJc w:val="left"/>
      <w:pPr>
        <w:ind w:left="4680" w:hanging="360"/>
      </w:pPr>
      <w:rPr>
        <w:rFonts w:ascii="Symbol" w:hAnsi="Symbol" w:hint="default"/>
      </w:rPr>
    </w:lvl>
    <w:lvl w:ilvl="7" w:tplc="846EDDA0">
      <w:start w:val="1"/>
      <w:numFmt w:val="bullet"/>
      <w:lvlText w:val="o"/>
      <w:lvlJc w:val="left"/>
      <w:pPr>
        <w:ind w:left="5400" w:hanging="360"/>
      </w:pPr>
      <w:rPr>
        <w:rFonts w:ascii="Courier New" w:hAnsi="Courier New" w:cs="Courier New" w:hint="default"/>
      </w:rPr>
    </w:lvl>
    <w:lvl w:ilvl="8" w:tplc="F5E6073A">
      <w:start w:val="1"/>
      <w:numFmt w:val="bullet"/>
      <w:lvlText w:val=""/>
      <w:lvlJc w:val="left"/>
      <w:pPr>
        <w:ind w:left="6120" w:hanging="360"/>
      </w:pPr>
      <w:rPr>
        <w:rFonts w:ascii="Wingdings" w:hAnsi="Wingdings" w:hint="default"/>
      </w:rPr>
    </w:lvl>
  </w:abstractNum>
  <w:abstractNum w:abstractNumId="23" w15:restartNumberingAfterBreak="0">
    <w:nsid w:val="3E186891"/>
    <w:multiLevelType w:val="hybridMultilevel"/>
    <w:tmpl w:val="C26A0A5A"/>
    <w:lvl w:ilvl="0" w:tplc="6C78A2DC">
      <w:start w:val="1"/>
      <w:numFmt w:val="bullet"/>
      <w:lvlText w:val=""/>
      <w:lvlJc w:val="left"/>
      <w:pPr>
        <w:ind w:left="360" w:hanging="360"/>
      </w:pPr>
      <w:rPr>
        <w:rFonts w:ascii="Symbol" w:hAnsi="Symbol" w:hint="default"/>
        <w:color w:val="auto"/>
        <w:sz w:val="18"/>
        <w:szCs w:val="18"/>
      </w:rPr>
    </w:lvl>
    <w:lvl w:ilvl="1" w:tplc="3FA066C2" w:tentative="1">
      <w:start w:val="1"/>
      <w:numFmt w:val="bullet"/>
      <w:lvlText w:val="o"/>
      <w:lvlJc w:val="left"/>
      <w:pPr>
        <w:ind w:left="1080" w:hanging="360"/>
      </w:pPr>
      <w:rPr>
        <w:rFonts w:ascii="Courier New" w:hAnsi="Courier New" w:cs="Courier New" w:hint="default"/>
      </w:rPr>
    </w:lvl>
    <w:lvl w:ilvl="2" w:tplc="A90CCA78" w:tentative="1">
      <w:start w:val="1"/>
      <w:numFmt w:val="bullet"/>
      <w:lvlText w:val=""/>
      <w:lvlJc w:val="left"/>
      <w:pPr>
        <w:ind w:left="1800" w:hanging="360"/>
      </w:pPr>
      <w:rPr>
        <w:rFonts w:ascii="Wingdings" w:hAnsi="Wingdings" w:hint="default"/>
      </w:rPr>
    </w:lvl>
    <w:lvl w:ilvl="3" w:tplc="1C2C2A58" w:tentative="1">
      <w:start w:val="1"/>
      <w:numFmt w:val="bullet"/>
      <w:lvlText w:val=""/>
      <w:lvlJc w:val="left"/>
      <w:pPr>
        <w:ind w:left="2520" w:hanging="360"/>
      </w:pPr>
      <w:rPr>
        <w:rFonts w:ascii="Symbol" w:hAnsi="Symbol" w:hint="default"/>
      </w:rPr>
    </w:lvl>
    <w:lvl w:ilvl="4" w:tplc="EA6E0276" w:tentative="1">
      <w:start w:val="1"/>
      <w:numFmt w:val="bullet"/>
      <w:lvlText w:val="o"/>
      <w:lvlJc w:val="left"/>
      <w:pPr>
        <w:ind w:left="3240" w:hanging="360"/>
      </w:pPr>
      <w:rPr>
        <w:rFonts w:ascii="Courier New" w:hAnsi="Courier New" w:cs="Courier New" w:hint="default"/>
      </w:rPr>
    </w:lvl>
    <w:lvl w:ilvl="5" w:tplc="D81E809A" w:tentative="1">
      <w:start w:val="1"/>
      <w:numFmt w:val="bullet"/>
      <w:lvlText w:val=""/>
      <w:lvlJc w:val="left"/>
      <w:pPr>
        <w:ind w:left="3960" w:hanging="360"/>
      </w:pPr>
      <w:rPr>
        <w:rFonts w:ascii="Wingdings" w:hAnsi="Wingdings" w:hint="default"/>
      </w:rPr>
    </w:lvl>
    <w:lvl w:ilvl="6" w:tplc="1CA0865E" w:tentative="1">
      <w:start w:val="1"/>
      <w:numFmt w:val="bullet"/>
      <w:lvlText w:val=""/>
      <w:lvlJc w:val="left"/>
      <w:pPr>
        <w:ind w:left="4680" w:hanging="360"/>
      </w:pPr>
      <w:rPr>
        <w:rFonts w:ascii="Symbol" w:hAnsi="Symbol" w:hint="default"/>
      </w:rPr>
    </w:lvl>
    <w:lvl w:ilvl="7" w:tplc="65366370" w:tentative="1">
      <w:start w:val="1"/>
      <w:numFmt w:val="bullet"/>
      <w:lvlText w:val="o"/>
      <w:lvlJc w:val="left"/>
      <w:pPr>
        <w:ind w:left="5400" w:hanging="360"/>
      </w:pPr>
      <w:rPr>
        <w:rFonts w:ascii="Courier New" w:hAnsi="Courier New" w:cs="Courier New" w:hint="default"/>
      </w:rPr>
    </w:lvl>
    <w:lvl w:ilvl="8" w:tplc="4222A77C" w:tentative="1">
      <w:start w:val="1"/>
      <w:numFmt w:val="bullet"/>
      <w:lvlText w:val=""/>
      <w:lvlJc w:val="left"/>
      <w:pPr>
        <w:ind w:left="6120" w:hanging="360"/>
      </w:pPr>
      <w:rPr>
        <w:rFonts w:ascii="Wingdings" w:hAnsi="Wingdings" w:hint="default"/>
      </w:rPr>
    </w:lvl>
  </w:abstractNum>
  <w:abstractNum w:abstractNumId="24" w15:restartNumberingAfterBreak="0">
    <w:nsid w:val="3E186893"/>
    <w:multiLevelType w:val="hybridMultilevel"/>
    <w:tmpl w:val="AA306A42"/>
    <w:lvl w:ilvl="0" w:tplc="D3982C74">
      <w:start w:val="1"/>
      <w:numFmt w:val="bullet"/>
      <w:lvlText w:val=""/>
      <w:lvlJc w:val="left"/>
      <w:pPr>
        <w:ind w:left="1077" w:hanging="360"/>
      </w:pPr>
      <w:rPr>
        <w:rFonts w:ascii="Symbol" w:hAnsi="Symbol" w:hint="default"/>
      </w:rPr>
    </w:lvl>
    <w:lvl w:ilvl="1" w:tplc="C5AC0326">
      <w:start w:val="1"/>
      <w:numFmt w:val="bullet"/>
      <w:lvlText w:val="o"/>
      <w:lvlJc w:val="left"/>
      <w:pPr>
        <w:ind w:left="1797" w:hanging="360"/>
      </w:pPr>
      <w:rPr>
        <w:rFonts w:ascii="Courier New" w:hAnsi="Courier New" w:cs="Courier New" w:hint="default"/>
      </w:rPr>
    </w:lvl>
    <w:lvl w:ilvl="2" w:tplc="3634DF88">
      <w:start w:val="1"/>
      <w:numFmt w:val="bullet"/>
      <w:lvlText w:val=""/>
      <w:lvlJc w:val="left"/>
      <w:pPr>
        <w:ind w:left="2517" w:hanging="360"/>
      </w:pPr>
      <w:rPr>
        <w:rFonts w:ascii="Wingdings" w:hAnsi="Wingdings" w:hint="default"/>
      </w:rPr>
    </w:lvl>
    <w:lvl w:ilvl="3" w:tplc="0910186A">
      <w:start w:val="1"/>
      <w:numFmt w:val="bullet"/>
      <w:lvlText w:val=""/>
      <w:lvlJc w:val="left"/>
      <w:pPr>
        <w:ind w:left="3237" w:hanging="360"/>
      </w:pPr>
      <w:rPr>
        <w:rFonts w:ascii="Symbol" w:hAnsi="Symbol" w:hint="default"/>
      </w:rPr>
    </w:lvl>
    <w:lvl w:ilvl="4" w:tplc="098ECB34">
      <w:start w:val="1"/>
      <w:numFmt w:val="bullet"/>
      <w:lvlText w:val="o"/>
      <w:lvlJc w:val="left"/>
      <w:pPr>
        <w:ind w:left="3957" w:hanging="360"/>
      </w:pPr>
      <w:rPr>
        <w:rFonts w:ascii="Courier New" w:hAnsi="Courier New" w:cs="Courier New" w:hint="default"/>
      </w:rPr>
    </w:lvl>
    <w:lvl w:ilvl="5" w:tplc="3452969A">
      <w:start w:val="1"/>
      <w:numFmt w:val="bullet"/>
      <w:lvlText w:val=""/>
      <w:lvlJc w:val="left"/>
      <w:pPr>
        <w:ind w:left="4677" w:hanging="360"/>
      </w:pPr>
      <w:rPr>
        <w:rFonts w:ascii="Wingdings" w:hAnsi="Wingdings" w:hint="default"/>
      </w:rPr>
    </w:lvl>
    <w:lvl w:ilvl="6" w:tplc="16D2B84A">
      <w:start w:val="1"/>
      <w:numFmt w:val="bullet"/>
      <w:lvlText w:val=""/>
      <w:lvlJc w:val="left"/>
      <w:pPr>
        <w:ind w:left="5397" w:hanging="360"/>
      </w:pPr>
      <w:rPr>
        <w:rFonts w:ascii="Symbol" w:hAnsi="Symbol" w:hint="default"/>
      </w:rPr>
    </w:lvl>
    <w:lvl w:ilvl="7" w:tplc="98C658BA">
      <w:start w:val="1"/>
      <w:numFmt w:val="bullet"/>
      <w:lvlText w:val="o"/>
      <w:lvlJc w:val="left"/>
      <w:pPr>
        <w:ind w:left="6117" w:hanging="360"/>
      </w:pPr>
      <w:rPr>
        <w:rFonts w:ascii="Courier New" w:hAnsi="Courier New" w:cs="Courier New" w:hint="default"/>
      </w:rPr>
    </w:lvl>
    <w:lvl w:ilvl="8" w:tplc="2896906C">
      <w:start w:val="1"/>
      <w:numFmt w:val="bullet"/>
      <w:lvlText w:val=""/>
      <w:lvlJc w:val="left"/>
      <w:pPr>
        <w:ind w:left="6837" w:hanging="360"/>
      </w:pPr>
      <w:rPr>
        <w:rFonts w:ascii="Wingdings" w:hAnsi="Wingdings" w:hint="default"/>
      </w:rPr>
    </w:lvl>
  </w:abstractNum>
  <w:abstractNum w:abstractNumId="25" w15:restartNumberingAfterBreak="0">
    <w:nsid w:val="3E18689A"/>
    <w:multiLevelType w:val="multilevel"/>
    <w:tmpl w:val="32F66D5A"/>
    <w:lvl w:ilvl="0">
      <w:start w:val="1"/>
      <w:numFmt w:val="bullet"/>
      <w:pStyle w:val="Bullet1"/>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1440"/>
        </w:tabs>
        <w:ind w:left="1440" w:hanging="720"/>
      </w:pPr>
      <w:rPr>
        <w:rFonts w:ascii="Symbol" w:hAnsi="Symbol" w:hint="default"/>
        <w:color w:val="auto"/>
      </w:rPr>
    </w:lvl>
    <w:lvl w:ilvl="2">
      <w:start w:val="1"/>
      <w:numFmt w:val="bullet"/>
      <w:lvlText w:val="ᴼ"/>
      <w:lvlJc w:val="left"/>
      <w:pPr>
        <w:tabs>
          <w:tab w:val="num" w:pos="720"/>
        </w:tabs>
        <w:ind w:left="1440" w:hanging="720"/>
      </w:pPr>
      <w:rPr>
        <w:rFonts w:ascii="Tahoma" w:hAnsi="Tahoma" w:cs="Times New Roman" w:hint="default"/>
        <w:color w:val="auto"/>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3F0600B7"/>
    <w:multiLevelType w:val="hybridMultilevel"/>
    <w:tmpl w:val="D4AC5E2C"/>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3F6D712A"/>
    <w:multiLevelType w:val="hybridMultilevel"/>
    <w:tmpl w:val="391C3156"/>
    <w:lvl w:ilvl="0" w:tplc="167629E2">
      <w:start w:val="1"/>
      <w:numFmt w:val="bullet"/>
      <w:lvlText w:val="•"/>
      <w:lvlJc w:val="left"/>
      <w:pPr>
        <w:tabs>
          <w:tab w:val="num" w:pos="720"/>
        </w:tabs>
        <w:ind w:left="720" w:hanging="360"/>
      </w:pPr>
      <w:rPr>
        <w:rFonts w:ascii="Arial" w:hAnsi="Arial" w:hint="default"/>
      </w:rPr>
    </w:lvl>
    <w:lvl w:ilvl="1" w:tplc="44F4A4E0">
      <w:start w:val="1"/>
      <w:numFmt w:val="bullet"/>
      <w:lvlText w:val="•"/>
      <w:lvlJc w:val="left"/>
      <w:pPr>
        <w:tabs>
          <w:tab w:val="num" w:pos="1440"/>
        </w:tabs>
        <w:ind w:left="1440" w:hanging="360"/>
      </w:pPr>
      <w:rPr>
        <w:rFonts w:ascii="Arial" w:hAnsi="Arial" w:hint="default"/>
      </w:rPr>
    </w:lvl>
    <w:lvl w:ilvl="2" w:tplc="D1924A38" w:tentative="1">
      <w:start w:val="1"/>
      <w:numFmt w:val="bullet"/>
      <w:lvlText w:val="•"/>
      <w:lvlJc w:val="left"/>
      <w:pPr>
        <w:tabs>
          <w:tab w:val="num" w:pos="2160"/>
        </w:tabs>
        <w:ind w:left="2160" w:hanging="360"/>
      </w:pPr>
      <w:rPr>
        <w:rFonts w:ascii="Arial" w:hAnsi="Arial" w:hint="default"/>
      </w:rPr>
    </w:lvl>
    <w:lvl w:ilvl="3" w:tplc="B7386ACE" w:tentative="1">
      <w:start w:val="1"/>
      <w:numFmt w:val="bullet"/>
      <w:lvlText w:val="•"/>
      <w:lvlJc w:val="left"/>
      <w:pPr>
        <w:tabs>
          <w:tab w:val="num" w:pos="2880"/>
        </w:tabs>
        <w:ind w:left="2880" w:hanging="360"/>
      </w:pPr>
      <w:rPr>
        <w:rFonts w:ascii="Arial" w:hAnsi="Arial" w:hint="default"/>
      </w:rPr>
    </w:lvl>
    <w:lvl w:ilvl="4" w:tplc="C92C2068" w:tentative="1">
      <w:start w:val="1"/>
      <w:numFmt w:val="bullet"/>
      <w:lvlText w:val="•"/>
      <w:lvlJc w:val="left"/>
      <w:pPr>
        <w:tabs>
          <w:tab w:val="num" w:pos="3600"/>
        </w:tabs>
        <w:ind w:left="3600" w:hanging="360"/>
      </w:pPr>
      <w:rPr>
        <w:rFonts w:ascii="Arial" w:hAnsi="Arial" w:hint="default"/>
      </w:rPr>
    </w:lvl>
    <w:lvl w:ilvl="5" w:tplc="C0284486" w:tentative="1">
      <w:start w:val="1"/>
      <w:numFmt w:val="bullet"/>
      <w:lvlText w:val="•"/>
      <w:lvlJc w:val="left"/>
      <w:pPr>
        <w:tabs>
          <w:tab w:val="num" w:pos="4320"/>
        </w:tabs>
        <w:ind w:left="4320" w:hanging="360"/>
      </w:pPr>
      <w:rPr>
        <w:rFonts w:ascii="Arial" w:hAnsi="Arial" w:hint="default"/>
      </w:rPr>
    </w:lvl>
    <w:lvl w:ilvl="6" w:tplc="2F0C4EEA" w:tentative="1">
      <w:start w:val="1"/>
      <w:numFmt w:val="bullet"/>
      <w:lvlText w:val="•"/>
      <w:lvlJc w:val="left"/>
      <w:pPr>
        <w:tabs>
          <w:tab w:val="num" w:pos="5040"/>
        </w:tabs>
        <w:ind w:left="5040" w:hanging="360"/>
      </w:pPr>
      <w:rPr>
        <w:rFonts w:ascii="Arial" w:hAnsi="Arial" w:hint="default"/>
      </w:rPr>
    </w:lvl>
    <w:lvl w:ilvl="7" w:tplc="E98AD01C" w:tentative="1">
      <w:start w:val="1"/>
      <w:numFmt w:val="bullet"/>
      <w:lvlText w:val="•"/>
      <w:lvlJc w:val="left"/>
      <w:pPr>
        <w:tabs>
          <w:tab w:val="num" w:pos="5760"/>
        </w:tabs>
        <w:ind w:left="5760" w:hanging="360"/>
      </w:pPr>
      <w:rPr>
        <w:rFonts w:ascii="Arial" w:hAnsi="Arial" w:hint="default"/>
      </w:rPr>
    </w:lvl>
    <w:lvl w:ilvl="8" w:tplc="56BAA11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1EF4019"/>
    <w:multiLevelType w:val="hybridMultilevel"/>
    <w:tmpl w:val="D93A3E7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46C95BDB"/>
    <w:multiLevelType w:val="hybridMultilevel"/>
    <w:tmpl w:val="5B9E15BE"/>
    <w:lvl w:ilvl="0" w:tplc="8DD2181C">
      <w:start w:val="1"/>
      <w:numFmt w:val="bullet"/>
      <w:lvlText w:val="•"/>
      <w:lvlJc w:val="left"/>
      <w:pPr>
        <w:tabs>
          <w:tab w:val="num" w:pos="720"/>
        </w:tabs>
        <w:ind w:left="720" w:hanging="360"/>
      </w:pPr>
      <w:rPr>
        <w:rFonts w:ascii="Arial" w:hAnsi="Arial" w:hint="default"/>
      </w:rPr>
    </w:lvl>
    <w:lvl w:ilvl="1" w:tplc="6016AE76">
      <w:start w:val="1"/>
      <w:numFmt w:val="bullet"/>
      <w:lvlText w:val="•"/>
      <w:lvlJc w:val="left"/>
      <w:pPr>
        <w:tabs>
          <w:tab w:val="num" w:pos="1440"/>
        </w:tabs>
        <w:ind w:left="1440" w:hanging="360"/>
      </w:pPr>
      <w:rPr>
        <w:rFonts w:ascii="Arial" w:hAnsi="Arial" w:hint="default"/>
      </w:rPr>
    </w:lvl>
    <w:lvl w:ilvl="2" w:tplc="78303BE2" w:tentative="1">
      <w:start w:val="1"/>
      <w:numFmt w:val="bullet"/>
      <w:lvlText w:val="•"/>
      <w:lvlJc w:val="left"/>
      <w:pPr>
        <w:tabs>
          <w:tab w:val="num" w:pos="2160"/>
        </w:tabs>
        <w:ind w:left="2160" w:hanging="360"/>
      </w:pPr>
      <w:rPr>
        <w:rFonts w:ascii="Arial" w:hAnsi="Arial" w:hint="default"/>
      </w:rPr>
    </w:lvl>
    <w:lvl w:ilvl="3" w:tplc="B74ED2D0" w:tentative="1">
      <w:start w:val="1"/>
      <w:numFmt w:val="bullet"/>
      <w:lvlText w:val="•"/>
      <w:lvlJc w:val="left"/>
      <w:pPr>
        <w:tabs>
          <w:tab w:val="num" w:pos="2880"/>
        </w:tabs>
        <w:ind w:left="2880" w:hanging="360"/>
      </w:pPr>
      <w:rPr>
        <w:rFonts w:ascii="Arial" w:hAnsi="Arial" w:hint="default"/>
      </w:rPr>
    </w:lvl>
    <w:lvl w:ilvl="4" w:tplc="03DC60A0" w:tentative="1">
      <w:start w:val="1"/>
      <w:numFmt w:val="bullet"/>
      <w:lvlText w:val="•"/>
      <w:lvlJc w:val="left"/>
      <w:pPr>
        <w:tabs>
          <w:tab w:val="num" w:pos="3600"/>
        </w:tabs>
        <w:ind w:left="3600" w:hanging="360"/>
      </w:pPr>
      <w:rPr>
        <w:rFonts w:ascii="Arial" w:hAnsi="Arial" w:hint="default"/>
      </w:rPr>
    </w:lvl>
    <w:lvl w:ilvl="5" w:tplc="484A9E0A" w:tentative="1">
      <w:start w:val="1"/>
      <w:numFmt w:val="bullet"/>
      <w:lvlText w:val="•"/>
      <w:lvlJc w:val="left"/>
      <w:pPr>
        <w:tabs>
          <w:tab w:val="num" w:pos="4320"/>
        </w:tabs>
        <w:ind w:left="4320" w:hanging="360"/>
      </w:pPr>
      <w:rPr>
        <w:rFonts w:ascii="Arial" w:hAnsi="Arial" w:hint="default"/>
      </w:rPr>
    </w:lvl>
    <w:lvl w:ilvl="6" w:tplc="7E724DE2" w:tentative="1">
      <w:start w:val="1"/>
      <w:numFmt w:val="bullet"/>
      <w:lvlText w:val="•"/>
      <w:lvlJc w:val="left"/>
      <w:pPr>
        <w:tabs>
          <w:tab w:val="num" w:pos="5040"/>
        </w:tabs>
        <w:ind w:left="5040" w:hanging="360"/>
      </w:pPr>
      <w:rPr>
        <w:rFonts w:ascii="Arial" w:hAnsi="Arial" w:hint="default"/>
      </w:rPr>
    </w:lvl>
    <w:lvl w:ilvl="7" w:tplc="2E1E865A" w:tentative="1">
      <w:start w:val="1"/>
      <w:numFmt w:val="bullet"/>
      <w:lvlText w:val="•"/>
      <w:lvlJc w:val="left"/>
      <w:pPr>
        <w:tabs>
          <w:tab w:val="num" w:pos="5760"/>
        </w:tabs>
        <w:ind w:left="5760" w:hanging="360"/>
      </w:pPr>
      <w:rPr>
        <w:rFonts w:ascii="Arial" w:hAnsi="Arial" w:hint="default"/>
      </w:rPr>
    </w:lvl>
    <w:lvl w:ilvl="8" w:tplc="C102253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DD76DFE"/>
    <w:multiLevelType w:val="hybridMultilevel"/>
    <w:tmpl w:val="B97C5B90"/>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52DB53F7"/>
    <w:multiLevelType w:val="hybridMultilevel"/>
    <w:tmpl w:val="BDECB980"/>
    <w:lvl w:ilvl="0" w:tplc="08090001">
      <w:start w:val="1"/>
      <w:numFmt w:val="bullet"/>
      <w:lvlText w:val=""/>
      <w:lvlJc w:val="left"/>
      <w:pPr>
        <w:ind w:left="4471" w:hanging="360"/>
      </w:pPr>
      <w:rPr>
        <w:rFonts w:ascii="Symbol" w:hAnsi="Symbol" w:hint="default"/>
      </w:rPr>
    </w:lvl>
    <w:lvl w:ilvl="1" w:tplc="08090003" w:tentative="1">
      <w:start w:val="1"/>
      <w:numFmt w:val="bullet"/>
      <w:lvlText w:val="o"/>
      <w:lvlJc w:val="left"/>
      <w:pPr>
        <w:ind w:left="5191" w:hanging="360"/>
      </w:pPr>
      <w:rPr>
        <w:rFonts w:ascii="Courier New" w:hAnsi="Courier New" w:cs="Courier New" w:hint="default"/>
      </w:rPr>
    </w:lvl>
    <w:lvl w:ilvl="2" w:tplc="08090005" w:tentative="1">
      <w:start w:val="1"/>
      <w:numFmt w:val="bullet"/>
      <w:lvlText w:val=""/>
      <w:lvlJc w:val="left"/>
      <w:pPr>
        <w:ind w:left="5911" w:hanging="360"/>
      </w:pPr>
      <w:rPr>
        <w:rFonts w:ascii="Wingdings" w:hAnsi="Wingdings" w:hint="default"/>
      </w:rPr>
    </w:lvl>
    <w:lvl w:ilvl="3" w:tplc="08090001" w:tentative="1">
      <w:start w:val="1"/>
      <w:numFmt w:val="bullet"/>
      <w:lvlText w:val=""/>
      <w:lvlJc w:val="left"/>
      <w:pPr>
        <w:ind w:left="6631" w:hanging="360"/>
      </w:pPr>
      <w:rPr>
        <w:rFonts w:ascii="Symbol" w:hAnsi="Symbol" w:hint="default"/>
      </w:rPr>
    </w:lvl>
    <w:lvl w:ilvl="4" w:tplc="08090003" w:tentative="1">
      <w:start w:val="1"/>
      <w:numFmt w:val="bullet"/>
      <w:lvlText w:val="o"/>
      <w:lvlJc w:val="left"/>
      <w:pPr>
        <w:ind w:left="7351" w:hanging="360"/>
      </w:pPr>
      <w:rPr>
        <w:rFonts w:ascii="Courier New" w:hAnsi="Courier New" w:cs="Courier New" w:hint="default"/>
      </w:rPr>
    </w:lvl>
    <w:lvl w:ilvl="5" w:tplc="08090005" w:tentative="1">
      <w:start w:val="1"/>
      <w:numFmt w:val="bullet"/>
      <w:lvlText w:val=""/>
      <w:lvlJc w:val="left"/>
      <w:pPr>
        <w:ind w:left="8071" w:hanging="360"/>
      </w:pPr>
      <w:rPr>
        <w:rFonts w:ascii="Wingdings" w:hAnsi="Wingdings" w:hint="default"/>
      </w:rPr>
    </w:lvl>
    <w:lvl w:ilvl="6" w:tplc="08090001" w:tentative="1">
      <w:start w:val="1"/>
      <w:numFmt w:val="bullet"/>
      <w:lvlText w:val=""/>
      <w:lvlJc w:val="left"/>
      <w:pPr>
        <w:ind w:left="8791" w:hanging="360"/>
      </w:pPr>
      <w:rPr>
        <w:rFonts w:ascii="Symbol" w:hAnsi="Symbol" w:hint="default"/>
      </w:rPr>
    </w:lvl>
    <w:lvl w:ilvl="7" w:tplc="08090003" w:tentative="1">
      <w:start w:val="1"/>
      <w:numFmt w:val="bullet"/>
      <w:lvlText w:val="o"/>
      <w:lvlJc w:val="left"/>
      <w:pPr>
        <w:ind w:left="9511" w:hanging="360"/>
      </w:pPr>
      <w:rPr>
        <w:rFonts w:ascii="Courier New" w:hAnsi="Courier New" w:cs="Courier New" w:hint="default"/>
      </w:rPr>
    </w:lvl>
    <w:lvl w:ilvl="8" w:tplc="08090005" w:tentative="1">
      <w:start w:val="1"/>
      <w:numFmt w:val="bullet"/>
      <w:lvlText w:val=""/>
      <w:lvlJc w:val="left"/>
      <w:pPr>
        <w:ind w:left="10231" w:hanging="360"/>
      </w:pPr>
      <w:rPr>
        <w:rFonts w:ascii="Wingdings" w:hAnsi="Wingdings" w:hint="default"/>
      </w:rPr>
    </w:lvl>
  </w:abstractNum>
  <w:abstractNum w:abstractNumId="32" w15:restartNumberingAfterBreak="0">
    <w:nsid w:val="56681C37"/>
    <w:multiLevelType w:val="hybridMultilevel"/>
    <w:tmpl w:val="36E68E10"/>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A5E167E"/>
    <w:multiLevelType w:val="hybridMultilevel"/>
    <w:tmpl w:val="FF82ADB0"/>
    <w:lvl w:ilvl="0" w:tplc="9C82ACEA">
      <w:numFmt w:val="bullet"/>
      <w:lvlText w:val=""/>
      <w:lvlJc w:val="left"/>
      <w:pPr>
        <w:ind w:left="1080" w:hanging="720"/>
      </w:pPr>
      <w:rPr>
        <w:rFonts w:ascii="Symbol" w:eastAsia="MS Mincho" w:hAnsi="Symbol"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B70106B"/>
    <w:multiLevelType w:val="hybridMultilevel"/>
    <w:tmpl w:val="F282E8D8"/>
    <w:lvl w:ilvl="0" w:tplc="3D44BEC8">
      <w:start w:val="1"/>
      <w:numFmt w:val="bullet"/>
      <w:lvlText w:val="•"/>
      <w:lvlJc w:val="left"/>
      <w:pPr>
        <w:tabs>
          <w:tab w:val="num" w:pos="720"/>
        </w:tabs>
        <w:ind w:left="720" w:hanging="360"/>
      </w:pPr>
      <w:rPr>
        <w:rFonts w:ascii="Arial" w:hAnsi="Arial" w:hint="default"/>
      </w:rPr>
    </w:lvl>
    <w:lvl w:ilvl="1" w:tplc="7ABE57B4" w:tentative="1">
      <w:start w:val="1"/>
      <w:numFmt w:val="bullet"/>
      <w:lvlText w:val="•"/>
      <w:lvlJc w:val="left"/>
      <w:pPr>
        <w:tabs>
          <w:tab w:val="num" w:pos="1440"/>
        </w:tabs>
        <w:ind w:left="1440" w:hanging="360"/>
      </w:pPr>
      <w:rPr>
        <w:rFonts w:ascii="Arial" w:hAnsi="Arial" w:hint="default"/>
      </w:rPr>
    </w:lvl>
    <w:lvl w:ilvl="2" w:tplc="3012ACD8" w:tentative="1">
      <w:start w:val="1"/>
      <w:numFmt w:val="bullet"/>
      <w:lvlText w:val="•"/>
      <w:lvlJc w:val="left"/>
      <w:pPr>
        <w:tabs>
          <w:tab w:val="num" w:pos="2160"/>
        </w:tabs>
        <w:ind w:left="2160" w:hanging="360"/>
      </w:pPr>
      <w:rPr>
        <w:rFonts w:ascii="Arial" w:hAnsi="Arial" w:hint="default"/>
      </w:rPr>
    </w:lvl>
    <w:lvl w:ilvl="3" w:tplc="6CD224B4">
      <w:start w:val="1"/>
      <w:numFmt w:val="bullet"/>
      <w:lvlText w:val="•"/>
      <w:lvlJc w:val="left"/>
      <w:pPr>
        <w:tabs>
          <w:tab w:val="num" w:pos="2880"/>
        </w:tabs>
        <w:ind w:left="2880" w:hanging="360"/>
      </w:pPr>
      <w:rPr>
        <w:rFonts w:ascii="Arial" w:hAnsi="Arial" w:hint="default"/>
      </w:rPr>
    </w:lvl>
    <w:lvl w:ilvl="4" w:tplc="602272B0" w:tentative="1">
      <w:start w:val="1"/>
      <w:numFmt w:val="bullet"/>
      <w:lvlText w:val="•"/>
      <w:lvlJc w:val="left"/>
      <w:pPr>
        <w:tabs>
          <w:tab w:val="num" w:pos="3600"/>
        </w:tabs>
        <w:ind w:left="3600" w:hanging="360"/>
      </w:pPr>
      <w:rPr>
        <w:rFonts w:ascii="Arial" w:hAnsi="Arial" w:hint="default"/>
      </w:rPr>
    </w:lvl>
    <w:lvl w:ilvl="5" w:tplc="493A9BFC" w:tentative="1">
      <w:start w:val="1"/>
      <w:numFmt w:val="bullet"/>
      <w:lvlText w:val="•"/>
      <w:lvlJc w:val="left"/>
      <w:pPr>
        <w:tabs>
          <w:tab w:val="num" w:pos="4320"/>
        </w:tabs>
        <w:ind w:left="4320" w:hanging="360"/>
      </w:pPr>
      <w:rPr>
        <w:rFonts w:ascii="Arial" w:hAnsi="Arial" w:hint="default"/>
      </w:rPr>
    </w:lvl>
    <w:lvl w:ilvl="6" w:tplc="BEA42562" w:tentative="1">
      <w:start w:val="1"/>
      <w:numFmt w:val="bullet"/>
      <w:lvlText w:val="•"/>
      <w:lvlJc w:val="left"/>
      <w:pPr>
        <w:tabs>
          <w:tab w:val="num" w:pos="5040"/>
        </w:tabs>
        <w:ind w:left="5040" w:hanging="360"/>
      </w:pPr>
      <w:rPr>
        <w:rFonts w:ascii="Arial" w:hAnsi="Arial" w:hint="default"/>
      </w:rPr>
    </w:lvl>
    <w:lvl w:ilvl="7" w:tplc="981CEAE6" w:tentative="1">
      <w:start w:val="1"/>
      <w:numFmt w:val="bullet"/>
      <w:lvlText w:val="•"/>
      <w:lvlJc w:val="left"/>
      <w:pPr>
        <w:tabs>
          <w:tab w:val="num" w:pos="5760"/>
        </w:tabs>
        <w:ind w:left="5760" w:hanging="360"/>
      </w:pPr>
      <w:rPr>
        <w:rFonts w:ascii="Arial" w:hAnsi="Arial" w:hint="default"/>
      </w:rPr>
    </w:lvl>
    <w:lvl w:ilvl="8" w:tplc="24BE118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893259D"/>
    <w:multiLevelType w:val="hybridMultilevel"/>
    <w:tmpl w:val="C2023E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6" w15:restartNumberingAfterBreak="0">
    <w:nsid w:val="68B10B1B"/>
    <w:multiLevelType w:val="hybridMultilevel"/>
    <w:tmpl w:val="3610648C"/>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7" w15:restartNumberingAfterBreak="0">
    <w:nsid w:val="6BD0533A"/>
    <w:multiLevelType w:val="hybridMultilevel"/>
    <w:tmpl w:val="4E1617C0"/>
    <w:lvl w:ilvl="0" w:tplc="9078D0DA">
      <w:start w:val="1"/>
      <w:numFmt w:val="bullet"/>
      <w:lvlText w:val="•"/>
      <w:lvlJc w:val="left"/>
      <w:pPr>
        <w:tabs>
          <w:tab w:val="num" w:pos="720"/>
        </w:tabs>
        <w:ind w:left="720" w:hanging="360"/>
      </w:pPr>
      <w:rPr>
        <w:rFonts w:ascii="Arial" w:hAnsi="Arial" w:hint="default"/>
      </w:rPr>
    </w:lvl>
    <w:lvl w:ilvl="1" w:tplc="B3C89266" w:tentative="1">
      <w:start w:val="1"/>
      <w:numFmt w:val="bullet"/>
      <w:lvlText w:val="•"/>
      <w:lvlJc w:val="left"/>
      <w:pPr>
        <w:tabs>
          <w:tab w:val="num" w:pos="1440"/>
        </w:tabs>
        <w:ind w:left="1440" w:hanging="360"/>
      </w:pPr>
      <w:rPr>
        <w:rFonts w:ascii="Arial" w:hAnsi="Arial" w:hint="default"/>
      </w:rPr>
    </w:lvl>
    <w:lvl w:ilvl="2" w:tplc="ED8CA06A" w:tentative="1">
      <w:start w:val="1"/>
      <w:numFmt w:val="bullet"/>
      <w:lvlText w:val="•"/>
      <w:lvlJc w:val="left"/>
      <w:pPr>
        <w:tabs>
          <w:tab w:val="num" w:pos="2160"/>
        </w:tabs>
        <w:ind w:left="2160" w:hanging="360"/>
      </w:pPr>
      <w:rPr>
        <w:rFonts w:ascii="Arial" w:hAnsi="Arial" w:hint="default"/>
      </w:rPr>
    </w:lvl>
    <w:lvl w:ilvl="3" w:tplc="A2562C84">
      <w:start w:val="1"/>
      <w:numFmt w:val="bullet"/>
      <w:lvlText w:val="•"/>
      <w:lvlJc w:val="left"/>
      <w:pPr>
        <w:tabs>
          <w:tab w:val="num" w:pos="2880"/>
        </w:tabs>
        <w:ind w:left="2880" w:hanging="360"/>
      </w:pPr>
      <w:rPr>
        <w:rFonts w:ascii="Arial" w:hAnsi="Arial" w:hint="default"/>
      </w:rPr>
    </w:lvl>
    <w:lvl w:ilvl="4" w:tplc="41907E14" w:tentative="1">
      <w:start w:val="1"/>
      <w:numFmt w:val="bullet"/>
      <w:lvlText w:val="•"/>
      <w:lvlJc w:val="left"/>
      <w:pPr>
        <w:tabs>
          <w:tab w:val="num" w:pos="3600"/>
        </w:tabs>
        <w:ind w:left="3600" w:hanging="360"/>
      </w:pPr>
      <w:rPr>
        <w:rFonts w:ascii="Arial" w:hAnsi="Arial" w:hint="default"/>
      </w:rPr>
    </w:lvl>
    <w:lvl w:ilvl="5" w:tplc="60761974" w:tentative="1">
      <w:start w:val="1"/>
      <w:numFmt w:val="bullet"/>
      <w:lvlText w:val="•"/>
      <w:lvlJc w:val="left"/>
      <w:pPr>
        <w:tabs>
          <w:tab w:val="num" w:pos="4320"/>
        </w:tabs>
        <w:ind w:left="4320" w:hanging="360"/>
      </w:pPr>
      <w:rPr>
        <w:rFonts w:ascii="Arial" w:hAnsi="Arial" w:hint="default"/>
      </w:rPr>
    </w:lvl>
    <w:lvl w:ilvl="6" w:tplc="C6C6564A" w:tentative="1">
      <w:start w:val="1"/>
      <w:numFmt w:val="bullet"/>
      <w:lvlText w:val="•"/>
      <w:lvlJc w:val="left"/>
      <w:pPr>
        <w:tabs>
          <w:tab w:val="num" w:pos="5040"/>
        </w:tabs>
        <w:ind w:left="5040" w:hanging="360"/>
      </w:pPr>
      <w:rPr>
        <w:rFonts w:ascii="Arial" w:hAnsi="Arial" w:hint="default"/>
      </w:rPr>
    </w:lvl>
    <w:lvl w:ilvl="7" w:tplc="C79419E6" w:tentative="1">
      <w:start w:val="1"/>
      <w:numFmt w:val="bullet"/>
      <w:lvlText w:val="•"/>
      <w:lvlJc w:val="left"/>
      <w:pPr>
        <w:tabs>
          <w:tab w:val="num" w:pos="5760"/>
        </w:tabs>
        <w:ind w:left="5760" w:hanging="360"/>
      </w:pPr>
      <w:rPr>
        <w:rFonts w:ascii="Arial" w:hAnsi="Arial" w:hint="default"/>
      </w:rPr>
    </w:lvl>
    <w:lvl w:ilvl="8" w:tplc="0696E44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C850C04"/>
    <w:multiLevelType w:val="hybridMultilevel"/>
    <w:tmpl w:val="357A0682"/>
    <w:lvl w:ilvl="0" w:tplc="24D44FCA">
      <w:start w:val="1"/>
      <w:numFmt w:val="bullet"/>
      <w:lvlText w:val="•"/>
      <w:lvlJc w:val="left"/>
      <w:pPr>
        <w:tabs>
          <w:tab w:val="num" w:pos="720"/>
        </w:tabs>
        <w:ind w:left="720" w:hanging="360"/>
      </w:pPr>
      <w:rPr>
        <w:rFonts w:ascii="Arial" w:hAnsi="Arial" w:hint="default"/>
      </w:rPr>
    </w:lvl>
    <w:lvl w:ilvl="1" w:tplc="514AE0C2" w:tentative="1">
      <w:start w:val="1"/>
      <w:numFmt w:val="bullet"/>
      <w:lvlText w:val="•"/>
      <w:lvlJc w:val="left"/>
      <w:pPr>
        <w:tabs>
          <w:tab w:val="num" w:pos="1440"/>
        </w:tabs>
        <w:ind w:left="1440" w:hanging="360"/>
      </w:pPr>
      <w:rPr>
        <w:rFonts w:ascii="Arial" w:hAnsi="Arial" w:hint="default"/>
      </w:rPr>
    </w:lvl>
    <w:lvl w:ilvl="2" w:tplc="1FFA4168" w:tentative="1">
      <w:start w:val="1"/>
      <w:numFmt w:val="bullet"/>
      <w:lvlText w:val="•"/>
      <w:lvlJc w:val="left"/>
      <w:pPr>
        <w:tabs>
          <w:tab w:val="num" w:pos="2160"/>
        </w:tabs>
        <w:ind w:left="2160" w:hanging="360"/>
      </w:pPr>
      <w:rPr>
        <w:rFonts w:ascii="Arial" w:hAnsi="Arial" w:hint="default"/>
      </w:rPr>
    </w:lvl>
    <w:lvl w:ilvl="3" w:tplc="7D78E8D4">
      <w:start w:val="1"/>
      <w:numFmt w:val="bullet"/>
      <w:lvlText w:val="•"/>
      <w:lvlJc w:val="left"/>
      <w:pPr>
        <w:tabs>
          <w:tab w:val="num" w:pos="2880"/>
        </w:tabs>
        <w:ind w:left="2880" w:hanging="360"/>
      </w:pPr>
      <w:rPr>
        <w:rFonts w:ascii="Arial" w:hAnsi="Arial" w:hint="default"/>
      </w:rPr>
    </w:lvl>
    <w:lvl w:ilvl="4" w:tplc="B4D84EE6" w:tentative="1">
      <w:start w:val="1"/>
      <w:numFmt w:val="bullet"/>
      <w:lvlText w:val="•"/>
      <w:lvlJc w:val="left"/>
      <w:pPr>
        <w:tabs>
          <w:tab w:val="num" w:pos="3600"/>
        </w:tabs>
        <w:ind w:left="3600" w:hanging="360"/>
      </w:pPr>
      <w:rPr>
        <w:rFonts w:ascii="Arial" w:hAnsi="Arial" w:hint="default"/>
      </w:rPr>
    </w:lvl>
    <w:lvl w:ilvl="5" w:tplc="3BD0FECA" w:tentative="1">
      <w:start w:val="1"/>
      <w:numFmt w:val="bullet"/>
      <w:lvlText w:val="•"/>
      <w:lvlJc w:val="left"/>
      <w:pPr>
        <w:tabs>
          <w:tab w:val="num" w:pos="4320"/>
        </w:tabs>
        <w:ind w:left="4320" w:hanging="360"/>
      </w:pPr>
      <w:rPr>
        <w:rFonts w:ascii="Arial" w:hAnsi="Arial" w:hint="default"/>
      </w:rPr>
    </w:lvl>
    <w:lvl w:ilvl="6" w:tplc="2110BA64" w:tentative="1">
      <w:start w:val="1"/>
      <w:numFmt w:val="bullet"/>
      <w:lvlText w:val="•"/>
      <w:lvlJc w:val="left"/>
      <w:pPr>
        <w:tabs>
          <w:tab w:val="num" w:pos="5040"/>
        </w:tabs>
        <w:ind w:left="5040" w:hanging="360"/>
      </w:pPr>
      <w:rPr>
        <w:rFonts w:ascii="Arial" w:hAnsi="Arial" w:hint="default"/>
      </w:rPr>
    </w:lvl>
    <w:lvl w:ilvl="7" w:tplc="0A187CC4" w:tentative="1">
      <w:start w:val="1"/>
      <w:numFmt w:val="bullet"/>
      <w:lvlText w:val="•"/>
      <w:lvlJc w:val="left"/>
      <w:pPr>
        <w:tabs>
          <w:tab w:val="num" w:pos="5760"/>
        </w:tabs>
        <w:ind w:left="5760" w:hanging="360"/>
      </w:pPr>
      <w:rPr>
        <w:rFonts w:ascii="Arial" w:hAnsi="Arial" w:hint="default"/>
      </w:rPr>
    </w:lvl>
    <w:lvl w:ilvl="8" w:tplc="02A6DA1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D523FAB"/>
    <w:multiLevelType w:val="hybridMultilevel"/>
    <w:tmpl w:val="A4BA1664"/>
    <w:lvl w:ilvl="0" w:tplc="61D0D286">
      <w:start w:val="1"/>
      <w:numFmt w:val="bullet"/>
      <w:lvlText w:val="•"/>
      <w:lvlJc w:val="left"/>
      <w:pPr>
        <w:tabs>
          <w:tab w:val="num" w:pos="720"/>
        </w:tabs>
        <w:ind w:left="720" w:hanging="360"/>
      </w:pPr>
      <w:rPr>
        <w:rFonts w:ascii="Arial" w:hAnsi="Arial" w:hint="default"/>
      </w:rPr>
    </w:lvl>
    <w:lvl w:ilvl="1" w:tplc="15A6D88A" w:tentative="1">
      <w:start w:val="1"/>
      <w:numFmt w:val="bullet"/>
      <w:lvlText w:val="•"/>
      <w:lvlJc w:val="left"/>
      <w:pPr>
        <w:tabs>
          <w:tab w:val="num" w:pos="1440"/>
        </w:tabs>
        <w:ind w:left="1440" w:hanging="360"/>
      </w:pPr>
      <w:rPr>
        <w:rFonts w:ascii="Arial" w:hAnsi="Arial" w:hint="default"/>
      </w:rPr>
    </w:lvl>
    <w:lvl w:ilvl="2" w:tplc="D50842C8" w:tentative="1">
      <w:start w:val="1"/>
      <w:numFmt w:val="bullet"/>
      <w:lvlText w:val="•"/>
      <w:lvlJc w:val="left"/>
      <w:pPr>
        <w:tabs>
          <w:tab w:val="num" w:pos="2160"/>
        </w:tabs>
        <w:ind w:left="2160" w:hanging="360"/>
      </w:pPr>
      <w:rPr>
        <w:rFonts w:ascii="Arial" w:hAnsi="Arial" w:hint="default"/>
      </w:rPr>
    </w:lvl>
    <w:lvl w:ilvl="3" w:tplc="40489A2A">
      <w:start w:val="1"/>
      <w:numFmt w:val="bullet"/>
      <w:lvlText w:val="•"/>
      <w:lvlJc w:val="left"/>
      <w:pPr>
        <w:tabs>
          <w:tab w:val="num" w:pos="2880"/>
        </w:tabs>
        <w:ind w:left="2880" w:hanging="360"/>
      </w:pPr>
      <w:rPr>
        <w:rFonts w:ascii="Arial" w:hAnsi="Arial" w:hint="default"/>
      </w:rPr>
    </w:lvl>
    <w:lvl w:ilvl="4" w:tplc="E5EC2726" w:tentative="1">
      <w:start w:val="1"/>
      <w:numFmt w:val="bullet"/>
      <w:lvlText w:val="•"/>
      <w:lvlJc w:val="left"/>
      <w:pPr>
        <w:tabs>
          <w:tab w:val="num" w:pos="3600"/>
        </w:tabs>
        <w:ind w:left="3600" w:hanging="360"/>
      </w:pPr>
      <w:rPr>
        <w:rFonts w:ascii="Arial" w:hAnsi="Arial" w:hint="default"/>
      </w:rPr>
    </w:lvl>
    <w:lvl w:ilvl="5" w:tplc="61FEB5EC" w:tentative="1">
      <w:start w:val="1"/>
      <w:numFmt w:val="bullet"/>
      <w:lvlText w:val="•"/>
      <w:lvlJc w:val="left"/>
      <w:pPr>
        <w:tabs>
          <w:tab w:val="num" w:pos="4320"/>
        </w:tabs>
        <w:ind w:left="4320" w:hanging="360"/>
      </w:pPr>
      <w:rPr>
        <w:rFonts w:ascii="Arial" w:hAnsi="Arial" w:hint="default"/>
      </w:rPr>
    </w:lvl>
    <w:lvl w:ilvl="6" w:tplc="C5FE5DD2" w:tentative="1">
      <w:start w:val="1"/>
      <w:numFmt w:val="bullet"/>
      <w:lvlText w:val="•"/>
      <w:lvlJc w:val="left"/>
      <w:pPr>
        <w:tabs>
          <w:tab w:val="num" w:pos="5040"/>
        </w:tabs>
        <w:ind w:left="5040" w:hanging="360"/>
      </w:pPr>
      <w:rPr>
        <w:rFonts w:ascii="Arial" w:hAnsi="Arial" w:hint="default"/>
      </w:rPr>
    </w:lvl>
    <w:lvl w:ilvl="7" w:tplc="D8FCDC32" w:tentative="1">
      <w:start w:val="1"/>
      <w:numFmt w:val="bullet"/>
      <w:lvlText w:val="•"/>
      <w:lvlJc w:val="left"/>
      <w:pPr>
        <w:tabs>
          <w:tab w:val="num" w:pos="5760"/>
        </w:tabs>
        <w:ind w:left="5760" w:hanging="360"/>
      </w:pPr>
      <w:rPr>
        <w:rFonts w:ascii="Arial" w:hAnsi="Arial" w:hint="default"/>
      </w:rPr>
    </w:lvl>
    <w:lvl w:ilvl="8" w:tplc="2CD8C65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23358F4"/>
    <w:multiLevelType w:val="hybridMultilevel"/>
    <w:tmpl w:val="48566C50"/>
    <w:lvl w:ilvl="0" w:tplc="9CF04188">
      <w:start w:val="1"/>
      <w:numFmt w:val="bullet"/>
      <w:lvlText w:val="o"/>
      <w:lvlJc w:val="left"/>
      <w:pPr>
        <w:ind w:left="644" w:hanging="360"/>
      </w:pPr>
      <w:rPr>
        <w:rFonts w:ascii="Courier New" w:hAnsi="Courier New" w:cs="Courier New" w:hint="default"/>
        <w:sz w:val="18"/>
        <w:szCs w:val="18"/>
      </w:rPr>
    </w:lvl>
    <w:lvl w:ilvl="1" w:tplc="04080003">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41" w15:restartNumberingAfterBreak="0">
    <w:nsid w:val="73374F9E"/>
    <w:multiLevelType w:val="hybridMultilevel"/>
    <w:tmpl w:val="6A2695B2"/>
    <w:lvl w:ilvl="0" w:tplc="63427B66">
      <w:start w:val="1"/>
      <w:numFmt w:val="bullet"/>
      <w:lvlText w:val="•"/>
      <w:lvlJc w:val="left"/>
      <w:pPr>
        <w:tabs>
          <w:tab w:val="num" w:pos="720"/>
        </w:tabs>
        <w:ind w:left="720" w:hanging="360"/>
      </w:pPr>
      <w:rPr>
        <w:rFonts w:ascii="Arial" w:hAnsi="Arial" w:hint="default"/>
      </w:rPr>
    </w:lvl>
    <w:lvl w:ilvl="1" w:tplc="5E823D58" w:tentative="1">
      <w:start w:val="1"/>
      <w:numFmt w:val="bullet"/>
      <w:lvlText w:val="•"/>
      <w:lvlJc w:val="left"/>
      <w:pPr>
        <w:tabs>
          <w:tab w:val="num" w:pos="1440"/>
        </w:tabs>
        <w:ind w:left="1440" w:hanging="360"/>
      </w:pPr>
      <w:rPr>
        <w:rFonts w:ascii="Arial" w:hAnsi="Arial" w:hint="default"/>
      </w:rPr>
    </w:lvl>
    <w:lvl w:ilvl="2" w:tplc="E5FA3CBE" w:tentative="1">
      <w:start w:val="1"/>
      <w:numFmt w:val="bullet"/>
      <w:lvlText w:val="•"/>
      <w:lvlJc w:val="left"/>
      <w:pPr>
        <w:tabs>
          <w:tab w:val="num" w:pos="2160"/>
        </w:tabs>
        <w:ind w:left="2160" w:hanging="360"/>
      </w:pPr>
      <w:rPr>
        <w:rFonts w:ascii="Arial" w:hAnsi="Arial" w:hint="default"/>
      </w:rPr>
    </w:lvl>
    <w:lvl w:ilvl="3" w:tplc="8EE8E7A8">
      <w:start w:val="1"/>
      <w:numFmt w:val="bullet"/>
      <w:lvlText w:val="•"/>
      <w:lvlJc w:val="left"/>
      <w:pPr>
        <w:tabs>
          <w:tab w:val="num" w:pos="2880"/>
        </w:tabs>
        <w:ind w:left="2880" w:hanging="360"/>
      </w:pPr>
      <w:rPr>
        <w:rFonts w:ascii="Arial" w:hAnsi="Arial" w:hint="default"/>
      </w:rPr>
    </w:lvl>
    <w:lvl w:ilvl="4" w:tplc="956E22DE" w:tentative="1">
      <w:start w:val="1"/>
      <w:numFmt w:val="bullet"/>
      <w:lvlText w:val="•"/>
      <w:lvlJc w:val="left"/>
      <w:pPr>
        <w:tabs>
          <w:tab w:val="num" w:pos="3600"/>
        </w:tabs>
        <w:ind w:left="3600" w:hanging="360"/>
      </w:pPr>
      <w:rPr>
        <w:rFonts w:ascii="Arial" w:hAnsi="Arial" w:hint="default"/>
      </w:rPr>
    </w:lvl>
    <w:lvl w:ilvl="5" w:tplc="0570E114" w:tentative="1">
      <w:start w:val="1"/>
      <w:numFmt w:val="bullet"/>
      <w:lvlText w:val="•"/>
      <w:lvlJc w:val="left"/>
      <w:pPr>
        <w:tabs>
          <w:tab w:val="num" w:pos="4320"/>
        </w:tabs>
        <w:ind w:left="4320" w:hanging="360"/>
      </w:pPr>
      <w:rPr>
        <w:rFonts w:ascii="Arial" w:hAnsi="Arial" w:hint="default"/>
      </w:rPr>
    </w:lvl>
    <w:lvl w:ilvl="6" w:tplc="4E207806" w:tentative="1">
      <w:start w:val="1"/>
      <w:numFmt w:val="bullet"/>
      <w:lvlText w:val="•"/>
      <w:lvlJc w:val="left"/>
      <w:pPr>
        <w:tabs>
          <w:tab w:val="num" w:pos="5040"/>
        </w:tabs>
        <w:ind w:left="5040" w:hanging="360"/>
      </w:pPr>
      <w:rPr>
        <w:rFonts w:ascii="Arial" w:hAnsi="Arial" w:hint="default"/>
      </w:rPr>
    </w:lvl>
    <w:lvl w:ilvl="7" w:tplc="16F8A190" w:tentative="1">
      <w:start w:val="1"/>
      <w:numFmt w:val="bullet"/>
      <w:lvlText w:val="•"/>
      <w:lvlJc w:val="left"/>
      <w:pPr>
        <w:tabs>
          <w:tab w:val="num" w:pos="5760"/>
        </w:tabs>
        <w:ind w:left="5760" w:hanging="360"/>
      </w:pPr>
      <w:rPr>
        <w:rFonts w:ascii="Arial" w:hAnsi="Arial" w:hint="default"/>
      </w:rPr>
    </w:lvl>
    <w:lvl w:ilvl="8" w:tplc="7D14D01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6101787"/>
    <w:multiLevelType w:val="hybridMultilevel"/>
    <w:tmpl w:val="BB7295F2"/>
    <w:lvl w:ilvl="0" w:tplc="EC4CA908">
      <w:start w:val="1"/>
      <w:numFmt w:val="bullet"/>
      <w:lvlText w:val="•"/>
      <w:lvlJc w:val="left"/>
      <w:pPr>
        <w:tabs>
          <w:tab w:val="num" w:pos="720"/>
        </w:tabs>
        <w:ind w:left="720" w:hanging="360"/>
      </w:pPr>
      <w:rPr>
        <w:rFonts w:ascii="Arial" w:hAnsi="Arial" w:hint="default"/>
      </w:rPr>
    </w:lvl>
    <w:lvl w:ilvl="1" w:tplc="2C9CE8AA" w:tentative="1">
      <w:start w:val="1"/>
      <w:numFmt w:val="bullet"/>
      <w:lvlText w:val="•"/>
      <w:lvlJc w:val="left"/>
      <w:pPr>
        <w:tabs>
          <w:tab w:val="num" w:pos="1440"/>
        </w:tabs>
        <w:ind w:left="1440" w:hanging="360"/>
      </w:pPr>
      <w:rPr>
        <w:rFonts w:ascii="Arial" w:hAnsi="Arial" w:hint="default"/>
      </w:rPr>
    </w:lvl>
    <w:lvl w:ilvl="2" w:tplc="4C805FD2" w:tentative="1">
      <w:start w:val="1"/>
      <w:numFmt w:val="bullet"/>
      <w:lvlText w:val="•"/>
      <w:lvlJc w:val="left"/>
      <w:pPr>
        <w:tabs>
          <w:tab w:val="num" w:pos="2160"/>
        </w:tabs>
        <w:ind w:left="2160" w:hanging="360"/>
      </w:pPr>
      <w:rPr>
        <w:rFonts w:ascii="Arial" w:hAnsi="Arial" w:hint="default"/>
      </w:rPr>
    </w:lvl>
    <w:lvl w:ilvl="3" w:tplc="943061F6">
      <w:start w:val="1"/>
      <w:numFmt w:val="bullet"/>
      <w:lvlText w:val="•"/>
      <w:lvlJc w:val="left"/>
      <w:pPr>
        <w:tabs>
          <w:tab w:val="num" w:pos="2880"/>
        </w:tabs>
        <w:ind w:left="2880" w:hanging="360"/>
      </w:pPr>
      <w:rPr>
        <w:rFonts w:ascii="Arial" w:hAnsi="Arial" w:hint="default"/>
      </w:rPr>
    </w:lvl>
    <w:lvl w:ilvl="4" w:tplc="8FE4BF88" w:tentative="1">
      <w:start w:val="1"/>
      <w:numFmt w:val="bullet"/>
      <w:lvlText w:val="•"/>
      <w:lvlJc w:val="left"/>
      <w:pPr>
        <w:tabs>
          <w:tab w:val="num" w:pos="3600"/>
        </w:tabs>
        <w:ind w:left="3600" w:hanging="360"/>
      </w:pPr>
      <w:rPr>
        <w:rFonts w:ascii="Arial" w:hAnsi="Arial" w:hint="default"/>
      </w:rPr>
    </w:lvl>
    <w:lvl w:ilvl="5" w:tplc="7BF267BC" w:tentative="1">
      <w:start w:val="1"/>
      <w:numFmt w:val="bullet"/>
      <w:lvlText w:val="•"/>
      <w:lvlJc w:val="left"/>
      <w:pPr>
        <w:tabs>
          <w:tab w:val="num" w:pos="4320"/>
        </w:tabs>
        <w:ind w:left="4320" w:hanging="360"/>
      </w:pPr>
      <w:rPr>
        <w:rFonts w:ascii="Arial" w:hAnsi="Arial" w:hint="default"/>
      </w:rPr>
    </w:lvl>
    <w:lvl w:ilvl="6" w:tplc="09BCF16E" w:tentative="1">
      <w:start w:val="1"/>
      <w:numFmt w:val="bullet"/>
      <w:lvlText w:val="•"/>
      <w:lvlJc w:val="left"/>
      <w:pPr>
        <w:tabs>
          <w:tab w:val="num" w:pos="5040"/>
        </w:tabs>
        <w:ind w:left="5040" w:hanging="360"/>
      </w:pPr>
      <w:rPr>
        <w:rFonts w:ascii="Arial" w:hAnsi="Arial" w:hint="default"/>
      </w:rPr>
    </w:lvl>
    <w:lvl w:ilvl="7" w:tplc="C24A0A6E" w:tentative="1">
      <w:start w:val="1"/>
      <w:numFmt w:val="bullet"/>
      <w:lvlText w:val="•"/>
      <w:lvlJc w:val="left"/>
      <w:pPr>
        <w:tabs>
          <w:tab w:val="num" w:pos="5760"/>
        </w:tabs>
        <w:ind w:left="5760" w:hanging="360"/>
      </w:pPr>
      <w:rPr>
        <w:rFonts w:ascii="Arial" w:hAnsi="Arial" w:hint="default"/>
      </w:rPr>
    </w:lvl>
    <w:lvl w:ilvl="8" w:tplc="9B324F9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C9953F0"/>
    <w:multiLevelType w:val="hybridMultilevel"/>
    <w:tmpl w:val="ADA089E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2"/>
  </w:num>
  <w:num w:numId="2">
    <w:abstractNumId w:val="23"/>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6"/>
  </w:num>
  <w:num w:numId="7">
    <w:abstractNumId w:val="40"/>
  </w:num>
  <w:num w:numId="8">
    <w:abstractNumId w:val="8"/>
  </w:num>
  <w:num w:numId="9">
    <w:abstractNumId w:val="4"/>
  </w:num>
  <w:num w:numId="10">
    <w:abstractNumId w:val="2"/>
  </w:num>
  <w:num w:numId="11">
    <w:abstractNumId w:val="38"/>
  </w:num>
  <w:num w:numId="12">
    <w:abstractNumId w:val="3"/>
  </w:num>
  <w:num w:numId="13">
    <w:abstractNumId w:val="6"/>
  </w:num>
  <w:num w:numId="14">
    <w:abstractNumId w:val="20"/>
  </w:num>
  <w:num w:numId="15">
    <w:abstractNumId w:val="37"/>
  </w:num>
  <w:num w:numId="16">
    <w:abstractNumId w:val="32"/>
  </w:num>
  <w:num w:numId="17">
    <w:abstractNumId w:val="11"/>
  </w:num>
  <w:num w:numId="18">
    <w:abstractNumId w:val="29"/>
  </w:num>
  <w:num w:numId="19">
    <w:abstractNumId w:val="17"/>
  </w:num>
  <w:num w:numId="20">
    <w:abstractNumId w:val="27"/>
  </w:num>
  <w:num w:numId="21">
    <w:abstractNumId w:val="1"/>
  </w:num>
  <w:num w:numId="22">
    <w:abstractNumId w:val="9"/>
  </w:num>
  <w:num w:numId="23">
    <w:abstractNumId w:val="39"/>
  </w:num>
  <w:num w:numId="24">
    <w:abstractNumId w:val="41"/>
  </w:num>
  <w:num w:numId="25">
    <w:abstractNumId w:val="14"/>
  </w:num>
  <w:num w:numId="26">
    <w:abstractNumId w:val="34"/>
  </w:num>
  <w:num w:numId="27">
    <w:abstractNumId w:val="13"/>
  </w:num>
  <w:num w:numId="28">
    <w:abstractNumId w:val="42"/>
  </w:num>
  <w:num w:numId="29">
    <w:abstractNumId w:val="19"/>
  </w:num>
  <w:num w:numId="30">
    <w:abstractNumId w:val="18"/>
  </w:num>
  <w:num w:numId="31">
    <w:abstractNumId w:val="15"/>
  </w:num>
  <w:num w:numId="32">
    <w:abstractNumId w:val="21"/>
  </w:num>
  <w:num w:numId="33">
    <w:abstractNumId w:val="12"/>
  </w:num>
  <w:num w:numId="34">
    <w:abstractNumId w:val="43"/>
  </w:num>
  <w:num w:numId="35">
    <w:abstractNumId w:val="26"/>
  </w:num>
  <w:num w:numId="36">
    <w:abstractNumId w:val="36"/>
  </w:num>
  <w:num w:numId="37">
    <w:abstractNumId w:val="28"/>
  </w:num>
  <w:num w:numId="38">
    <w:abstractNumId w:val="30"/>
  </w:num>
  <w:num w:numId="39">
    <w:abstractNumId w:val="35"/>
  </w:num>
  <w:num w:numId="40">
    <w:abstractNumId w:val="0"/>
  </w:num>
  <w:num w:numId="41">
    <w:abstractNumId w:val="5"/>
  </w:num>
  <w:num w:numId="42">
    <w:abstractNumId w:val="33"/>
  </w:num>
  <w:num w:numId="43">
    <w:abstractNumId w:val="7"/>
  </w:num>
  <w:num w:numId="4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3"/>
  <w:drawingGridVerticalSpacing w:val="11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4F6"/>
    <w:rsid w:val="00000E66"/>
    <w:rsid w:val="000013EC"/>
    <w:rsid w:val="00001418"/>
    <w:rsid w:val="000017C8"/>
    <w:rsid w:val="00002C2B"/>
    <w:rsid w:val="00003109"/>
    <w:rsid w:val="0000340D"/>
    <w:rsid w:val="00003724"/>
    <w:rsid w:val="00003C48"/>
    <w:rsid w:val="0000442E"/>
    <w:rsid w:val="00004B00"/>
    <w:rsid w:val="00005D82"/>
    <w:rsid w:val="00005FD6"/>
    <w:rsid w:val="000069C4"/>
    <w:rsid w:val="00006BDB"/>
    <w:rsid w:val="00006D0C"/>
    <w:rsid w:val="00006DA3"/>
    <w:rsid w:val="00006FC1"/>
    <w:rsid w:val="0000754F"/>
    <w:rsid w:val="00007DF2"/>
    <w:rsid w:val="0001004C"/>
    <w:rsid w:val="000105E7"/>
    <w:rsid w:val="00010CD7"/>
    <w:rsid w:val="00011401"/>
    <w:rsid w:val="0001201F"/>
    <w:rsid w:val="000125F9"/>
    <w:rsid w:val="00012AA7"/>
    <w:rsid w:val="00013060"/>
    <w:rsid w:val="000131DB"/>
    <w:rsid w:val="000139A7"/>
    <w:rsid w:val="00013A11"/>
    <w:rsid w:val="00013AB3"/>
    <w:rsid w:val="00014247"/>
    <w:rsid w:val="000146F8"/>
    <w:rsid w:val="00014BDE"/>
    <w:rsid w:val="00015FB6"/>
    <w:rsid w:val="0001656F"/>
    <w:rsid w:val="000178A9"/>
    <w:rsid w:val="00017B65"/>
    <w:rsid w:val="000201BD"/>
    <w:rsid w:val="00020239"/>
    <w:rsid w:val="0002099F"/>
    <w:rsid w:val="00020AC9"/>
    <w:rsid w:val="00020B68"/>
    <w:rsid w:val="00021010"/>
    <w:rsid w:val="000214B8"/>
    <w:rsid w:val="00021DE8"/>
    <w:rsid w:val="00023268"/>
    <w:rsid w:val="000237DA"/>
    <w:rsid w:val="00023894"/>
    <w:rsid w:val="00023D78"/>
    <w:rsid w:val="00023F4D"/>
    <w:rsid w:val="0002401C"/>
    <w:rsid w:val="00024327"/>
    <w:rsid w:val="00025154"/>
    <w:rsid w:val="000254A9"/>
    <w:rsid w:val="000255BD"/>
    <w:rsid w:val="00026130"/>
    <w:rsid w:val="0002621F"/>
    <w:rsid w:val="00026340"/>
    <w:rsid w:val="00026516"/>
    <w:rsid w:val="000266C9"/>
    <w:rsid w:val="00026C57"/>
    <w:rsid w:val="0002778C"/>
    <w:rsid w:val="000300C2"/>
    <w:rsid w:val="00030770"/>
    <w:rsid w:val="00030800"/>
    <w:rsid w:val="000308D5"/>
    <w:rsid w:val="00030BCE"/>
    <w:rsid w:val="00031EB4"/>
    <w:rsid w:val="00032164"/>
    <w:rsid w:val="000328E9"/>
    <w:rsid w:val="00032B02"/>
    <w:rsid w:val="00032D33"/>
    <w:rsid w:val="00032D78"/>
    <w:rsid w:val="00033225"/>
    <w:rsid w:val="000339DE"/>
    <w:rsid w:val="000347D0"/>
    <w:rsid w:val="00034929"/>
    <w:rsid w:val="00034B3E"/>
    <w:rsid w:val="00034E14"/>
    <w:rsid w:val="000353F5"/>
    <w:rsid w:val="00036104"/>
    <w:rsid w:val="00036B80"/>
    <w:rsid w:val="00040144"/>
    <w:rsid w:val="0004078E"/>
    <w:rsid w:val="00040A06"/>
    <w:rsid w:val="00040E71"/>
    <w:rsid w:val="00041267"/>
    <w:rsid w:val="000413D9"/>
    <w:rsid w:val="00041948"/>
    <w:rsid w:val="00042473"/>
    <w:rsid w:val="00042696"/>
    <w:rsid w:val="00042845"/>
    <w:rsid w:val="00043108"/>
    <w:rsid w:val="000446CC"/>
    <w:rsid w:val="00044763"/>
    <w:rsid w:val="000448E1"/>
    <w:rsid w:val="00045A5C"/>
    <w:rsid w:val="00045E96"/>
    <w:rsid w:val="00046A12"/>
    <w:rsid w:val="000471C0"/>
    <w:rsid w:val="000471C2"/>
    <w:rsid w:val="0004729A"/>
    <w:rsid w:val="00050585"/>
    <w:rsid w:val="00050775"/>
    <w:rsid w:val="00050DBF"/>
    <w:rsid w:val="000516E2"/>
    <w:rsid w:val="00052445"/>
    <w:rsid w:val="00052521"/>
    <w:rsid w:val="00053193"/>
    <w:rsid w:val="000540A1"/>
    <w:rsid w:val="000542A6"/>
    <w:rsid w:val="00054679"/>
    <w:rsid w:val="00054FA3"/>
    <w:rsid w:val="00055D4C"/>
    <w:rsid w:val="00056F22"/>
    <w:rsid w:val="000570C0"/>
    <w:rsid w:val="00057482"/>
    <w:rsid w:val="0005770F"/>
    <w:rsid w:val="00057A38"/>
    <w:rsid w:val="00057EB0"/>
    <w:rsid w:val="000609CE"/>
    <w:rsid w:val="00060B18"/>
    <w:rsid w:val="0006126E"/>
    <w:rsid w:val="00061558"/>
    <w:rsid w:val="00061D9F"/>
    <w:rsid w:val="00061DA5"/>
    <w:rsid w:val="00061FE2"/>
    <w:rsid w:val="000622D9"/>
    <w:rsid w:val="000635FB"/>
    <w:rsid w:val="00063A93"/>
    <w:rsid w:val="00063CDE"/>
    <w:rsid w:val="00064579"/>
    <w:rsid w:val="000646CD"/>
    <w:rsid w:val="000650FB"/>
    <w:rsid w:val="0006557D"/>
    <w:rsid w:val="000655A1"/>
    <w:rsid w:val="00065C94"/>
    <w:rsid w:val="0006615D"/>
    <w:rsid w:val="000668AD"/>
    <w:rsid w:val="00066A02"/>
    <w:rsid w:val="00066AAA"/>
    <w:rsid w:val="000671D7"/>
    <w:rsid w:val="0006750A"/>
    <w:rsid w:val="00070233"/>
    <w:rsid w:val="000702FF"/>
    <w:rsid w:val="0007063A"/>
    <w:rsid w:val="00070846"/>
    <w:rsid w:val="000709B8"/>
    <w:rsid w:val="00071032"/>
    <w:rsid w:val="00071183"/>
    <w:rsid w:val="0007157F"/>
    <w:rsid w:val="00071C69"/>
    <w:rsid w:val="00072CE3"/>
    <w:rsid w:val="00072D2D"/>
    <w:rsid w:val="00073621"/>
    <w:rsid w:val="00073707"/>
    <w:rsid w:val="000739A3"/>
    <w:rsid w:val="00074812"/>
    <w:rsid w:val="00074843"/>
    <w:rsid w:val="00074C0A"/>
    <w:rsid w:val="00074C2C"/>
    <w:rsid w:val="00075716"/>
    <w:rsid w:val="0007577C"/>
    <w:rsid w:val="00075BF9"/>
    <w:rsid w:val="000762BF"/>
    <w:rsid w:val="000765E8"/>
    <w:rsid w:val="00076A0A"/>
    <w:rsid w:val="000776A1"/>
    <w:rsid w:val="00077EB8"/>
    <w:rsid w:val="00077EE6"/>
    <w:rsid w:val="00080528"/>
    <w:rsid w:val="000815AD"/>
    <w:rsid w:val="00081ED2"/>
    <w:rsid w:val="00082F2B"/>
    <w:rsid w:val="00083041"/>
    <w:rsid w:val="000858F2"/>
    <w:rsid w:val="00085E3F"/>
    <w:rsid w:val="0008648D"/>
    <w:rsid w:val="00087115"/>
    <w:rsid w:val="00090994"/>
    <w:rsid w:val="00090AC8"/>
    <w:rsid w:val="00090F57"/>
    <w:rsid w:val="0009104F"/>
    <w:rsid w:val="000915A1"/>
    <w:rsid w:val="0009183E"/>
    <w:rsid w:val="000920F5"/>
    <w:rsid w:val="000925E5"/>
    <w:rsid w:val="00092D39"/>
    <w:rsid w:val="00092DC3"/>
    <w:rsid w:val="000930D0"/>
    <w:rsid w:val="000933EA"/>
    <w:rsid w:val="0009358B"/>
    <w:rsid w:val="0009509C"/>
    <w:rsid w:val="00096A48"/>
    <w:rsid w:val="00096B18"/>
    <w:rsid w:val="00097139"/>
    <w:rsid w:val="000972C7"/>
    <w:rsid w:val="000A030A"/>
    <w:rsid w:val="000A05D1"/>
    <w:rsid w:val="000A07AF"/>
    <w:rsid w:val="000A0DA1"/>
    <w:rsid w:val="000A0F8A"/>
    <w:rsid w:val="000A146A"/>
    <w:rsid w:val="000A1D4E"/>
    <w:rsid w:val="000A2880"/>
    <w:rsid w:val="000A2E3C"/>
    <w:rsid w:val="000A2FBE"/>
    <w:rsid w:val="000A3FF8"/>
    <w:rsid w:val="000A41E9"/>
    <w:rsid w:val="000A5093"/>
    <w:rsid w:val="000A67F1"/>
    <w:rsid w:val="000A7332"/>
    <w:rsid w:val="000A7D9C"/>
    <w:rsid w:val="000A7DCD"/>
    <w:rsid w:val="000B01A9"/>
    <w:rsid w:val="000B029F"/>
    <w:rsid w:val="000B02FC"/>
    <w:rsid w:val="000B07FB"/>
    <w:rsid w:val="000B0C18"/>
    <w:rsid w:val="000B137E"/>
    <w:rsid w:val="000B176A"/>
    <w:rsid w:val="000B1778"/>
    <w:rsid w:val="000B17C3"/>
    <w:rsid w:val="000B1CEA"/>
    <w:rsid w:val="000B23DD"/>
    <w:rsid w:val="000B24C9"/>
    <w:rsid w:val="000B2982"/>
    <w:rsid w:val="000B2C98"/>
    <w:rsid w:val="000B30E4"/>
    <w:rsid w:val="000B318B"/>
    <w:rsid w:val="000B33C5"/>
    <w:rsid w:val="000B3DDF"/>
    <w:rsid w:val="000B3F9C"/>
    <w:rsid w:val="000B47FB"/>
    <w:rsid w:val="000B483E"/>
    <w:rsid w:val="000B53B4"/>
    <w:rsid w:val="000B56AC"/>
    <w:rsid w:val="000B6DAB"/>
    <w:rsid w:val="000B6DD1"/>
    <w:rsid w:val="000B7723"/>
    <w:rsid w:val="000B77F3"/>
    <w:rsid w:val="000B78DA"/>
    <w:rsid w:val="000B79C0"/>
    <w:rsid w:val="000B7A26"/>
    <w:rsid w:val="000B7D57"/>
    <w:rsid w:val="000C0032"/>
    <w:rsid w:val="000C0191"/>
    <w:rsid w:val="000C0A43"/>
    <w:rsid w:val="000C124A"/>
    <w:rsid w:val="000C14F0"/>
    <w:rsid w:val="000C16CA"/>
    <w:rsid w:val="000C1A73"/>
    <w:rsid w:val="000C2218"/>
    <w:rsid w:val="000C2BE0"/>
    <w:rsid w:val="000C2CCA"/>
    <w:rsid w:val="000C3AB6"/>
    <w:rsid w:val="000C3C89"/>
    <w:rsid w:val="000C3F5A"/>
    <w:rsid w:val="000C6C3D"/>
    <w:rsid w:val="000C6F0D"/>
    <w:rsid w:val="000C6F70"/>
    <w:rsid w:val="000C726F"/>
    <w:rsid w:val="000C79CB"/>
    <w:rsid w:val="000C7A73"/>
    <w:rsid w:val="000D0072"/>
    <w:rsid w:val="000D09DA"/>
    <w:rsid w:val="000D0A49"/>
    <w:rsid w:val="000D2509"/>
    <w:rsid w:val="000D2BB3"/>
    <w:rsid w:val="000D2D20"/>
    <w:rsid w:val="000D315A"/>
    <w:rsid w:val="000D4DBA"/>
    <w:rsid w:val="000D4E54"/>
    <w:rsid w:val="000D5838"/>
    <w:rsid w:val="000D58C3"/>
    <w:rsid w:val="000D598C"/>
    <w:rsid w:val="000D59EB"/>
    <w:rsid w:val="000D5A13"/>
    <w:rsid w:val="000D5C5F"/>
    <w:rsid w:val="000D6A50"/>
    <w:rsid w:val="000D6D8E"/>
    <w:rsid w:val="000D779E"/>
    <w:rsid w:val="000D7F62"/>
    <w:rsid w:val="000E0770"/>
    <w:rsid w:val="000E1C4E"/>
    <w:rsid w:val="000E1D28"/>
    <w:rsid w:val="000E1EA4"/>
    <w:rsid w:val="000E2036"/>
    <w:rsid w:val="000E24A7"/>
    <w:rsid w:val="000E2702"/>
    <w:rsid w:val="000E2708"/>
    <w:rsid w:val="000E275D"/>
    <w:rsid w:val="000E32BA"/>
    <w:rsid w:val="000E3722"/>
    <w:rsid w:val="000E4CED"/>
    <w:rsid w:val="000E5272"/>
    <w:rsid w:val="000E5377"/>
    <w:rsid w:val="000E5AC7"/>
    <w:rsid w:val="000E5CA5"/>
    <w:rsid w:val="000E651C"/>
    <w:rsid w:val="000E6714"/>
    <w:rsid w:val="000E75D4"/>
    <w:rsid w:val="000E77FB"/>
    <w:rsid w:val="000E78A8"/>
    <w:rsid w:val="000F0C83"/>
    <w:rsid w:val="000F1FBE"/>
    <w:rsid w:val="000F2349"/>
    <w:rsid w:val="000F26B0"/>
    <w:rsid w:val="000F2C5D"/>
    <w:rsid w:val="000F39DE"/>
    <w:rsid w:val="000F4782"/>
    <w:rsid w:val="000F4D03"/>
    <w:rsid w:val="000F4DBC"/>
    <w:rsid w:val="000F5C24"/>
    <w:rsid w:val="000F5E8A"/>
    <w:rsid w:val="000F6118"/>
    <w:rsid w:val="000F6B47"/>
    <w:rsid w:val="000F6D3C"/>
    <w:rsid w:val="000F6EA1"/>
    <w:rsid w:val="000F701B"/>
    <w:rsid w:val="000F7D3C"/>
    <w:rsid w:val="00100707"/>
    <w:rsid w:val="00100FB7"/>
    <w:rsid w:val="00101648"/>
    <w:rsid w:val="0010213F"/>
    <w:rsid w:val="0010220C"/>
    <w:rsid w:val="00102505"/>
    <w:rsid w:val="001028DC"/>
    <w:rsid w:val="00103657"/>
    <w:rsid w:val="00103808"/>
    <w:rsid w:val="00103AAE"/>
    <w:rsid w:val="00104A3C"/>
    <w:rsid w:val="00104F1A"/>
    <w:rsid w:val="00104FC2"/>
    <w:rsid w:val="0010579E"/>
    <w:rsid w:val="00105C20"/>
    <w:rsid w:val="00105CBA"/>
    <w:rsid w:val="001073E9"/>
    <w:rsid w:val="00107B3F"/>
    <w:rsid w:val="0011054B"/>
    <w:rsid w:val="001113DC"/>
    <w:rsid w:val="00111DAF"/>
    <w:rsid w:val="00111F47"/>
    <w:rsid w:val="0011268E"/>
    <w:rsid w:val="00112BE9"/>
    <w:rsid w:val="00113BE9"/>
    <w:rsid w:val="00113FB6"/>
    <w:rsid w:val="00114663"/>
    <w:rsid w:val="00114711"/>
    <w:rsid w:val="00114775"/>
    <w:rsid w:val="00114E10"/>
    <w:rsid w:val="00114E52"/>
    <w:rsid w:val="0011501A"/>
    <w:rsid w:val="00115189"/>
    <w:rsid w:val="001161A3"/>
    <w:rsid w:val="00116709"/>
    <w:rsid w:val="001168D3"/>
    <w:rsid w:val="0011691E"/>
    <w:rsid w:val="00116995"/>
    <w:rsid w:val="00117054"/>
    <w:rsid w:val="0011710C"/>
    <w:rsid w:val="001172A0"/>
    <w:rsid w:val="00117BC2"/>
    <w:rsid w:val="0012024E"/>
    <w:rsid w:val="00120A78"/>
    <w:rsid w:val="00120B55"/>
    <w:rsid w:val="0012114E"/>
    <w:rsid w:val="001223E7"/>
    <w:rsid w:val="001224E9"/>
    <w:rsid w:val="00122EE2"/>
    <w:rsid w:val="001233CA"/>
    <w:rsid w:val="00124765"/>
    <w:rsid w:val="00124D4A"/>
    <w:rsid w:val="00125555"/>
    <w:rsid w:val="00125A73"/>
    <w:rsid w:val="00125B19"/>
    <w:rsid w:val="00125DF9"/>
    <w:rsid w:val="00126317"/>
    <w:rsid w:val="001267D7"/>
    <w:rsid w:val="00126949"/>
    <w:rsid w:val="00126FE2"/>
    <w:rsid w:val="00127029"/>
    <w:rsid w:val="0012791A"/>
    <w:rsid w:val="00127A64"/>
    <w:rsid w:val="00127C1A"/>
    <w:rsid w:val="00130976"/>
    <w:rsid w:val="00130BCC"/>
    <w:rsid w:val="001316D7"/>
    <w:rsid w:val="00131F5C"/>
    <w:rsid w:val="001325D4"/>
    <w:rsid w:val="00132FA3"/>
    <w:rsid w:val="00133E39"/>
    <w:rsid w:val="001340BE"/>
    <w:rsid w:val="00134916"/>
    <w:rsid w:val="00134B1E"/>
    <w:rsid w:val="0013547C"/>
    <w:rsid w:val="0013594E"/>
    <w:rsid w:val="00135AA2"/>
    <w:rsid w:val="001361FF"/>
    <w:rsid w:val="00136684"/>
    <w:rsid w:val="001366A3"/>
    <w:rsid w:val="00136817"/>
    <w:rsid w:val="001369A2"/>
    <w:rsid w:val="00136DF1"/>
    <w:rsid w:val="001374D6"/>
    <w:rsid w:val="0014069C"/>
    <w:rsid w:val="001415A9"/>
    <w:rsid w:val="00141CEE"/>
    <w:rsid w:val="001421FC"/>
    <w:rsid w:val="00142510"/>
    <w:rsid w:val="00142637"/>
    <w:rsid w:val="00143074"/>
    <w:rsid w:val="001441C8"/>
    <w:rsid w:val="00144E25"/>
    <w:rsid w:val="00144F12"/>
    <w:rsid w:val="00144F4D"/>
    <w:rsid w:val="00145611"/>
    <w:rsid w:val="0014618E"/>
    <w:rsid w:val="001479E1"/>
    <w:rsid w:val="00151196"/>
    <w:rsid w:val="001513C7"/>
    <w:rsid w:val="00151B1E"/>
    <w:rsid w:val="00151FF7"/>
    <w:rsid w:val="00152099"/>
    <w:rsid w:val="0015226A"/>
    <w:rsid w:val="001522C3"/>
    <w:rsid w:val="00152FA6"/>
    <w:rsid w:val="0015351A"/>
    <w:rsid w:val="001541D6"/>
    <w:rsid w:val="00154C57"/>
    <w:rsid w:val="00155AA1"/>
    <w:rsid w:val="001565D8"/>
    <w:rsid w:val="0015732E"/>
    <w:rsid w:val="00157E3A"/>
    <w:rsid w:val="001602F0"/>
    <w:rsid w:val="00160B0B"/>
    <w:rsid w:val="00160B27"/>
    <w:rsid w:val="00160EB8"/>
    <w:rsid w:val="00161617"/>
    <w:rsid w:val="00161923"/>
    <w:rsid w:val="00161F9D"/>
    <w:rsid w:val="00162888"/>
    <w:rsid w:val="00162BDD"/>
    <w:rsid w:val="0016305E"/>
    <w:rsid w:val="001633DC"/>
    <w:rsid w:val="0016376C"/>
    <w:rsid w:val="00163972"/>
    <w:rsid w:val="00163BFD"/>
    <w:rsid w:val="00163C8D"/>
    <w:rsid w:val="00164607"/>
    <w:rsid w:val="00164B05"/>
    <w:rsid w:val="00164CC2"/>
    <w:rsid w:val="00164F23"/>
    <w:rsid w:val="00165705"/>
    <w:rsid w:val="00165E55"/>
    <w:rsid w:val="00166656"/>
    <w:rsid w:val="0016678B"/>
    <w:rsid w:val="00166BDC"/>
    <w:rsid w:val="00166C15"/>
    <w:rsid w:val="0016729D"/>
    <w:rsid w:val="0017097E"/>
    <w:rsid w:val="00171051"/>
    <w:rsid w:val="00171395"/>
    <w:rsid w:val="00171868"/>
    <w:rsid w:val="00171B93"/>
    <w:rsid w:val="00171C3B"/>
    <w:rsid w:val="00171D68"/>
    <w:rsid w:val="00172554"/>
    <w:rsid w:val="00172D3D"/>
    <w:rsid w:val="0017315C"/>
    <w:rsid w:val="0017432F"/>
    <w:rsid w:val="0017545C"/>
    <w:rsid w:val="0017552B"/>
    <w:rsid w:val="00175879"/>
    <w:rsid w:val="00175992"/>
    <w:rsid w:val="001760BD"/>
    <w:rsid w:val="00176490"/>
    <w:rsid w:val="001772E9"/>
    <w:rsid w:val="00180A68"/>
    <w:rsid w:val="00182C4B"/>
    <w:rsid w:val="00182C5F"/>
    <w:rsid w:val="001834B6"/>
    <w:rsid w:val="001835A1"/>
    <w:rsid w:val="00183ABC"/>
    <w:rsid w:val="00184741"/>
    <w:rsid w:val="00184C93"/>
    <w:rsid w:val="001851A9"/>
    <w:rsid w:val="00185B57"/>
    <w:rsid w:val="00185C35"/>
    <w:rsid w:val="00185D42"/>
    <w:rsid w:val="00185D59"/>
    <w:rsid w:val="00186878"/>
    <w:rsid w:val="00186DAF"/>
    <w:rsid w:val="00186DCF"/>
    <w:rsid w:val="00186F3E"/>
    <w:rsid w:val="00187344"/>
    <w:rsid w:val="001874DF"/>
    <w:rsid w:val="00187696"/>
    <w:rsid w:val="00187734"/>
    <w:rsid w:val="00187971"/>
    <w:rsid w:val="00187DE9"/>
    <w:rsid w:val="00190657"/>
    <w:rsid w:val="00191C39"/>
    <w:rsid w:val="001928A5"/>
    <w:rsid w:val="00192FCD"/>
    <w:rsid w:val="00193511"/>
    <w:rsid w:val="001937AC"/>
    <w:rsid w:val="00193CB0"/>
    <w:rsid w:val="00194167"/>
    <w:rsid w:val="0019490A"/>
    <w:rsid w:val="00194C5F"/>
    <w:rsid w:val="00195344"/>
    <w:rsid w:val="001958A4"/>
    <w:rsid w:val="001958FA"/>
    <w:rsid w:val="001961F0"/>
    <w:rsid w:val="00196646"/>
    <w:rsid w:val="001968B3"/>
    <w:rsid w:val="001969E5"/>
    <w:rsid w:val="001972A2"/>
    <w:rsid w:val="00197438"/>
    <w:rsid w:val="001A03C4"/>
    <w:rsid w:val="001A0468"/>
    <w:rsid w:val="001A0C74"/>
    <w:rsid w:val="001A0D97"/>
    <w:rsid w:val="001A275D"/>
    <w:rsid w:val="001A2FB5"/>
    <w:rsid w:val="001A30BC"/>
    <w:rsid w:val="001A3168"/>
    <w:rsid w:val="001A374F"/>
    <w:rsid w:val="001A3974"/>
    <w:rsid w:val="001A39BC"/>
    <w:rsid w:val="001A44C9"/>
    <w:rsid w:val="001A477E"/>
    <w:rsid w:val="001A47E5"/>
    <w:rsid w:val="001A52A1"/>
    <w:rsid w:val="001A5454"/>
    <w:rsid w:val="001A576A"/>
    <w:rsid w:val="001A5AFA"/>
    <w:rsid w:val="001A5B1C"/>
    <w:rsid w:val="001A60D0"/>
    <w:rsid w:val="001A62A4"/>
    <w:rsid w:val="001A6760"/>
    <w:rsid w:val="001A6BE9"/>
    <w:rsid w:val="001A7475"/>
    <w:rsid w:val="001B0D42"/>
    <w:rsid w:val="001B1B56"/>
    <w:rsid w:val="001B2B45"/>
    <w:rsid w:val="001B2C3B"/>
    <w:rsid w:val="001B31BF"/>
    <w:rsid w:val="001B32C8"/>
    <w:rsid w:val="001B34C1"/>
    <w:rsid w:val="001B37BC"/>
    <w:rsid w:val="001B4282"/>
    <w:rsid w:val="001B48FD"/>
    <w:rsid w:val="001B4950"/>
    <w:rsid w:val="001B5318"/>
    <w:rsid w:val="001B5DD6"/>
    <w:rsid w:val="001B5ED8"/>
    <w:rsid w:val="001B61E0"/>
    <w:rsid w:val="001B6CA3"/>
    <w:rsid w:val="001B6EBE"/>
    <w:rsid w:val="001B7783"/>
    <w:rsid w:val="001B7A5B"/>
    <w:rsid w:val="001B7A79"/>
    <w:rsid w:val="001C0B76"/>
    <w:rsid w:val="001C1382"/>
    <w:rsid w:val="001C1CF5"/>
    <w:rsid w:val="001C206E"/>
    <w:rsid w:val="001C2BAB"/>
    <w:rsid w:val="001C2F52"/>
    <w:rsid w:val="001C36D0"/>
    <w:rsid w:val="001C37C5"/>
    <w:rsid w:val="001C385E"/>
    <w:rsid w:val="001C3EAC"/>
    <w:rsid w:val="001C4829"/>
    <w:rsid w:val="001C508D"/>
    <w:rsid w:val="001C5A04"/>
    <w:rsid w:val="001C5C57"/>
    <w:rsid w:val="001C5D6E"/>
    <w:rsid w:val="001C5E46"/>
    <w:rsid w:val="001C5FCD"/>
    <w:rsid w:val="001C65B9"/>
    <w:rsid w:val="001C73CD"/>
    <w:rsid w:val="001D058E"/>
    <w:rsid w:val="001D08E9"/>
    <w:rsid w:val="001D0F1B"/>
    <w:rsid w:val="001D1936"/>
    <w:rsid w:val="001D1CED"/>
    <w:rsid w:val="001D283B"/>
    <w:rsid w:val="001D36B9"/>
    <w:rsid w:val="001D3E98"/>
    <w:rsid w:val="001D4481"/>
    <w:rsid w:val="001D46F4"/>
    <w:rsid w:val="001D552B"/>
    <w:rsid w:val="001D5623"/>
    <w:rsid w:val="001D6231"/>
    <w:rsid w:val="001D6711"/>
    <w:rsid w:val="001D67B4"/>
    <w:rsid w:val="001D7C5C"/>
    <w:rsid w:val="001E012B"/>
    <w:rsid w:val="001E1DC9"/>
    <w:rsid w:val="001E2640"/>
    <w:rsid w:val="001E2C74"/>
    <w:rsid w:val="001E3079"/>
    <w:rsid w:val="001E31E1"/>
    <w:rsid w:val="001E3687"/>
    <w:rsid w:val="001E39CA"/>
    <w:rsid w:val="001E3C09"/>
    <w:rsid w:val="001E3EAC"/>
    <w:rsid w:val="001E40B2"/>
    <w:rsid w:val="001E472E"/>
    <w:rsid w:val="001E4B93"/>
    <w:rsid w:val="001E4D00"/>
    <w:rsid w:val="001E55B2"/>
    <w:rsid w:val="001E56FB"/>
    <w:rsid w:val="001E5DE1"/>
    <w:rsid w:val="001E61DB"/>
    <w:rsid w:val="001E6401"/>
    <w:rsid w:val="001E691A"/>
    <w:rsid w:val="001E79B8"/>
    <w:rsid w:val="001E7E10"/>
    <w:rsid w:val="001F0879"/>
    <w:rsid w:val="001F18BD"/>
    <w:rsid w:val="001F20A1"/>
    <w:rsid w:val="001F21AA"/>
    <w:rsid w:val="001F2BF2"/>
    <w:rsid w:val="001F2E8E"/>
    <w:rsid w:val="001F3C38"/>
    <w:rsid w:val="001F3DD7"/>
    <w:rsid w:val="001F42CA"/>
    <w:rsid w:val="001F4A2A"/>
    <w:rsid w:val="001F57E9"/>
    <w:rsid w:val="001F589C"/>
    <w:rsid w:val="001F6149"/>
    <w:rsid w:val="001F62AF"/>
    <w:rsid w:val="001F6736"/>
    <w:rsid w:val="001F6FD5"/>
    <w:rsid w:val="001F75EC"/>
    <w:rsid w:val="001F79BB"/>
    <w:rsid w:val="002001D5"/>
    <w:rsid w:val="0020033A"/>
    <w:rsid w:val="002004BB"/>
    <w:rsid w:val="00200781"/>
    <w:rsid w:val="0020173D"/>
    <w:rsid w:val="00201C9E"/>
    <w:rsid w:val="00201DF8"/>
    <w:rsid w:val="00201EC4"/>
    <w:rsid w:val="002027DC"/>
    <w:rsid w:val="00202EDC"/>
    <w:rsid w:val="0020487F"/>
    <w:rsid w:val="00204946"/>
    <w:rsid w:val="00204FBB"/>
    <w:rsid w:val="002051BA"/>
    <w:rsid w:val="002067B5"/>
    <w:rsid w:val="00206BDF"/>
    <w:rsid w:val="00207448"/>
    <w:rsid w:val="002079D0"/>
    <w:rsid w:val="00207E3A"/>
    <w:rsid w:val="00210214"/>
    <w:rsid w:val="00210B89"/>
    <w:rsid w:val="00210CAE"/>
    <w:rsid w:val="00211C02"/>
    <w:rsid w:val="00211F71"/>
    <w:rsid w:val="002128B1"/>
    <w:rsid w:val="00212B0A"/>
    <w:rsid w:val="00212F3D"/>
    <w:rsid w:val="00212FC2"/>
    <w:rsid w:val="00213389"/>
    <w:rsid w:val="002133D0"/>
    <w:rsid w:val="002138B5"/>
    <w:rsid w:val="002138BB"/>
    <w:rsid w:val="00213E8D"/>
    <w:rsid w:val="0021400C"/>
    <w:rsid w:val="00214A51"/>
    <w:rsid w:val="00214B1A"/>
    <w:rsid w:val="00214C08"/>
    <w:rsid w:val="00215C1F"/>
    <w:rsid w:val="002165CF"/>
    <w:rsid w:val="00217343"/>
    <w:rsid w:val="0021796A"/>
    <w:rsid w:val="00217EAC"/>
    <w:rsid w:val="002211CF"/>
    <w:rsid w:val="00222B27"/>
    <w:rsid w:val="00222D3D"/>
    <w:rsid w:val="002230CA"/>
    <w:rsid w:val="00223522"/>
    <w:rsid w:val="00223983"/>
    <w:rsid w:val="00223B8E"/>
    <w:rsid w:val="00223CE9"/>
    <w:rsid w:val="00224797"/>
    <w:rsid w:val="00224C2D"/>
    <w:rsid w:val="00224EBA"/>
    <w:rsid w:val="00225403"/>
    <w:rsid w:val="0022551A"/>
    <w:rsid w:val="00225D7D"/>
    <w:rsid w:val="00227E97"/>
    <w:rsid w:val="00227EC5"/>
    <w:rsid w:val="00230165"/>
    <w:rsid w:val="002303B2"/>
    <w:rsid w:val="002306DB"/>
    <w:rsid w:val="00230DD2"/>
    <w:rsid w:val="00231AD1"/>
    <w:rsid w:val="0023244A"/>
    <w:rsid w:val="002326C0"/>
    <w:rsid w:val="002327AE"/>
    <w:rsid w:val="00232E0C"/>
    <w:rsid w:val="00232F82"/>
    <w:rsid w:val="00233173"/>
    <w:rsid w:val="00234138"/>
    <w:rsid w:val="00234967"/>
    <w:rsid w:val="00235570"/>
    <w:rsid w:val="0023610E"/>
    <w:rsid w:val="002361E7"/>
    <w:rsid w:val="0023622E"/>
    <w:rsid w:val="00236268"/>
    <w:rsid w:val="002362A4"/>
    <w:rsid w:val="00236526"/>
    <w:rsid w:val="00236EC7"/>
    <w:rsid w:val="00237362"/>
    <w:rsid w:val="00237972"/>
    <w:rsid w:val="00237C90"/>
    <w:rsid w:val="00242067"/>
    <w:rsid w:val="002444B1"/>
    <w:rsid w:val="00245767"/>
    <w:rsid w:val="0024591F"/>
    <w:rsid w:val="002460BC"/>
    <w:rsid w:val="00247141"/>
    <w:rsid w:val="002471DE"/>
    <w:rsid w:val="00247219"/>
    <w:rsid w:val="00247DE8"/>
    <w:rsid w:val="00250073"/>
    <w:rsid w:val="0025027F"/>
    <w:rsid w:val="00250718"/>
    <w:rsid w:val="002507BB"/>
    <w:rsid w:val="002508C5"/>
    <w:rsid w:val="00250B3E"/>
    <w:rsid w:val="00250C1D"/>
    <w:rsid w:val="00250FA4"/>
    <w:rsid w:val="002516C6"/>
    <w:rsid w:val="00251E02"/>
    <w:rsid w:val="0025257E"/>
    <w:rsid w:val="00252CDA"/>
    <w:rsid w:val="00252D10"/>
    <w:rsid w:val="00253EF4"/>
    <w:rsid w:val="002544F3"/>
    <w:rsid w:val="00254A66"/>
    <w:rsid w:val="00255651"/>
    <w:rsid w:val="00255B60"/>
    <w:rsid w:val="00256105"/>
    <w:rsid w:val="00257921"/>
    <w:rsid w:val="00260562"/>
    <w:rsid w:val="002607A2"/>
    <w:rsid w:val="00260CD1"/>
    <w:rsid w:val="00261B6D"/>
    <w:rsid w:val="00262759"/>
    <w:rsid w:val="00263FFA"/>
    <w:rsid w:val="002642C4"/>
    <w:rsid w:val="002647DD"/>
    <w:rsid w:val="00264EF3"/>
    <w:rsid w:val="002656DD"/>
    <w:rsid w:val="002658C5"/>
    <w:rsid w:val="00266051"/>
    <w:rsid w:val="00266204"/>
    <w:rsid w:val="00266ECC"/>
    <w:rsid w:val="002671C2"/>
    <w:rsid w:val="002672B1"/>
    <w:rsid w:val="002679B7"/>
    <w:rsid w:val="00267EAA"/>
    <w:rsid w:val="00267FA7"/>
    <w:rsid w:val="002702B8"/>
    <w:rsid w:val="00270BB9"/>
    <w:rsid w:val="00270DC3"/>
    <w:rsid w:val="00270EA5"/>
    <w:rsid w:val="00271465"/>
    <w:rsid w:val="002714DB"/>
    <w:rsid w:val="00271800"/>
    <w:rsid w:val="00272115"/>
    <w:rsid w:val="002721CF"/>
    <w:rsid w:val="0027264F"/>
    <w:rsid w:val="00272B14"/>
    <w:rsid w:val="00272DFA"/>
    <w:rsid w:val="00273240"/>
    <w:rsid w:val="002739ED"/>
    <w:rsid w:val="00274103"/>
    <w:rsid w:val="002749A1"/>
    <w:rsid w:val="0027501C"/>
    <w:rsid w:val="002755E5"/>
    <w:rsid w:val="00276146"/>
    <w:rsid w:val="00276640"/>
    <w:rsid w:val="002767D5"/>
    <w:rsid w:val="00276D56"/>
    <w:rsid w:val="00276D7B"/>
    <w:rsid w:val="00277D80"/>
    <w:rsid w:val="00280901"/>
    <w:rsid w:val="00280B44"/>
    <w:rsid w:val="002811FB"/>
    <w:rsid w:val="0028138F"/>
    <w:rsid w:val="002816EE"/>
    <w:rsid w:val="00281F22"/>
    <w:rsid w:val="0028203B"/>
    <w:rsid w:val="00282B51"/>
    <w:rsid w:val="00283A59"/>
    <w:rsid w:val="00283FBA"/>
    <w:rsid w:val="00284159"/>
    <w:rsid w:val="002847B9"/>
    <w:rsid w:val="00284FA8"/>
    <w:rsid w:val="00285C10"/>
    <w:rsid w:val="00285D48"/>
    <w:rsid w:val="00285DF8"/>
    <w:rsid w:val="002864D6"/>
    <w:rsid w:val="0028681B"/>
    <w:rsid w:val="00286F74"/>
    <w:rsid w:val="00286FD9"/>
    <w:rsid w:val="002876F2"/>
    <w:rsid w:val="00287D39"/>
    <w:rsid w:val="00290253"/>
    <w:rsid w:val="00290284"/>
    <w:rsid w:val="00290A23"/>
    <w:rsid w:val="0029131C"/>
    <w:rsid w:val="002914ED"/>
    <w:rsid w:val="00292053"/>
    <w:rsid w:val="00292B5A"/>
    <w:rsid w:val="00292F85"/>
    <w:rsid w:val="00293D40"/>
    <w:rsid w:val="0029440A"/>
    <w:rsid w:val="002954B9"/>
    <w:rsid w:val="00295763"/>
    <w:rsid w:val="00295808"/>
    <w:rsid w:val="00295A14"/>
    <w:rsid w:val="00296C5D"/>
    <w:rsid w:val="00297A1D"/>
    <w:rsid w:val="002A06CE"/>
    <w:rsid w:val="002A092A"/>
    <w:rsid w:val="002A098F"/>
    <w:rsid w:val="002A14D0"/>
    <w:rsid w:val="002A1638"/>
    <w:rsid w:val="002A1B45"/>
    <w:rsid w:val="002A28FE"/>
    <w:rsid w:val="002A2E22"/>
    <w:rsid w:val="002A3021"/>
    <w:rsid w:val="002A35FA"/>
    <w:rsid w:val="002A370B"/>
    <w:rsid w:val="002A45E6"/>
    <w:rsid w:val="002A4B81"/>
    <w:rsid w:val="002A4B8B"/>
    <w:rsid w:val="002A52E2"/>
    <w:rsid w:val="002A5616"/>
    <w:rsid w:val="002A5BF5"/>
    <w:rsid w:val="002A5C1A"/>
    <w:rsid w:val="002A694C"/>
    <w:rsid w:val="002A696E"/>
    <w:rsid w:val="002A71E0"/>
    <w:rsid w:val="002A720D"/>
    <w:rsid w:val="002A7518"/>
    <w:rsid w:val="002B0592"/>
    <w:rsid w:val="002B05B1"/>
    <w:rsid w:val="002B0695"/>
    <w:rsid w:val="002B20AE"/>
    <w:rsid w:val="002B22EC"/>
    <w:rsid w:val="002B27E3"/>
    <w:rsid w:val="002B3EA9"/>
    <w:rsid w:val="002B4F19"/>
    <w:rsid w:val="002B5710"/>
    <w:rsid w:val="002B5B51"/>
    <w:rsid w:val="002B62D4"/>
    <w:rsid w:val="002B6641"/>
    <w:rsid w:val="002B70D9"/>
    <w:rsid w:val="002B714E"/>
    <w:rsid w:val="002B75D3"/>
    <w:rsid w:val="002B769C"/>
    <w:rsid w:val="002B7CA4"/>
    <w:rsid w:val="002C0059"/>
    <w:rsid w:val="002C0A4C"/>
    <w:rsid w:val="002C147E"/>
    <w:rsid w:val="002C1AE0"/>
    <w:rsid w:val="002C1E14"/>
    <w:rsid w:val="002C2495"/>
    <w:rsid w:val="002C35C2"/>
    <w:rsid w:val="002C3843"/>
    <w:rsid w:val="002C3E55"/>
    <w:rsid w:val="002C3F57"/>
    <w:rsid w:val="002C4CD9"/>
    <w:rsid w:val="002C5847"/>
    <w:rsid w:val="002C5C6A"/>
    <w:rsid w:val="002C5EE3"/>
    <w:rsid w:val="002C640E"/>
    <w:rsid w:val="002C641C"/>
    <w:rsid w:val="002C6796"/>
    <w:rsid w:val="002C6A15"/>
    <w:rsid w:val="002C73BA"/>
    <w:rsid w:val="002C773B"/>
    <w:rsid w:val="002D01A8"/>
    <w:rsid w:val="002D0A12"/>
    <w:rsid w:val="002D0FC1"/>
    <w:rsid w:val="002D0FDD"/>
    <w:rsid w:val="002D12A1"/>
    <w:rsid w:val="002D14B6"/>
    <w:rsid w:val="002D1753"/>
    <w:rsid w:val="002D17E5"/>
    <w:rsid w:val="002D1AAC"/>
    <w:rsid w:val="002D2463"/>
    <w:rsid w:val="002D2EE3"/>
    <w:rsid w:val="002D368A"/>
    <w:rsid w:val="002D3CD0"/>
    <w:rsid w:val="002D434D"/>
    <w:rsid w:val="002D44B8"/>
    <w:rsid w:val="002D45D4"/>
    <w:rsid w:val="002D4687"/>
    <w:rsid w:val="002D4A39"/>
    <w:rsid w:val="002D4EF8"/>
    <w:rsid w:val="002D5B9B"/>
    <w:rsid w:val="002D5DC2"/>
    <w:rsid w:val="002D5EF7"/>
    <w:rsid w:val="002D60D4"/>
    <w:rsid w:val="002D6C62"/>
    <w:rsid w:val="002D6C79"/>
    <w:rsid w:val="002D6F4E"/>
    <w:rsid w:val="002D7334"/>
    <w:rsid w:val="002D7387"/>
    <w:rsid w:val="002D7882"/>
    <w:rsid w:val="002D7885"/>
    <w:rsid w:val="002E000C"/>
    <w:rsid w:val="002E0E37"/>
    <w:rsid w:val="002E0E76"/>
    <w:rsid w:val="002E0EDB"/>
    <w:rsid w:val="002E1335"/>
    <w:rsid w:val="002E1F4C"/>
    <w:rsid w:val="002E2675"/>
    <w:rsid w:val="002E2855"/>
    <w:rsid w:val="002E2FE0"/>
    <w:rsid w:val="002E34E0"/>
    <w:rsid w:val="002E35E6"/>
    <w:rsid w:val="002E36D7"/>
    <w:rsid w:val="002E3EEA"/>
    <w:rsid w:val="002E5102"/>
    <w:rsid w:val="002E63A4"/>
    <w:rsid w:val="002E6807"/>
    <w:rsid w:val="002E6AFE"/>
    <w:rsid w:val="002E6EA4"/>
    <w:rsid w:val="002E7327"/>
    <w:rsid w:val="002E7544"/>
    <w:rsid w:val="002E77E6"/>
    <w:rsid w:val="002F0710"/>
    <w:rsid w:val="002F080B"/>
    <w:rsid w:val="002F1155"/>
    <w:rsid w:val="002F1589"/>
    <w:rsid w:val="002F2F59"/>
    <w:rsid w:val="002F3006"/>
    <w:rsid w:val="002F338E"/>
    <w:rsid w:val="002F3603"/>
    <w:rsid w:val="002F3CE8"/>
    <w:rsid w:val="002F4103"/>
    <w:rsid w:val="002F427A"/>
    <w:rsid w:val="002F42BE"/>
    <w:rsid w:val="002F4367"/>
    <w:rsid w:val="002F4644"/>
    <w:rsid w:val="002F4CA4"/>
    <w:rsid w:val="002F55F1"/>
    <w:rsid w:val="002F5788"/>
    <w:rsid w:val="002F6524"/>
    <w:rsid w:val="002F659B"/>
    <w:rsid w:val="002F6745"/>
    <w:rsid w:val="002F6795"/>
    <w:rsid w:val="002F68B8"/>
    <w:rsid w:val="002F6E74"/>
    <w:rsid w:val="002F745D"/>
    <w:rsid w:val="002F78A3"/>
    <w:rsid w:val="002F7B34"/>
    <w:rsid w:val="002F7F8C"/>
    <w:rsid w:val="0030041E"/>
    <w:rsid w:val="00300445"/>
    <w:rsid w:val="00300A03"/>
    <w:rsid w:val="00300E75"/>
    <w:rsid w:val="00301081"/>
    <w:rsid w:val="0030121B"/>
    <w:rsid w:val="00302002"/>
    <w:rsid w:val="00302419"/>
    <w:rsid w:val="003026CD"/>
    <w:rsid w:val="00303BAA"/>
    <w:rsid w:val="00303D11"/>
    <w:rsid w:val="0030431D"/>
    <w:rsid w:val="00304385"/>
    <w:rsid w:val="00304471"/>
    <w:rsid w:val="0030451B"/>
    <w:rsid w:val="00305487"/>
    <w:rsid w:val="00305601"/>
    <w:rsid w:val="00305B55"/>
    <w:rsid w:val="00305DE9"/>
    <w:rsid w:val="00306013"/>
    <w:rsid w:val="00306F4A"/>
    <w:rsid w:val="00307CAB"/>
    <w:rsid w:val="003100E2"/>
    <w:rsid w:val="0031050E"/>
    <w:rsid w:val="00310FA8"/>
    <w:rsid w:val="00311673"/>
    <w:rsid w:val="00311951"/>
    <w:rsid w:val="00311CB2"/>
    <w:rsid w:val="0031220A"/>
    <w:rsid w:val="00312443"/>
    <w:rsid w:val="003127E9"/>
    <w:rsid w:val="00313A2B"/>
    <w:rsid w:val="00313BF0"/>
    <w:rsid w:val="0031406F"/>
    <w:rsid w:val="00314968"/>
    <w:rsid w:val="00314CC6"/>
    <w:rsid w:val="00314DE8"/>
    <w:rsid w:val="003152F8"/>
    <w:rsid w:val="003154BD"/>
    <w:rsid w:val="00316C12"/>
    <w:rsid w:val="00316C32"/>
    <w:rsid w:val="00316DED"/>
    <w:rsid w:val="003171A0"/>
    <w:rsid w:val="00317293"/>
    <w:rsid w:val="00317F19"/>
    <w:rsid w:val="0032025C"/>
    <w:rsid w:val="003202CA"/>
    <w:rsid w:val="00320328"/>
    <w:rsid w:val="003208B1"/>
    <w:rsid w:val="00320C0E"/>
    <w:rsid w:val="00321864"/>
    <w:rsid w:val="00322791"/>
    <w:rsid w:val="00322B04"/>
    <w:rsid w:val="00322E78"/>
    <w:rsid w:val="00322EEF"/>
    <w:rsid w:val="00322F1D"/>
    <w:rsid w:val="00323517"/>
    <w:rsid w:val="003235E4"/>
    <w:rsid w:val="00324B6A"/>
    <w:rsid w:val="00324F7F"/>
    <w:rsid w:val="00325112"/>
    <w:rsid w:val="003259FE"/>
    <w:rsid w:val="0032613E"/>
    <w:rsid w:val="003262BD"/>
    <w:rsid w:val="00326408"/>
    <w:rsid w:val="00326542"/>
    <w:rsid w:val="00326FBC"/>
    <w:rsid w:val="00327634"/>
    <w:rsid w:val="00330008"/>
    <w:rsid w:val="00330216"/>
    <w:rsid w:val="00330D58"/>
    <w:rsid w:val="00331126"/>
    <w:rsid w:val="003314FA"/>
    <w:rsid w:val="003318E9"/>
    <w:rsid w:val="00331955"/>
    <w:rsid w:val="003319F9"/>
    <w:rsid w:val="00331B80"/>
    <w:rsid w:val="00332467"/>
    <w:rsid w:val="00332920"/>
    <w:rsid w:val="003334D2"/>
    <w:rsid w:val="0033371A"/>
    <w:rsid w:val="00333920"/>
    <w:rsid w:val="00334556"/>
    <w:rsid w:val="0033462B"/>
    <w:rsid w:val="00334FAD"/>
    <w:rsid w:val="003351B7"/>
    <w:rsid w:val="0033594F"/>
    <w:rsid w:val="00335AA8"/>
    <w:rsid w:val="00335C03"/>
    <w:rsid w:val="00335FFC"/>
    <w:rsid w:val="0033638C"/>
    <w:rsid w:val="0033668B"/>
    <w:rsid w:val="003367F6"/>
    <w:rsid w:val="00336FDB"/>
    <w:rsid w:val="00337F3A"/>
    <w:rsid w:val="003402EE"/>
    <w:rsid w:val="003403F2"/>
    <w:rsid w:val="003409BC"/>
    <w:rsid w:val="00340A5F"/>
    <w:rsid w:val="00341F36"/>
    <w:rsid w:val="00342075"/>
    <w:rsid w:val="003434E0"/>
    <w:rsid w:val="003438D3"/>
    <w:rsid w:val="00343ED0"/>
    <w:rsid w:val="0034469F"/>
    <w:rsid w:val="00344FD0"/>
    <w:rsid w:val="0034516B"/>
    <w:rsid w:val="0034526B"/>
    <w:rsid w:val="003452BC"/>
    <w:rsid w:val="00346567"/>
    <w:rsid w:val="00346716"/>
    <w:rsid w:val="00346A53"/>
    <w:rsid w:val="003474E1"/>
    <w:rsid w:val="0034760D"/>
    <w:rsid w:val="003505CF"/>
    <w:rsid w:val="0035075C"/>
    <w:rsid w:val="00351830"/>
    <w:rsid w:val="0035237B"/>
    <w:rsid w:val="00352CAF"/>
    <w:rsid w:val="00352E05"/>
    <w:rsid w:val="0035307A"/>
    <w:rsid w:val="00353234"/>
    <w:rsid w:val="003539BE"/>
    <w:rsid w:val="00354AD2"/>
    <w:rsid w:val="003554B6"/>
    <w:rsid w:val="003554C8"/>
    <w:rsid w:val="003556E8"/>
    <w:rsid w:val="0035570A"/>
    <w:rsid w:val="00355888"/>
    <w:rsid w:val="00356232"/>
    <w:rsid w:val="0035647D"/>
    <w:rsid w:val="00357575"/>
    <w:rsid w:val="003577BB"/>
    <w:rsid w:val="003579E2"/>
    <w:rsid w:val="0036033C"/>
    <w:rsid w:val="00360358"/>
    <w:rsid w:val="00360450"/>
    <w:rsid w:val="0036093B"/>
    <w:rsid w:val="00360955"/>
    <w:rsid w:val="00361401"/>
    <w:rsid w:val="00361451"/>
    <w:rsid w:val="003619E9"/>
    <w:rsid w:val="00362373"/>
    <w:rsid w:val="003628A1"/>
    <w:rsid w:val="003629B6"/>
    <w:rsid w:val="00362E04"/>
    <w:rsid w:val="0036300B"/>
    <w:rsid w:val="00364060"/>
    <w:rsid w:val="00365591"/>
    <w:rsid w:val="00365B0F"/>
    <w:rsid w:val="003661D4"/>
    <w:rsid w:val="00366276"/>
    <w:rsid w:val="0036646E"/>
    <w:rsid w:val="00366B85"/>
    <w:rsid w:val="003671A7"/>
    <w:rsid w:val="0036728B"/>
    <w:rsid w:val="00367782"/>
    <w:rsid w:val="003712EF"/>
    <w:rsid w:val="0037155E"/>
    <w:rsid w:val="00372C18"/>
    <w:rsid w:val="0037353D"/>
    <w:rsid w:val="00373573"/>
    <w:rsid w:val="00374514"/>
    <w:rsid w:val="003745FB"/>
    <w:rsid w:val="0037566A"/>
    <w:rsid w:val="00375BD7"/>
    <w:rsid w:val="003765D8"/>
    <w:rsid w:val="00376A19"/>
    <w:rsid w:val="0037720D"/>
    <w:rsid w:val="003774E0"/>
    <w:rsid w:val="00377D4B"/>
    <w:rsid w:val="00377D4F"/>
    <w:rsid w:val="00377F86"/>
    <w:rsid w:val="00380296"/>
    <w:rsid w:val="00380A62"/>
    <w:rsid w:val="00380A68"/>
    <w:rsid w:val="00380DAA"/>
    <w:rsid w:val="0038127F"/>
    <w:rsid w:val="003818A8"/>
    <w:rsid w:val="00383948"/>
    <w:rsid w:val="00383C2F"/>
    <w:rsid w:val="00384F54"/>
    <w:rsid w:val="0038515D"/>
    <w:rsid w:val="0038595B"/>
    <w:rsid w:val="00385DBC"/>
    <w:rsid w:val="0038608B"/>
    <w:rsid w:val="00386120"/>
    <w:rsid w:val="0038689E"/>
    <w:rsid w:val="00386B2F"/>
    <w:rsid w:val="00386DE7"/>
    <w:rsid w:val="00386E93"/>
    <w:rsid w:val="0038739E"/>
    <w:rsid w:val="00387656"/>
    <w:rsid w:val="00390415"/>
    <w:rsid w:val="00390E1C"/>
    <w:rsid w:val="003914A0"/>
    <w:rsid w:val="003917AD"/>
    <w:rsid w:val="00391DB1"/>
    <w:rsid w:val="00392C39"/>
    <w:rsid w:val="00392E18"/>
    <w:rsid w:val="0039352A"/>
    <w:rsid w:val="0039352C"/>
    <w:rsid w:val="003936A4"/>
    <w:rsid w:val="0039394D"/>
    <w:rsid w:val="00394219"/>
    <w:rsid w:val="003942B9"/>
    <w:rsid w:val="003945EE"/>
    <w:rsid w:val="003946D9"/>
    <w:rsid w:val="00394B20"/>
    <w:rsid w:val="00395C0D"/>
    <w:rsid w:val="00395D54"/>
    <w:rsid w:val="00395DA4"/>
    <w:rsid w:val="0039618F"/>
    <w:rsid w:val="003962F0"/>
    <w:rsid w:val="003963E5"/>
    <w:rsid w:val="00396499"/>
    <w:rsid w:val="003966D6"/>
    <w:rsid w:val="00396782"/>
    <w:rsid w:val="003968E6"/>
    <w:rsid w:val="00397202"/>
    <w:rsid w:val="00397D18"/>
    <w:rsid w:val="003A015A"/>
    <w:rsid w:val="003A023C"/>
    <w:rsid w:val="003A11C8"/>
    <w:rsid w:val="003A1C35"/>
    <w:rsid w:val="003A2CA9"/>
    <w:rsid w:val="003A2ECD"/>
    <w:rsid w:val="003A3ADB"/>
    <w:rsid w:val="003A412B"/>
    <w:rsid w:val="003A4474"/>
    <w:rsid w:val="003A453C"/>
    <w:rsid w:val="003A457D"/>
    <w:rsid w:val="003A45D1"/>
    <w:rsid w:val="003A46B9"/>
    <w:rsid w:val="003A492D"/>
    <w:rsid w:val="003A4DE4"/>
    <w:rsid w:val="003A4EE9"/>
    <w:rsid w:val="003A4FD2"/>
    <w:rsid w:val="003A59CD"/>
    <w:rsid w:val="003A63CF"/>
    <w:rsid w:val="003A6701"/>
    <w:rsid w:val="003A689C"/>
    <w:rsid w:val="003A70BD"/>
    <w:rsid w:val="003A74DE"/>
    <w:rsid w:val="003A7701"/>
    <w:rsid w:val="003A773B"/>
    <w:rsid w:val="003B0D7F"/>
    <w:rsid w:val="003B0D85"/>
    <w:rsid w:val="003B1126"/>
    <w:rsid w:val="003B1249"/>
    <w:rsid w:val="003B1279"/>
    <w:rsid w:val="003B131A"/>
    <w:rsid w:val="003B13E9"/>
    <w:rsid w:val="003B1578"/>
    <w:rsid w:val="003B1599"/>
    <w:rsid w:val="003B178B"/>
    <w:rsid w:val="003B1AD0"/>
    <w:rsid w:val="003B1C6A"/>
    <w:rsid w:val="003B2403"/>
    <w:rsid w:val="003B276E"/>
    <w:rsid w:val="003B2815"/>
    <w:rsid w:val="003B2B95"/>
    <w:rsid w:val="003B2DDC"/>
    <w:rsid w:val="003B3041"/>
    <w:rsid w:val="003B37C2"/>
    <w:rsid w:val="003B412E"/>
    <w:rsid w:val="003B4E93"/>
    <w:rsid w:val="003B5B18"/>
    <w:rsid w:val="003B5D30"/>
    <w:rsid w:val="003B5E36"/>
    <w:rsid w:val="003B61B9"/>
    <w:rsid w:val="003B63C6"/>
    <w:rsid w:val="003B64BD"/>
    <w:rsid w:val="003B6E61"/>
    <w:rsid w:val="003B6EF4"/>
    <w:rsid w:val="003B7034"/>
    <w:rsid w:val="003B7101"/>
    <w:rsid w:val="003B7D9D"/>
    <w:rsid w:val="003C0237"/>
    <w:rsid w:val="003C0928"/>
    <w:rsid w:val="003C1158"/>
    <w:rsid w:val="003C15EF"/>
    <w:rsid w:val="003C2057"/>
    <w:rsid w:val="003C2805"/>
    <w:rsid w:val="003C31C2"/>
    <w:rsid w:val="003C3238"/>
    <w:rsid w:val="003C3B19"/>
    <w:rsid w:val="003C41DD"/>
    <w:rsid w:val="003C44A0"/>
    <w:rsid w:val="003C52B0"/>
    <w:rsid w:val="003C6BDB"/>
    <w:rsid w:val="003C73BA"/>
    <w:rsid w:val="003C7926"/>
    <w:rsid w:val="003D03D1"/>
    <w:rsid w:val="003D0C47"/>
    <w:rsid w:val="003D0D6B"/>
    <w:rsid w:val="003D11FE"/>
    <w:rsid w:val="003D1AEF"/>
    <w:rsid w:val="003D1D35"/>
    <w:rsid w:val="003D1E55"/>
    <w:rsid w:val="003D256E"/>
    <w:rsid w:val="003D2F79"/>
    <w:rsid w:val="003D3104"/>
    <w:rsid w:val="003D315E"/>
    <w:rsid w:val="003D39E4"/>
    <w:rsid w:val="003D3F62"/>
    <w:rsid w:val="003D46F2"/>
    <w:rsid w:val="003D57D5"/>
    <w:rsid w:val="003D5BB1"/>
    <w:rsid w:val="003D5EB1"/>
    <w:rsid w:val="003D63AB"/>
    <w:rsid w:val="003D660C"/>
    <w:rsid w:val="003D7930"/>
    <w:rsid w:val="003D7D27"/>
    <w:rsid w:val="003E0482"/>
    <w:rsid w:val="003E097F"/>
    <w:rsid w:val="003E0F74"/>
    <w:rsid w:val="003E157B"/>
    <w:rsid w:val="003E16F0"/>
    <w:rsid w:val="003E197C"/>
    <w:rsid w:val="003E1ECF"/>
    <w:rsid w:val="003E228B"/>
    <w:rsid w:val="003E22FD"/>
    <w:rsid w:val="003E28DD"/>
    <w:rsid w:val="003E2A64"/>
    <w:rsid w:val="003E2FBA"/>
    <w:rsid w:val="003E3A4D"/>
    <w:rsid w:val="003E3B42"/>
    <w:rsid w:val="003E3BA8"/>
    <w:rsid w:val="003E3C03"/>
    <w:rsid w:val="003E3DE6"/>
    <w:rsid w:val="003E4A53"/>
    <w:rsid w:val="003E4D43"/>
    <w:rsid w:val="003E514D"/>
    <w:rsid w:val="003E5C5A"/>
    <w:rsid w:val="003E5D6D"/>
    <w:rsid w:val="003E5EE2"/>
    <w:rsid w:val="003E6072"/>
    <w:rsid w:val="003E6906"/>
    <w:rsid w:val="003E6915"/>
    <w:rsid w:val="003E7065"/>
    <w:rsid w:val="003E70BE"/>
    <w:rsid w:val="003E7672"/>
    <w:rsid w:val="003F03A3"/>
    <w:rsid w:val="003F03B6"/>
    <w:rsid w:val="003F0CD7"/>
    <w:rsid w:val="003F0FD6"/>
    <w:rsid w:val="003F1055"/>
    <w:rsid w:val="003F1402"/>
    <w:rsid w:val="003F165F"/>
    <w:rsid w:val="003F19B9"/>
    <w:rsid w:val="003F1A73"/>
    <w:rsid w:val="003F1F3E"/>
    <w:rsid w:val="003F208E"/>
    <w:rsid w:val="003F274B"/>
    <w:rsid w:val="003F29F4"/>
    <w:rsid w:val="003F2B67"/>
    <w:rsid w:val="003F2CD7"/>
    <w:rsid w:val="003F3755"/>
    <w:rsid w:val="003F4772"/>
    <w:rsid w:val="003F5533"/>
    <w:rsid w:val="003F55F6"/>
    <w:rsid w:val="003F566B"/>
    <w:rsid w:val="003F58CC"/>
    <w:rsid w:val="003F5A8D"/>
    <w:rsid w:val="003F6374"/>
    <w:rsid w:val="003F6491"/>
    <w:rsid w:val="003F6942"/>
    <w:rsid w:val="003F6C10"/>
    <w:rsid w:val="003F7549"/>
    <w:rsid w:val="003F7DD4"/>
    <w:rsid w:val="003F7EEE"/>
    <w:rsid w:val="0040008D"/>
    <w:rsid w:val="004005B1"/>
    <w:rsid w:val="00400A90"/>
    <w:rsid w:val="0040245B"/>
    <w:rsid w:val="004029AE"/>
    <w:rsid w:val="004030D6"/>
    <w:rsid w:val="004040F8"/>
    <w:rsid w:val="004048DF"/>
    <w:rsid w:val="00404DE1"/>
    <w:rsid w:val="00405938"/>
    <w:rsid w:val="00405B08"/>
    <w:rsid w:val="004061C6"/>
    <w:rsid w:val="00406218"/>
    <w:rsid w:val="00406865"/>
    <w:rsid w:val="0040725A"/>
    <w:rsid w:val="0041024E"/>
    <w:rsid w:val="00410954"/>
    <w:rsid w:val="00410BD1"/>
    <w:rsid w:val="00411381"/>
    <w:rsid w:val="004114B1"/>
    <w:rsid w:val="00411D16"/>
    <w:rsid w:val="0041286B"/>
    <w:rsid w:val="00412F14"/>
    <w:rsid w:val="00413529"/>
    <w:rsid w:val="00413ACD"/>
    <w:rsid w:val="00413E91"/>
    <w:rsid w:val="004143B9"/>
    <w:rsid w:val="00414745"/>
    <w:rsid w:val="00414B52"/>
    <w:rsid w:val="00414BDF"/>
    <w:rsid w:val="00414D46"/>
    <w:rsid w:val="00415220"/>
    <w:rsid w:val="00415250"/>
    <w:rsid w:val="004152D9"/>
    <w:rsid w:val="00415818"/>
    <w:rsid w:val="0041592D"/>
    <w:rsid w:val="00415C6A"/>
    <w:rsid w:val="00416051"/>
    <w:rsid w:val="0041646A"/>
    <w:rsid w:val="00416479"/>
    <w:rsid w:val="00416EA7"/>
    <w:rsid w:val="004174DE"/>
    <w:rsid w:val="004177B9"/>
    <w:rsid w:val="004200A9"/>
    <w:rsid w:val="004202AA"/>
    <w:rsid w:val="004208BD"/>
    <w:rsid w:val="00420DF4"/>
    <w:rsid w:val="00421869"/>
    <w:rsid w:val="00422093"/>
    <w:rsid w:val="00422617"/>
    <w:rsid w:val="00423EAC"/>
    <w:rsid w:val="00423FF1"/>
    <w:rsid w:val="00424342"/>
    <w:rsid w:val="0042479E"/>
    <w:rsid w:val="00424858"/>
    <w:rsid w:val="004249FE"/>
    <w:rsid w:val="00424A46"/>
    <w:rsid w:val="004250C4"/>
    <w:rsid w:val="00425274"/>
    <w:rsid w:val="00425490"/>
    <w:rsid w:val="0042655F"/>
    <w:rsid w:val="00426A22"/>
    <w:rsid w:val="00426A6F"/>
    <w:rsid w:val="00426BCB"/>
    <w:rsid w:val="004275E5"/>
    <w:rsid w:val="00427A25"/>
    <w:rsid w:val="00427A2D"/>
    <w:rsid w:val="00430659"/>
    <w:rsid w:val="00431B10"/>
    <w:rsid w:val="00431B1A"/>
    <w:rsid w:val="004324BC"/>
    <w:rsid w:val="00432BD4"/>
    <w:rsid w:val="00433078"/>
    <w:rsid w:val="00433240"/>
    <w:rsid w:val="00433535"/>
    <w:rsid w:val="0043370F"/>
    <w:rsid w:val="00433DB7"/>
    <w:rsid w:val="00434644"/>
    <w:rsid w:val="00435405"/>
    <w:rsid w:val="00435E15"/>
    <w:rsid w:val="00436F37"/>
    <w:rsid w:val="004372CE"/>
    <w:rsid w:val="004376CA"/>
    <w:rsid w:val="004378B9"/>
    <w:rsid w:val="00437C49"/>
    <w:rsid w:val="00440684"/>
    <w:rsid w:val="00441325"/>
    <w:rsid w:val="00441C62"/>
    <w:rsid w:val="00443186"/>
    <w:rsid w:val="00443194"/>
    <w:rsid w:val="004437D4"/>
    <w:rsid w:val="00443AEC"/>
    <w:rsid w:val="00444900"/>
    <w:rsid w:val="00444D80"/>
    <w:rsid w:val="00445469"/>
    <w:rsid w:val="00445830"/>
    <w:rsid w:val="004458A5"/>
    <w:rsid w:val="004458E9"/>
    <w:rsid w:val="004459C1"/>
    <w:rsid w:val="00445A37"/>
    <w:rsid w:val="00445D6E"/>
    <w:rsid w:val="00446429"/>
    <w:rsid w:val="00446BBE"/>
    <w:rsid w:val="00446D27"/>
    <w:rsid w:val="004472FA"/>
    <w:rsid w:val="0044756B"/>
    <w:rsid w:val="00447BBD"/>
    <w:rsid w:val="0045065A"/>
    <w:rsid w:val="004514C7"/>
    <w:rsid w:val="00451711"/>
    <w:rsid w:val="00451A73"/>
    <w:rsid w:val="00451ED9"/>
    <w:rsid w:val="0045224D"/>
    <w:rsid w:val="00452875"/>
    <w:rsid w:val="00452BA9"/>
    <w:rsid w:val="004531D1"/>
    <w:rsid w:val="00453E66"/>
    <w:rsid w:val="00453E75"/>
    <w:rsid w:val="00453F01"/>
    <w:rsid w:val="00454151"/>
    <w:rsid w:val="0045431E"/>
    <w:rsid w:val="00454616"/>
    <w:rsid w:val="00454649"/>
    <w:rsid w:val="00454988"/>
    <w:rsid w:val="00454CB5"/>
    <w:rsid w:val="00454F7A"/>
    <w:rsid w:val="00455E45"/>
    <w:rsid w:val="00455ED3"/>
    <w:rsid w:val="00456552"/>
    <w:rsid w:val="00456A40"/>
    <w:rsid w:val="00456CDD"/>
    <w:rsid w:val="00456E34"/>
    <w:rsid w:val="00456F6C"/>
    <w:rsid w:val="0045707D"/>
    <w:rsid w:val="004577FF"/>
    <w:rsid w:val="00457F7B"/>
    <w:rsid w:val="0046043D"/>
    <w:rsid w:val="00461118"/>
    <w:rsid w:val="00462177"/>
    <w:rsid w:val="00462D67"/>
    <w:rsid w:val="00462E1F"/>
    <w:rsid w:val="00462E40"/>
    <w:rsid w:val="00462EAD"/>
    <w:rsid w:val="00463C90"/>
    <w:rsid w:val="0046403B"/>
    <w:rsid w:val="00464272"/>
    <w:rsid w:val="00464D75"/>
    <w:rsid w:val="004655E6"/>
    <w:rsid w:val="00465A2E"/>
    <w:rsid w:val="00465AAF"/>
    <w:rsid w:val="00465B48"/>
    <w:rsid w:val="004660EF"/>
    <w:rsid w:val="0046673E"/>
    <w:rsid w:val="00466BDD"/>
    <w:rsid w:val="00466D7D"/>
    <w:rsid w:val="00466F50"/>
    <w:rsid w:val="004674AA"/>
    <w:rsid w:val="004678D3"/>
    <w:rsid w:val="00467AE2"/>
    <w:rsid w:val="00467E58"/>
    <w:rsid w:val="0047082F"/>
    <w:rsid w:val="00470C47"/>
    <w:rsid w:val="00470E79"/>
    <w:rsid w:val="004718D4"/>
    <w:rsid w:val="00471ED6"/>
    <w:rsid w:val="00472A42"/>
    <w:rsid w:val="00473419"/>
    <w:rsid w:val="0047362D"/>
    <w:rsid w:val="00473BCD"/>
    <w:rsid w:val="00473ED1"/>
    <w:rsid w:val="00473FDE"/>
    <w:rsid w:val="00474283"/>
    <w:rsid w:val="00474522"/>
    <w:rsid w:val="00475283"/>
    <w:rsid w:val="0047533D"/>
    <w:rsid w:val="0047559C"/>
    <w:rsid w:val="00475EF0"/>
    <w:rsid w:val="004764BE"/>
    <w:rsid w:val="00476559"/>
    <w:rsid w:val="00476AE0"/>
    <w:rsid w:val="00477940"/>
    <w:rsid w:val="00480655"/>
    <w:rsid w:val="004810B7"/>
    <w:rsid w:val="00482251"/>
    <w:rsid w:val="004846BD"/>
    <w:rsid w:val="00485162"/>
    <w:rsid w:val="0048598D"/>
    <w:rsid w:val="004859BD"/>
    <w:rsid w:val="0048624E"/>
    <w:rsid w:val="00486367"/>
    <w:rsid w:val="00486E89"/>
    <w:rsid w:val="00487130"/>
    <w:rsid w:val="004875FC"/>
    <w:rsid w:val="0049047F"/>
    <w:rsid w:val="004920C3"/>
    <w:rsid w:val="004926CA"/>
    <w:rsid w:val="004934EE"/>
    <w:rsid w:val="00493EEC"/>
    <w:rsid w:val="00494325"/>
    <w:rsid w:val="004949C1"/>
    <w:rsid w:val="00495BB8"/>
    <w:rsid w:val="004964C9"/>
    <w:rsid w:val="00496796"/>
    <w:rsid w:val="00496A90"/>
    <w:rsid w:val="00496E8B"/>
    <w:rsid w:val="00497B3B"/>
    <w:rsid w:val="00497E86"/>
    <w:rsid w:val="004A129A"/>
    <w:rsid w:val="004A16A8"/>
    <w:rsid w:val="004A1828"/>
    <w:rsid w:val="004A1D02"/>
    <w:rsid w:val="004A2543"/>
    <w:rsid w:val="004A2605"/>
    <w:rsid w:val="004A2982"/>
    <w:rsid w:val="004A2A20"/>
    <w:rsid w:val="004A2FC0"/>
    <w:rsid w:val="004A319A"/>
    <w:rsid w:val="004A35F1"/>
    <w:rsid w:val="004A3F48"/>
    <w:rsid w:val="004A46BC"/>
    <w:rsid w:val="004A487F"/>
    <w:rsid w:val="004A4929"/>
    <w:rsid w:val="004A5D66"/>
    <w:rsid w:val="004A5DBC"/>
    <w:rsid w:val="004A5E40"/>
    <w:rsid w:val="004A6211"/>
    <w:rsid w:val="004A65A5"/>
    <w:rsid w:val="004A71E2"/>
    <w:rsid w:val="004B00A2"/>
    <w:rsid w:val="004B0377"/>
    <w:rsid w:val="004B1A8C"/>
    <w:rsid w:val="004B2905"/>
    <w:rsid w:val="004B2EC6"/>
    <w:rsid w:val="004B394A"/>
    <w:rsid w:val="004B3C0A"/>
    <w:rsid w:val="004B3CAD"/>
    <w:rsid w:val="004B4000"/>
    <w:rsid w:val="004B40CD"/>
    <w:rsid w:val="004B4235"/>
    <w:rsid w:val="004B4BB2"/>
    <w:rsid w:val="004B4BD4"/>
    <w:rsid w:val="004B4EB0"/>
    <w:rsid w:val="004B51E9"/>
    <w:rsid w:val="004B5344"/>
    <w:rsid w:val="004B5B05"/>
    <w:rsid w:val="004B5CAC"/>
    <w:rsid w:val="004B5CC3"/>
    <w:rsid w:val="004B5D92"/>
    <w:rsid w:val="004B6187"/>
    <w:rsid w:val="004B74D4"/>
    <w:rsid w:val="004B78A4"/>
    <w:rsid w:val="004B7ECA"/>
    <w:rsid w:val="004C035B"/>
    <w:rsid w:val="004C06D6"/>
    <w:rsid w:val="004C0F0F"/>
    <w:rsid w:val="004C1578"/>
    <w:rsid w:val="004C1A0C"/>
    <w:rsid w:val="004C1E9A"/>
    <w:rsid w:val="004C2735"/>
    <w:rsid w:val="004C28F4"/>
    <w:rsid w:val="004C2C67"/>
    <w:rsid w:val="004C30D2"/>
    <w:rsid w:val="004C382E"/>
    <w:rsid w:val="004C3E51"/>
    <w:rsid w:val="004C3EB3"/>
    <w:rsid w:val="004C43FA"/>
    <w:rsid w:val="004C455C"/>
    <w:rsid w:val="004C4BF5"/>
    <w:rsid w:val="004C54AA"/>
    <w:rsid w:val="004C589D"/>
    <w:rsid w:val="004C5F68"/>
    <w:rsid w:val="004C6646"/>
    <w:rsid w:val="004C68A5"/>
    <w:rsid w:val="004C6AC7"/>
    <w:rsid w:val="004C7538"/>
    <w:rsid w:val="004D0113"/>
    <w:rsid w:val="004D03E8"/>
    <w:rsid w:val="004D0736"/>
    <w:rsid w:val="004D0C01"/>
    <w:rsid w:val="004D2116"/>
    <w:rsid w:val="004D2D87"/>
    <w:rsid w:val="004D2EA7"/>
    <w:rsid w:val="004D3965"/>
    <w:rsid w:val="004D4192"/>
    <w:rsid w:val="004D4CCE"/>
    <w:rsid w:val="004D4F31"/>
    <w:rsid w:val="004D5064"/>
    <w:rsid w:val="004D51C3"/>
    <w:rsid w:val="004D54D4"/>
    <w:rsid w:val="004D6972"/>
    <w:rsid w:val="004D790B"/>
    <w:rsid w:val="004E010C"/>
    <w:rsid w:val="004E0121"/>
    <w:rsid w:val="004E06C0"/>
    <w:rsid w:val="004E0844"/>
    <w:rsid w:val="004E0884"/>
    <w:rsid w:val="004E1289"/>
    <w:rsid w:val="004E1B97"/>
    <w:rsid w:val="004E1D72"/>
    <w:rsid w:val="004E1E01"/>
    <w:rsid w:val="004E30D5"/>
    <w:rsid w:val="004E3736"/>
    <w:rsid w:val="004E3798"/>
    <w:rsid w:val="004E3D7B"/>
    <w:rsid w:val="004E447D"/>
    <w:rsid w:val="004E521D"/>
    <w:rsid w:val="004E5389"/>
    <w:rsid w:val="004E6C23"/>
    <w:rsid w:val="004E6CF7"/>
    <w:rsid w:val="004E70FF"/>
    <w:rsid w:val="004E7126"/>
    <w:rsid w:val="004E7323"/>
    <w:rsid w:val="004E7B60"/>
    <w:rsid w:val="004F029D"/>
    <w:rsid w:val="004F0403"/>
    <w:rsid w:val="004F09A6"/>
    <w:rsid w:val="004F0C08"/>
    <w:rsid w:val="004F0CCA"/>
    <w:rsid w:val="004F1194"/>
    <w:rsid w:val="004F1770"/>
    <w:rsid w:val="004F189A"/>
    <w:rsid w:val="004F20CB"/>
    <w:rsid w:val="004F2D3C"/>
    <w:rsid w:val="004F2E06"/>
    <w:rsid w:val="004F32A8"/>
    <w:rsid w:val="004F3A69"/>
    <w:rsid w:val="004F3C64"/>
    <w:rsid w:val="004F3D2E"/>
    <w:rsid w:val="004F4622"/>
    <w:rsid w:val="004F4B65"/>
    <w:rsid w:val="004F4F5D"/>
    <w:rsid w:val="004F58E8"/>
    <w:rsid w:val="004F5E3B"/>
    <w:rsid w:val="004F6CF6"/>
    <w:rsid w:val="004F771F"/>
    <w:rsid w:val="00500196"/>
    <w:rsid w:val="00500E72"/>
    <w:rsid w:val="00501C91"/>
    <w:rsid w:val="00503487"/>
    <w:rsid w:val="005034B0"/>
    <w:rsid w:val="005036E6"/>
    <w:rsid w:val="00503A29"/>
    <w:rsid w:val="00503AE5"/>
    <w:rsid w:val="00503B6A"/>
    <w:rsid w:val="00503C59"/>
    <w:rsid w:val="00504273"/>
    <w:rsid w:val="0050499F"/>
    <w:rsid w:val="0050547F"/>
    <w:rsid w:val="00505503"/>
    <w:rsid w:val="00505708"/>
    <w:rsid w:val="00505CD8"/>
    <w:rsid w:val="00507260"/>
    <w:rsid w:val="00507852"/>
    <w:rsid w:val="00507FD9"/>
    <w:rsid w:val="0051017F"/>
    <w:rsid w:val="00510FD8"/>
    <w:rsid w:val="00511612"/>
    <w:rsid w:val="00512171"/>
    <w:rsid w:val="00512294"/>
    <w:rsid w:val="005126EA"/>
    <w:rsid w:val="00512C74"/>
    <w:rsid w:val="00513642"/>
    <w:rsid w:val="00513787"/>
    <w:rsid w:val="00513CF8"/>
    <w:rsid w:val="00513D3F"/>
    <w:rsid w:val="005149C7"/>
    <w:rsid w:val="005150BD"/>
    <w:rsid w:val="005156B8"/>
    <w:rsid w:val="0051651E"/>
    <w:rsid w:val="005169CE"/>
    <w:rsid w:val="00517728"/>
    <w:rsid w:val="00520242"/>
    <w:rsid w:val="00520F87"/>
    <w:rsid w:val="00521B7A"/>
    <w:rsid w:val="00522711"/>
    <w:rsid w:val="00522E3A"/>
    <w:rsid w:val="00523D6B"/>
    <w:rsid w:val="005243FA"/>
    <w:rsid w:val="00524FCC"/>
    <w:rsid w:val="00525242"/>
    <w:rsid w:val="005255A9"/>
    <w:rsid w:val="00525D46"/>
    <w:rsid w:val="00525D79"/>
    <w:rsid w:val="00525FFF"/>
    <w:rsid w:val="00526C8F"/>
    <w:rsid w:val="0053065F"/>
    <w:rsid w:val="00530C04"/>
    <w:rsid w:val="005315A3"/>
    <w:rsid w:val="00532890"/>
    <w:rsid w:val="005328F7"/>
    <w:rsid w:val="005330B9"/>
    <w:rsid w:val="00533278"/>
    <w:rsid w:val="00533396"/>
    <w:rsid w:val="005334B5"/>
    <w:rsid w:val="0053363F"/>
    <w:rsid w:val="00533C84"/>
    <w:rsid w:val="00535338"/>
    <w:rsid w:val="00535632"/>
    <w:rsid w:val="00535D33"/>
    <w:rsid w:val="00535DE0"/>
    <w:rsid w:val="00535ED7"/>
    <w:rsid w:val="0053605E"/>
    <w:rsid w:val="0053677E"/>
    <w:rsid w:val="005369AA"/>
    <w:rsid w:val="005371B8"/>
    <w:rsid w:val="00537E98"/>
    <w:rsid w:val="00540909"/>
    <w:rsid w:val="00541398"/>
    <w:rsid w:val="00541CE8"/>
    <w:rsid w:val="00542C8F"/>
    <w:rsid w:val="00542FD4"/>
    <w:rsid w:val="00543420"/>
    <w:rsid w:val="00543E12"/>
    <w:rsid w:val="00544440"/>
    <w:rsid w:val="00544FE2"/>
    <w:rsid w:val="00546917"/>
    <w:rsid w:val="005469CC"/>
    <w:rsid w:val="005476B4"/>
    <w:rsid w:val="005478B6"/>
    <w:rsid w:val="0055061D"/>
    <w:rsid w:val="00550944"/>
    <w:rsid w:val="0055116E"/>
    <w:rsid w:val="00551946"/>
    <w:rsid w:val="00551DE0"/>
    <w:rsid w:val="00552132"/>
    <w:rsid w:val="005524F7"/>
    <w:rsid w:val="00552978"/>
    <w:rsid w:val="00552B95"/>
    <w:rsid w:val="00552E3B"/>
    <w:rsid w:val="00553098"/>
    <w:rsid w:val="005530C7"/>
    <w:rsid w:val="005531DA"/>
    <w:rsid w:val="005532E8"/>
    <w:rsid w:val="005538D1"/>
    <w:rsid w:val="00553D82"/>
    <w:rsid w:val="00553D88"/>
    <w:rsid w:val="00554356"/>
    <w:rsid w:val="00555746"/>
    <w:rsid w:val="00555946"/>
    <w:rsid w:val="00555A3F"/>
    <w:rsid w:val="0055601B"/>
    <w:rsid w:val="005565F0"/>
    <w:rsid w:val="00557E4C"/>
    <w:rsid w:val="00557EE1"/>
    <w:rsid w:val="00560C1F"/>
    <w:rsid w:val="00560D55"/>
    <w:rsid w:val="005610B3"/>
    <w:rsid w:val="005612E3"/>
    <w:rsid w:val="005631D5"/>
    <w:rsid w:val="005636C4"/>
    <w:rsid w:val="005648EE"/>
    <w:rsid w:val="00564DFE"/>
    <w:rsid w:val="0056605D"/>
    <w:rsid w:val="005663E2"/>
    <w:rsid w:val="00566C52"/>
    <w:rsid w:val="00567212"/>
    <w:rsid w:val="00567C8C"/>
    <w:rsid w:val="00567D28"/>
    <w:rsid w:val="0057038A"/>
    <w:rsid w:val="00570918"/>
    <w:rsid w:val="00570EF5"/>
    <w:rsid w:val="005713C1"/>
    <w:rsid w:val="005714EB"/>
    <w:rsid w:val="00571664"/>
    <w:rsid w:val="00571F8A"/>
    <w:rsid w:val="00572159"/>
    <w:rsid w:val="005739C5"/>
    <w:rsid w:val="0057457B"/>
    <w:rsid w:val="0057468D"/>
    <w:rsid w:val="005748DD"/>
    <w:rsid w:val="00574A1A"/>
    <w:rsid w:val="005756E5"/>
    <w:rsid w:val="00575859"/>
    <w:rsid w:val="005759C2"/>
    <w:rsid w:val="00575DB4"/>
    <w:rsid w:val="0057655C"/>
    <w:rsid w:val="005768B9"/>
    <w:rsid w:val="00576FF1"/>
    <w:rsid w:val="00577073"/>
    <w:rsid w:val="0057728E"/>
    <w:rsid w:val="0057757E"/>
    <w:rsid w:val="00577605"/>
    <w:rsid w:val="00577C4C"/>
    <w:rsid w:val="00577E11"/>
    <w:rsid w:val="005805EE"/>
    <w:rsid w:val="00580705"/>
    <w:rsid w:val="00580A1E"/>
    <w:rsid w:val="00580A8D"/>
    <w:rsid w:val="00580E9D"/>
    <w:rsid w:val="005814B1"/>
    <w:rsid w:val="00581858"/>
    <w:rsid w:val="00582104"/>
    <w:rsid w:val="00582645"/>
    <w:rsid w:val="005826F8"/>
    <w:rsid w:val="00582A68"/>
    <w:rsid w:val="00582BFB"/>
    <w:rsid w:val="00583DFD"/>
    <w:rsid w:val="00584978"/>
    <w:rsid w:val="00584AA7"/>
    <w:rsid w:val="0058563B"/>
    <w:rsid w:val="005856A6"/>
    <w:rsid w:val="005857AC"/>
    <w:rsid w:val="0058585E"/>
    <w:rsid w:val="005859FA"/>
    <w:rsid w:val="00585C8C"/>
    <w:rsid w:val="00586B95"/>
    <w:rsid w:val="00587423"/>
    <w:rsid w:val="0058769C"/>
    <w:rsid w:val="0059052F"/>
    <w:rsid w:val="00590657"/>
    <w:rsid w:val="00590A33"/>
    <w:rsid w:val="00590D9D"/>
    <w:rsid w:val="005914CB"/>
    <w:rsid w:val="00591695"/>
    <w:rsid w:val="005917B3"/>
    <w:rsid w:val="00591C2B"/>
    <w:rsid w:val="005921E4"/>
    <w:rsid w:val="005937AB"/>
    <w:rsid w:val="00594107"/>
    <w:rsid w:val="00594234"/>
    <w:rsid w:val="00594E36"/>
    <w:rsid w:val="005952ED"/>
    <w:rsid w:val="0059652B"/>
    <w:rsid w:val="005968AE"/>
    <w:rsid w:val="00597893"/>
    <w:rsid w:val="005A0A74"/>
    <w:rsid w:val="005A0ADD"/>
    <w:rsid w:val="005A12DD"/>
    <w:rsid w:val="005A159A"/>
    <w:rsid w:val="005A1812"/>
    <w:rsid w:val="005A1BC1"/>
    <w:rsid w:val="005A1E6D"/>
    <w:rsid w:val="005A22F8"/>
    <w:rsid w:val="005A2BA2"/>
    <w:rsid w:val="005A37F4"/>
    <w:rsid w:val="005A4681"/>
    <w:rsid w:val="005A61C9"/>
    <w:rsid w:val="005B0076"/>
    <w:rsid w:val="005B01F5"/>
    <w:rsid w:val="005B0303"/>
    <w:rsid w:val="005B0333"/>
    <w:rsid w:val="005B172A"/>
    <w:rsid w:val="005B1771"/>
    <w:rsid w:val="005B18D8"/>
    <w:rsid w:val="005B3204"/>
    <w:rsid w:val="005B3720"/>
    <w:rsid w:val="005B3799"/>
    <w:rsid w:val="005B3DAA"/>
    <w:rsid w:val="005B4164"/>
    <w:rsid w:val="005B5970"/>
    <w:rsid w:val="005B5AD0"/>
    <w:rsid w:val="005B5E5F"/>
    <w:rsid w:val="005B6C90"/>
    <w:rsid w:val="005B6FD6"/>
    <w:rsid w:val="005B7BE3"/>
    <w:rsid w:val="005C002D"/>
    <w:rsid w:val="005C080B"/>
    <w:rsid w:val="005C0A4B"/>
    <w:rsid w:val="005C0A59"/>
    <w:rsid w:val="005C20F3"/>
    <w:rsid w:val="005C27A1"/>
    <w:rsid w:val="005C2A99"/>
    <w:rsid w:val="005C42AB"/>
    <w:rsid w:val="005C4892"/>
    <w:rsid w:val="005C501E"/>
    <w:rsid w:val="005C52B7"/>
    <w:rsid w:val="005C55AD"/>
    <w:rsid w:val="005C5748"/>
    <w:rsid w:val="005C5B21"/>
    <w:rsid w:val="005C66F0"/>
    <w:rsid w:val="005C684E"/>
    <w:rsid w:val="005C69CA"/>
    <w:rsid w:val="005C73F9"/>
    <w:rsid w:val="005C742A"/>
    <w:rsid w:val="005C784F"/>
    <w:rsid w:val="005C7CA3"/>
    <w:rsid w:val="005D1D7E"/>
    <w:rsid w:val="005D23D5"/>
    <w:rsid w:val="005D2729"/>
    <w:rsid w:val="005D2C03"/>
    <w:rsid w:val="005D3160"/>
    <w:rsid w:val="005D3671"/>
    <w:rsid w:val="005D406D"/>
    <w:rsid w:val="005D44F6"/>
    <w:rsid w:val="005D541A"/>
    <w:rsid w:val="005D5503"/>
    <w:rsid w:val="005D5DC5"/>
    <w:rsid w:val="005D617A"/>
    <w:rsid w:val="005D629E"/>
    <w:rsid w:val="005D64C8"/>
    <w:rsid w:val="005D6C6B"/>
    <w:rsid w:val="005D7185"/>
    <w:rsid w:val="005D74D3"/>
    <w:rsid w:val="005D7BC0"/>
    <w:rsid w:val="005E00BC"/>
    <w:rsid w:val="005E09DA"/>
    <w:rsid w:val="005E14BB"/>
    <w:rsid w:val="005E166E"/>
    <w:rsid w:val="005E1671"/>
    <w:rsid w:val="005E22BE"/>
    <w:rsid w:val="005E29A4"/>
    <w:rsid w:val="005E3093"/>
    <w:rsid w:val="005E3A63"/>
    <w:rsid w:val="005E3B15"/>
    <w:rsid w:val="005E489B"/>
    <w:rsid w:val="005E4BB2"/>
    <w:rsid w:val="005E5332"/>
    <w:rsid w:val="005E5670"/>
    <w:rsid w:val="005E5A99"/>
    <w:rsid w:val="005E5BDC"/>
    <w:rsid w:val="005E5D92"/>
    <w:rsid w:val="005E6061"/>
    <w:rsid w:val="005E61F8"/>
    <w:rsid w:val="005E66F0"/>
    <w:rsid w:val="005E698D"/>
    <w:rsid w:val="005E7308"/>
    <w:rsid w:val="005E7EC7"/>
    <w:rsid w:val="005F0478"/>
    <w:rsid w:val="005F0640"/>
    <w:rsid w:val="005F08BA"/>
    <w:rsid w:val="005F0A85"/>
    <w:rsid w:val="005F0FCA"/>
    <w:rsid w:val="005F1294"/>
    <w:rsid w:val="005F17FC"/>
    <w:rsid w:val="005F19B4"/>
    <w:rsid w:val="005F1BF9"/>
    <w:rsid w:val="005F2471"/>
    <w:rsid w:val="005F2774"/>
    <w:rsid w:val="005F2784"/>
    <w:rsid w:val="005F3799"/>
    <w:rsid w:val="005F3FE0"/>
    <w:rsid w:val="005F47E6"/>
    <w:rsid w:val="005F561D"/>
    <w:rsid w:val="005F5949"/>
    <w:rsid w:val="005F5A48"/>
    <w:rsid w:val="005F5CA1"/>
    <w:rsid w:val="005F647A"/>
    <w:rsid w:val="005F71E7"/>
    <w:rsid w:val="005F72E4"/>
    <w:rsid w:val="005F738D"/>
    <w:rsid w:val="005F771D"/>
    <w:rsid w:val="005F776B"/>
    <w:rsid w:val="005F782D"/>
    <w:rsid w:val="005F7EB3"/>
    <w:rsid w:val="005F7F15"/>
    <w:rsid w:val="006001AD"/>
    <w:rsid w:val="00600928"/>
    <w:rsid w:val="00600A1F"/>
    <w:rsid w:val="00600D6E"/>
    <w:rsid w:val="00601AC5"/>
    <w:rsid w:val="0060280D"/>
    <w:rsid w:val="00602CD7"/>
    <w:rsid w:val="00603B45"/>
    <w:rsid w:val="006040BC"/>
    <w:rsid w:val="0060439D"/>
    <w:rsid w:val="0060474D"/>
    <w:rsid w:val="00604BFB"/>
    <w:rsid w:val="00604E45"/>
    <w:rsid w:val="006051A0"/>
    <w:rsid w:val="006053C0"/>
    <w:rsid w:val="00605451"/>
    <w:rsid w:val="0060598B"/>
    <w:rsid w:val="00605F26"/>
    <w:rsid w:val="0060609D"/>
    <w:rsid w:val="006060CA"/>
    <w:rsid w:val="0060690A"/>
    <w:rsid w:val="006069AC"/>
    <w:rsid w:val="00606C87"/>
    <w:rsid w:val="00607739"/>
    <w:rsid w:val="00611549"/>
    <w:rsid w:val="00611811"/>
    <w:rsid w:val="00611B0C"/>
    <w:rsid w:val="00611DD2"/>
    <w:rsid w:val="006126F7"/>
    <w:rsid w:val="0061399D"/>
    <w:rsid w:val="00613DFE"/>
    <w:rsid w:val="00613EF6"/>
    <w:rsid w:val="00614438"/>
    <w:rsid w:val="00615503"/>
    <w:rsid w:val="0061613D"/>
    <w:rsid w:val="0061687A"/>
    <w:rsid w:val="00617D86"/>
    <w:rsid w:val="0062009A"/>
    <w:rsid w:val="006200C8"/>
    <w:rsid w:val="006201CE"/>
    <w:rsid w:val="0062069E"/>
    <w:rsid w:val="006209BF"/>
    <w:rsid w:val="006221E8"/>
    <w:rsid w:val="0062278A"/>
    <w:rsid w:val="00622798"/>
    <w:rsid w:val="0062283F"/>
    <w:rsid w:val="00622C57"/>
    <w:rsid w:val="0062341F"/>
    <w:rsid w:val="00623818"/>
    <w:rsid w:val="00623F86"/>
    <w:rsid w:val="00624A07"/>
    <w:rsid w:val="00624C41"/>
    <w:rsid w:val="00625430"/>
    <w:rsid w:val="006259E6"/>
    <w:rsid w:val="00627407"/>
    <w:rsid w:val="00627B31"/>
    <w:rsid w:val="00630F73"/>
    <w:rsid w:val="00630FE5"/>
    <w:rsid w:val="006310F2"/>
    <w:rsid w:val="00631153"/>
    <w:rsid w:val="006313CE"/>
    <w:rsid w:val="0063165E"/>
    <w:rsid w:val="00631D40"/>
    <w:rsid w:val="006320C7"/>
    <w:rsid w:val="00632C1C"/>
    <w:rsid w:val="00632DAA"/>
    <w:rsid w:val="006334BC"/>
    <w:rsid w:val="00635903"/>
    <w:rsid w:val="00640061"/>
    <w:rsid w:val="006400C6"/>
    <w:rsid w:val="0064077C"/>
    <w:rsid w:val="006408BA"/>
    <w:rsid w:val="00641599"/>
    <w:rsid w:val="0064170B"/>
    <w:rsid w:val="00641F1C"/>
    <w:rsid w:val="006436D6"/>
    <w:rsid w:val="00643FEB"/>
    <w:rsid w:val="0064401F"/>
    <w:rsid w:val="006444E6"/>
    <w:rsid w:val="00645373"/>
    <w:rsid w:val="006458BD"/>
    <w:rsid w:val="00645BD8"/>
    <w:rsid w:val="006462D9"/>
    <w:rsid w:val="0064654A"/>
    <w:rsid w:val="006465CD"/>
    <w:rsid w:val="006467B7"/>
    <w:rsid w:val="00647375"/>
    <w:rsid w:val="00647E5E"/>
    <w:rsid w:val="00650D8D"/>
    <w:rsid w:val="0065150F"/>
    <w:rsid w:val="0065175A"/>
    <w:rsid w:val="006517E8"/>
    <w:rsid w:val="00651B7F"/>
    <w:rsid w:val="0065243E"/>
    <w:rsid w:val="006526C0"/>
    <w:rsid w:val="00652A3A"/>
    <w:rsid w:val="00652E1E"/>
    <w:rsid w:val="00654DA5"/>
    <w:rsid w:val="0065561A"/>
    <w:rsid w:val="006559BE"/>
    <w:rsid w:val="0065674C"/>
    <w:rsid w:val="00656E2C"/>
    <w:rsid w:val="006571AC"/>
    <w:rsid w:val="006572E7"/>
    <w:rsid w:val="006578BB"/>
    <w:rsid w:val="00657AC0"/>
    <w:rsid w:val="00657C76"/>
    <w:rsid w:val="00660327"/>
    <w:rsid w:val="006609DB"/>
    <w:rsid w:val="00660A98"/>
    <w:rsid w:val="00661628"/>
    <w:rsid w:val="0066183D"/>
    <w:rsid w:val="00661E26"/>
    <w:rsid w:val="006620E5"/>
    <w:rsid w:val="006631B7"/>
    <w:rsid w:val="00663546"/>
    <w:rsid w:val="0066366C"/>
    <w:rsid w:val="0066369A"/>
    <w:rsid w:val="00663B27"/>
    <w:rsid w:val="00663FCA"/>
    <w:rsid w:val="006642F6"/>
    <w:rsid w:val="006646C4"/>
    <w:rsid w:val="00664723"/>
    <w:rsid w:val="00664DC0"/>
    <w:rsid w:val="00665FF7"/>
    <w:rsid w:val="006663DE"/>
    <w:rsid w:val="00667344"/>
    <w:rsid w:val="00667A6E"/>
    <w:rsid w:val="00670BBF"/>
    <w:rsid w:val="00671FBB"/>
    <w:rsid w:val="006730FB"/>
    <w:rsid w:val="00673463"/>
    <w:rsid w:val="00673E66"/>
    <w:rsid w:val="00674BE3"/>
    <w:rsid w:val="00674D7C"/>
    <w:rsid w:val="00674F34"/>
    <w:rsid w:val="00675024"/>
    <w:rsid w:val="00675561"/>
    <w:rsid w:val="006757CC"/>
    <w:rsid w:val="00676478"/>
    <w:rsid w:val="00676B25"/>
    <w:rsid w:val="00676D4A"/>
    <w:rsid w:val="00677051"/>
    <w:rsid w:val="006772F3"/>
    <w:rsid w:val="00677658"/>
    <w:rsid w:val="00677CA1"/>
    <w:rsid w:val="0068083F"/>
    <w:rsid w:val="006808C7"/>
    <w:rsid w:val="00680A05"/>
    <w:rsid w:val="006812C6"/>
    <w:rsid w:val="006833FD"/>
    <w:rsid w:val="00683A2B"/>
    <w:rsid w:val="006840C2"/>
    <w:rsid w:val="0068449C"/>
    <w:rsid w:val="00684932"/>
    <w:rsid w:val="00684A4C"/>
    <w:rsid w:val="006857DB"/>
    <w:rsid w:val="00685897"/>
    <w:rsid w:val="006861B8"/>
    <w:rsid w:val="0068634A"/>
    <w:rsid w:val="0068641C"/>
    <w:rsid w:val="00686C02"/>
    <w:rsid w:val="006870A7"/>
    <w:rsid w:val="00687EFF"/>
    <w:rsid w:val="006905A5"/>
    <w:rsid w:val="00691062"/>
    <w:rsid w:val="00691D11"/>
    <w:rsid w:val="00692821"/>
    <w:rsid w:val="00692DDE"/>
    <w:rsid w:val="006938D4"/>
    <w:rsid w:val="006943B4"/>
    <w:rsid w:val="0069461F"/>
    <w:rsid w:val="006947A1"/>
    <w:rsid w:val="00694882"/>
    <w:rsid w:val="006950D7"/>
    <w:rsid w:val="0069563A"/>
    <w:rsid w:val="00695851"/>
    <w:rsid w:val="00697115"/>
    <w:rsid w:val="0069715D"/>
    <w:rsid w:val="00697631"/>
    <w:rsid w:val="006A036C"/>
    <w:rsid w:val="006A06E2"/>
    <w:rsid w:val="006A0F14"/>
    <w:rsid w:val="006A0F43"/>
    <w:rsid w:val="006A187C"/>
    <w:rsid w:val="006A2D17"/>
    <w:rsid w:val="006A3077"/>
    <w:rsid w:val="006A33C2"/>
    <w:rsid w:val="006A3901"/>
    <w:rsid w:val="006A39A9"/>
    <w:rsid w:val="006A417C"/>
    <w:rsid w:val="006A490E"/>
    <w:rsid w:val="006A4984"/>
    <w:rsid w:val="006A4BEC"/>
    <w:rsid w:val="006A4DBA"/>
    <w:rsid w:val="006A5078"/>
    <w:rsid w:val="006A547F"/>
    <w:rsid w:val="006A54D4"/>
    <w:rsid w:val="006A64AB"/>
    <w:rsid w:val="006A6979"/>
    <w:rsid w:val="006A7500"/>
    <w:rsid w:val="006A7803"/>
    <w:rsid w:val="006B017B"/>
    <w:rsid w:val="006B0253"/>
    <w:rsid w:val="006B045E"/>
    <w:rsid w:val="006B0539"/>
    <w:rsid w:val="006B0821"/>
    <w:rsid w:val="006B0914"/>
    <w:rsid w:val="006B17A3"/>
    <w:rsid w:val="006B19F6"/>
    <w:rsid w:val="006B1FA8"/>
    <w:rsid w:val="006B2566"/>
    <w:rsid w:val="006B3A18"/>
    <w:rsid w:val="006B4315"/>
    <w:rsid w:val="006B457F"/>
    <w:rsid w:val="006B471B"/>
    <w:rsid w:val="006B4AA2"/>
    <w:rsid w:val="006B4BFE"/>
    <w:rsid w:val="006B4FB1"/>
    <w:rsid w:val="006B5851"/>
    <w:rsid w:val="006B5AC4"/>
    <w:rsid w:val="006B5FBD"/>
    <w:rsid w:val="006B60FD"/>
    <w:rsid w:val="006B6F29"/>
    <w:rsid w:val="006B6F55"/>
    <w:rsid w:val="006B7541"/>
    <w:rsid w:val="006B7567"/>
    <w:rsid w:val="006C0EA9"/>
    <w:rsid w:val="006C13EB"/>
    <w:rsid w:val="006C13FC"/>
    <w:rsid w:val="006C1771"/>
    <w:rsid w:val="006C18D7"/>
    <w:rsid w:val="006C1DBB"/>
    <w:rsid w:val="006C271F"/>
    <w:rsid w:val="006C2C24"/>
    <w:rsid w:val="006C376B"/>
    <w:rsid w:val="006C3B22"/>
    <w:rsid w:val="006C3DBE"/>
    <w:rsid w:val="006C41DD"/>
    <w:rsid w:val="006C4236"/>
    <w:rsid w:val="006C53E5"/>
    <w:rsid w:val="006C6484"/>
    <w:rsid w:val="006C6CE0"/>
    <w:rsid w:val="006C71A8"/>
    <w:rsid w:val="006C776E"/>
    <w:rsid w:val="006C77A2"/>
    <w:rsid w:val="006C78A1"/>
    <w:rsid w:val="006C7B01"/>
    <w:rsid w:val="006D0307"/>
    <w:rsid w:val="006D039D"/>
    <w:rsid w:val="006D0B6D"/>
    <w:rsid w:val="006D1733"/>
    <w:rsid w:val="006D193C"/>
    <w:rsid w:val="006D1B01"/>
    <w:rsid w:val="006D200E"/>
    <w:rsid w:val="006D212E"/>
    <w:rsid w:val="006D2A29"/>
    <w:rsid w:val="006D2DB2"/>
    <w:rsid w:val="006D30C1"/>
    <w:rsid w:val="006D4958"/>
    <w:rsid w:val="006D56EA"/>
    <w:rsid w:val="006D5764"/>
    <w:rsid w:val="006D5F20"/>
    <w:rsid w:val="006D7114"/>
    <w:rsid w:val="006D79C1"/>
    <w:rsid w:val="006D7E81"/>
    <w:rsid w:val="006E078B"/>
    <w:rsid w:val="006E08F6"/>
    <w:rsid w:val="006E13AD"/>
    <w:rsid w:val="006E16FE"/>
    <w:rsid w:val="006E219B"/>
    <w:rsid w:val="006E30B7"/>
    <w:rsid w:val="006E3B8B"/>
    <w:rsid w:val="006E43E2"/>
    <w:rsid w:val="006E43E3"/>
    <w:rsid w:val="006E44E2"/>
    <w:rsid w:val="006E4A3D"/>
    <w:rsid w:val="006E4E74"/>
    <w:rsid w:val="006E5615"/>
    <w:rsid w:val="006E588C"/>
    <w:rsid w:val="006E5E2D"/>
    <w:rsid w:val="006E7091"/>
    <w:rsid w:val="006E70DA"/>
    <w:rsid w:val="006E7557"/>
    <w:rsid w:val="006E766F"/>
    <w:rsid w:val="006E7842"/>
    <w:rsid w:val="006E7ED4"/>
    <w:rsid w:val="006F0033"/>
    <w:rsid w:val="006F02B8"/>
    <w:rsid w:val="006F0412"/>
    <w:rsid w:val="006F17BE"/>
    <w:rsid w:val="006F1F10"/>
    <w:rsid w:val="006F23E4"/>
    <w:rsid w:val="006F2A81"/>
    <w:rsid w:val="006F2A9C"/>
    <w:rsid w:val="006F363E"/>
    <w:rsid w:val="006F3EAE"/>
    <w:rsid w:val="006F424F"/>
    <w:rsid w:val="006F47F3"/>
    <w:rsid w:val="006F4AC5"/>
    <w:rsid w:val="006F4D81"/>
    <w:rsid w:val="006F5D84"/>
    <w:rsid w:val="006F5DE1"/>
    <w:rsid w:val="006F64CE"/>
    <w:rsid w:val="006F6585"/>
    <w:rsid w:val="006F6D02"/>
    <w:rsid w:val="006F7714"/>
    <w:rsid w:val="006F77F7"/>
    <w:rsid w:val="006F7B96"/>
    <w:rsid w:val="006F7E4E"/>
    <w:rsid w:val="007008A3"/>
    <w:rsid w:val="00700AF6"/>
    <w:rsid w:val="007018F8"/>
    <w:rsid w:val="00702331"/>
    <w:rsid w:val="0070234B"/>
    <w:rsid w:val="00702659"/>
    <w:rsid w:val="00702801"/>
    <w:rsid w:val="00702F0D"/>
    <w:rsid w:val="00702F61"/>
    <w:rsid w:val="00703B09"/>
    <w:rsid w:val="00704C90"/>
    <w:rsid w:val="00705260"/>
    <w:rsid w:val="00705331"/>
    <w:rsid w:val="0070555A"/>
    <w:rsid w:val="00705B99"/>
    <w:rsid w:val="00705BB6"/>
    <w:rsid w:val="00705C7A"/>
    <w:rsid w:val="00705C7E"/>
    <w:rsid w:val="00705DE0"/>
    <w:rsid w:val="007062D9"/>
    <w:rsid w:val="00706D40"/>
    <w:rsid w:val="007078AB"/>
    <w:rsid w:val="00707AB5"/>
    <w:rsid w:val="007102E4"/>
    <w:rsid w:val="007106C4"/>
    <w:rsid w:val="00710B53"/>
    <w:rsid w:val="00711000"/>
    <w:rsid w:val="0071130B"/>
    <w:rsid w:val="00711540"/>
    <w:rsid w:val="0071207D"/>
    <w:rsid w:val="00712E48"/>
    <w:rsid w:val="00712E62"/>
    <w:rsid w:val="007130D1"/>
    <w:rsid w:val="00713A45"/>
    <w:rsid w:val="00713F02"/>
    <w:rsid w:val="00714756"/>
    <w:rsid w:val="00714797"/>
    <w:rsid w:val="00714890"/>
    <w:rsid w:val="0071489F"/>
    <w:rsid w:val="0071519D"/>
    <w:rsid w:val="007156C4"/>
    <w:rsid w:val="0071626F"/>
    <w:rsid w:val="0071774D"/>
    <w:rsid w:val="00717A63"/>
    <w:rsid w:val="00717A94"/>
    <w:rsid w:val="00720631"/>
    <w:rsid w:val="00720D4D"/>
    <w:rsid w:val="00721196"/>
    <w:rsid w:val="00721739"/>
    <w:rsid w:val="0072177F"/>
    <w:rsid w:val="00721EAE"/>
    <w:rsid w:val="0072220F"/>
    <w:rsid w:val="0072294B"/>
    <w:rsid w:val="00722E76"/>
    <w:rsid w:val="00723DC6"/>
    <w:rsid w:val="007240C6"/>
    <w:rsid w:val="007241DD"/>
    <w:rsid w:val="007243A2"/>
    <w:rsid w:val="00724CF7"/>
    <w:rsid w:val="00724E47"/>
    <w:rsid w:val="00724FBD"/>
    <w:rsid w:val="00725902"/>
    <w:rsid w:val="0072590E"/>
    <w:rsid w:val="00725DA7"/>
    <w:rsid w:val="0072639C"/>
    <w:rsid w:val="007264E9"/>
    <w:rsid w:val="00726659"/>
    <w:rsid w:val="00727500"/>
    <w:rsid w:val="007301C3"/>
    <w:rsid w:val="007301D0"/>
    <w:rsid w:val="00730244"/>
    <w:rsid w:val="0073068B"/>
    <w:rsid w:val="00730ADD"/>
    <w:rsid w:val="00730C49"/>
    <w:rsid w:val="007314FC"/>
    <w:rsid w:val="00731C51"/>
    <w:rsid w:val="00731E1F"/>
    <w:rsid w:val="00733B25"/>
    <w:rsid w:val="00734D71"/>
    <w:rsid w:val="00734E02"/>
    <w:rsid w:val="0073518D"/>
    <w:rsid w:val="00735485"/>
    <w:rsid w:val="007354C2"/>
    <w:rsid w:val="007358D4"/>
    <w:rsid w:val="00735D32"/>
    <w:rsid w:val="00735F53"/>
    <w:rsid w:val="00736105"/>
    <w:rsid w:val="00737AF9"/>
    <w:rsid w:val="00737DFB"/>
    <w:rsid w:val="0074095D"/>
    <w:rsid w:val="00740DB6"/>
    <w:rsid w:val="00741816"/>
    <w:rsid w:val="00741A5F"/>
    <w:rsid w:val="00741CA9"/>
    <w:rsid w:val="00742073"/>
    <w:rsid w:val="007430AE"/>
    <w:rsid w:val="00743350"/>
    <w:rsid w:val="00743742"/>
    <w:rsid w:val="00743BAB"/>
    <w:rsid w:val="00743FC7"/>
    <w:rsid w:val="007444EF"/>
    <w:rsid w:val="00744AFC"/>
    <w:rsid w:val="0074513D"/>
    <w:rsid w:val="007455E9"/>
    <w:rsid w:val="00745B55"/>
    <w:rsid w:val="00745EF1"/>
    <w:rsid w:val="0074622D"/>
    <w:rsid w:val="00746D66"/>
    <w:rsid w:val="007500E3"/>
    <w:rsid w:val="00754036"/>
    <w:rsid w:val="0075496D"/>
    <w:rsid w:val="00754A95"/>
    <w:rsid w:val="00754C1A"/>
    <w:rsid w:val="00755FDC"/>
    <w:rsid w:val="00756146"/>
    <w:rsid w:val="0075666C"/>
    <w:rsid w:val="00756EC0"/>
    <w:rsid w:val="007573A7"/>
    <w:rsid w:val="0075798F"/>
    <w:rsid w:val="00761368"/>
    <w:rsid w:val="00762591"/>
    <w:rsid w:val="007627B4"/>
    <w:rsid w:val="007634B9"/>
    <w:rsid w:val="007634E8"/>
    <w:rsid w:val="00763795"/>
    <w:rsid w:val="00763987"/>
    <w:rsid w:val="00763D9A"/>
    <w:rsid w:val="00764310"/>
    <w:rsid w:val="0076451C"/>
    <w:rsid w:val="007649DB"/>
    <w:rsid w:val="00764A39"/>
    <w:rsid w:val="00765AA3"/>
    <w:rsid w:val="00765B24"/>
    <w:rsid w:val="00766562"/>
    <w:rsid w:val="007665FB"/>
    <w:rsid w:val="00766730"/>
    <w:rsid w:val="00766BC0"/>
    <w:rsid w:val="007670E1"/>
    <w:rsid w:val="00767535"/>
    <w:rsid w:val="00767C83"/>
    <w:rsid w:val="00767DA0"/>
    <w:rsid w:val="0077020D"/>
    <w:rsid w:val="00770344"/>
    <w:rsid w:val="0077047B"/>
    <w:rsid w:val="00771555"/>
    <w:rsid w:val="00771556"/>
    <w:rsid w:val="0077196D"/>
    <w:rsid w:val="00771A1B"/>
    <w:rsid w:val="00771E5F"/>
    <w:rsid w:val="00772710"/>
    <w:rsid w:val="00772AF8"/>
    <w:rsid w:val="0077386A"/>
    <w:rsid w:val="00773C9A"/>
    <w:rsid w:val="00773D3F"/>
    <w:rsid w:val="00773D5F"/>
    <w:rsid w:val="0077412E"/>
    <w:rsid w:val="007743B6"/>
    <w:rsid w:val="0077475E"/>
    <w:rsid w:val="00775452"/>
    <w:rsid w:val="0077641A"/>
    <w:rsid w:val="0077650F"/>
    <w:rsid w:val="00776C8E"/>
    <w:rsid w:val="007779E3"/>
    <w:rsid w:val="00777E18"/>
    <w:rsid w:val="00780724"/>
    <w:rsid w:val="00780F5E"/>
    <w:rsid w:val="00781094"/>
    <w:rsid w:val="0078196C"/>
    <w:rsid w:val="00781A34"/>
    <w:rsid w:val="00781D35"/>
    <w:rsid w:val="00781D56"/>
    <w:rsid w:val="00783071"/>
    <w:rsid w:val="00783E56"/>
    <w:rsid w:val="007841E2"/>
    <w:rsid w:val="00784DF4"/>
    <w:rsid w:val="00785197"/>
    <w:rsid w:val="007858BD"/>
    <w:rsid w:val="00786BF1"/>
    <w:rsid w:val="00786C41"/>
    <w:rsid w:val="007870D7"/>
    <w:rsid w:val="00787542"/>
    <w:rsid w:val="007875AA"/>
    <w:rsid w:val="00787A46"/>
    <w:rsid w:val="00787F15"/>
    <w:rsid w:val="00790F31"/>
    <w:rsid w:val="007915DE"/>
    <w:rsid w:val="00791C9B"/>
    <w:rsid w:val="007922AA"/>
    <w:rsid w:val="00792498"/>
    <w:rsid w:val="007926B1"/>
    <w:rsid w:val="0079306B"/>
    <w:rsid w:val="00793815"/>
    <w:rsid w:val="00793EE2"/>
    <w:rsid w:val="00794128"/>
    <w:rsid w:val="00795252"/>
    <w:rsid w:val="00795869"/>
    <w:rsid w:val="007962DC"/>
    <w:rsid w:val="0079639B"/>
    <w:rsid w:val="007966E8"/>
    <w:rsid w:val="007967F4"/>
    <w:rsid w:val="00797314"/>
    <w:rsid w:val="0079787E"/>
    <w:rsid w:val="00797C9C"/>
    <w:rsid w:val="007A0652"/>
    <w:rsid w:val="007A1AF5"/>
    <w:rsid w:val="007A1BCE"/>
    <w:rsid w:val="007A1C86"/>
    <w:rsid w:val="007A243F"/>
    <w:rsid w:val="007A254D"/>
    <w:rsid w:val="007A275D"/>
    <w:rsid w:val="007A27A7"/>
    <w:rsid w:val="007A2CA1"/>
    <w:rsid w:val="007A2F4A"/>
    <w:rsid w:val="007A3CE3"/>
    <w:rsid w:val="007A3EA5"/>
    <w:rsid w:val="007A490A"/>
    <w:rsid w:val="007A523A"/>
    <w:rsid w:val="007A5765"/>
    <w:rsid w:val="007A588A"/>
    <w:rsid w:val="007A588F"/>
    <w:rsid w:val="007A5D2C"/>
    <w:rsid w:val="007A5DE5"/>
    <w:rsid w:val="007A617C"/>
    <w:rsid w:val="007A61AD"/>
    <w:rsid w:val="007B0860"/>
    <w:rsid w:val="007B0E3C"/>
    <w:rsid w:val="007B16E6"/>
    <w:rsid w:val="007B197B"/>
    <w:rsid w:val="007B1AAA"/>
    <w:rsid w:val="007B2224"/>
    <w:rsid w:val="007B2A11"/>
    <w:rsid w:val="007B2E1D"/>
    <w:rsid w:val="007B2ECC"/>
    <w:rsid w:val="007B37C7"/>
    <w:rsid w:val="007B3D4B"/>
    <w:rsid w:val="007B3EE8"/>
    <w:rsid w:val="007B3F20"/>
    <w:rsid w:val="007B41A8"/>
    <w:rsid w:val="007B47DC"/>
    <w:rsid w:val="007B4971"/>
    <w:rsid w:val="007B4D66"/>
    <w:rsid w:val="007B56DA"/>
    <w:rsid w:val="007B5FBF"/>
    <w:rsid w:val="007B62C6"/>
    <w:rsid w:val="007B6A1D"/>
    <w:rsid w:val="007B7A9C"/>
    <w:rsid w:val="007B7E68"/>
    <w:rsid w:val="007C000F"/>
    <w:rsid w:val="007C19BC"/>
    <w:rsid w:val="007C1FC9"/>
    <w:rsid w:val="007C21CB"/>
    <w:rsid w:val="007C2814"/>
    <w:rsid w:val="007C2CCA"/>
    <w:rsid w:val="007C2DE1"/>
    <w:rsid w:val="007C2E43"/>
    <w:rsid w:val="007C3834"/>
    <w:rsid w:val="007C46F3"/>
    <w:rsid w:val="007C4864"/>
    <w:rsid w:val="007C4A53"/>
    <w:rsid w:val="007C57BE"/>
    <w:rsid w:val="007C5AE2"/>
    <w:rsid w:val="007C5EFA"/>
    <w:rsid w:val="007C5F0D"/>
    <w:rsid w:val="007C6B30"/>
    <w:rsid w:val="007C733D"/>
    <w:rsid w:val="007C7926"/>
    <w:rsid w:val="007D0014"/>
    <w:rsid w:val="007D00BC"/>
    <w:rsid w:val="007D0120"/>
    <w:rsid w:val="007D0180"/>
    <w:rsid w:val="007D058B"/>
    <w:rsid w:val="007D06E0"/>
    <w:rsid w:val="007D0860"/>
    <w:rsid w:val="007D14EE"/>
    <w:rsid w:val="007D1E8F"/>
    <w:rsid w:val="007D2312"/>
    <w:rsid w:val="007D2EAA"/>
    <w:rsid w:val="007D3371"/>
    <w:rsid w:val="007D44B7"/>
    <w:rsid w:val="007D4C61"/>
    <w:rsid w:val="007D52E2"/>
    <w:rsid w:val="007D5E2F"/>
    <w:rsid w:val="007D60EA"/>
    <w:rsid w:val="007D62F1"/>
    <w:rsid w:val="007D6B12"/>
    <w:rsid w:val="007D7026"/>
    <w:rsid w:val="007D7BF2"/>
    <w:rsid w:val="007D7C57"/>
    <w:rsid w:val="007E2499"/>
    <w:rsid w:val="007E25C0"/>
    <w:rsid w:val="007E27FC"/>
    <w:rsid w:val="007E2A4C"/>
    <w:rsid w:val="007E2B45"/>
    <w:rsid w:val="007E3379"/>
    <w:rsid w:val="007E35F8"/>
    <w:rsid w:val="007E37C2"/>
    <w:rsid w:val="007E3A00"/>
    <w:rsid w:val="007E3FDE"/>
    <w:rsid w:val="007E4553"/>
    <w:rsid w:val="007E4993"/>
    <w:rsid w:val="007E4C3D"/>
    <w:rsid w:val="007E4D32"/>
    <w:rsid w:val="007E5D95"/>
    <w:rsid w:val="007E63CB"/>
    <w:rsid w:val="007E68DA"/>
    <w:rsid w:val="007E6D4D"/>
    <w:rsid w:val="007E6EA8"/>
    <w:rsid w:val="007E735A"/>
    <w:rsid w:val="007E7D75"/>
    <w:rsid w:val="007E7FAE"/>
    <w:rsid w:val="007F0427"/>
    <w:rsid w:val="007F0A0F"/>
    <w:rsid w:val="007F0D3E"/>
    <w:rsid w:val="007F1A31"/>
    <w:rsid w:val="007F2639"/>
    <w:rsid w:val="007F28B8"/>
    <w:rsid w:val="007F2B15"/>
    <w:rsid w:val="007F347C"/>
    <w:rsid w:val="007F3B41"/>
    <w:rsid w:val="007F3D36"/>
    <w:rsid w:val="007F463F"/>
    <w:rsid w:val="007F54DF"/>
    <w:rsid w:val="007F5924"/>
    <w:rsid w:val="007F5BB6"/>
    <w:rsid w:val="007F5E15"/>
    <w:rsid w:val="007F5EB5"/>
    <w:rsid w:val="007F66BB"/>
    <w:rsid w:val="007F7D36"/>
    <w:rsid w:val="00801765"/>
    <w:rsid w:val="00801A02"/>
    <w:rsid w:val="008020E5"/>
    <w:rsid w:val="0080238B"/>
    <w:rsid w:val="008025BC"/>
    <w:rsid w:val="00802998"/>
    <w:rsid w:val="00804365"/>
    <w:rsid w:val="00804798"/>
    <w:rsid w:val="0080571D"/>
    <w:rsid w:val="00805DA0"/>
    <w:rsid w:val="00807458"/>
    <w:rsid w:val="008074EF"/>
    <w:rsid w:val="00807A48"/>
    <w:rsid w:val="00807C0E"/>
    <w:rsid w:val="00810B16"/>
    <w:rsid w:val="00810D56"/>
    <w:rsid w:val="008112E6"/>
    <w:rsid w:val="00812070"/>
    <w:rsid w:val="008124A6"/>
    <w:rsid w:val="008128E5"/>
    <w:rsid w:val="00812CC9"/>
    <w:rsid w:val="00812CD2"/>
    <w:rsid w:val="0081334A"/>
    <w:rsid w:val="00813517"/>
    <w:rsid w:val="0081376A"/>
    <w:rsid w:val="00813D16"/>
    <w:rsid w:val="0081402E"/>
    <w:rsid w:val="008141D0"/>
    <w:rsid w:val="008144E1"/>
    <w:rsid w:val="008146D0"/>
    <w:rsid w:val="0081514C"/>
    <w:rsid w:val="0081543D"/>
    <w:rsid w:val="00815D79"/>
    <w:rsid w:val="00815F16"/>
    <w:rsid w:val="00815FC9"/>
    <w:rsid w:val="0081711B"/>
    <w:rsid w:val="0081755A"/>
    <w:rsid w:val="00817D20"/>
    <w:rsid w:val="00817E88"/>
    <w:rsid w:val="00820461"/>
    <w:rsid w:val="00820E25"/>
    <w:rsid w:val="00821CA3"/>
    <w:rsid w:val="00821D60"/>
    <w:rsid w:val="008222C3"/>
    <w:rsid w:val="008224C1"/>
    <w:rsid w:val="0082365E"/>
    <w:rsid w:val="00823FCE"/>
    <w:rsid w:val="00824156"/>
    <w:rsid w:val="008242AB"/>
    <w:rsid w:val="008248C1"/>
    <w:rsid w:val="00824C1C"/>
    <w:rsid w:val="00825822"/>
    <w:rsid w:val="00825A97"/>
    <w:rsid w:val="00825B88"/>
    <w:rsid w:val="00825D8A"/>
    <w:rsid w:val="00825DA5"/>
    <w:rsid w:val="0082683D"/>
    <w:rsid w:val="0082694F"/>
    <w:rsid w:val="00826A56"/>
    <w:rsid w:val="008271C7"/>
    <w:rsid w:val="008274B3"/>
    <w:rsid w:val="00827C6E"/>
    <w:rsid w:val="008302AF"/>
    <w:rsid w:val="0083073A"/>
    <w:rsid w:val="0083113F"/>
    <w:rsid w:val="00831583"/>
    <w:rsid w:val="00831645"/>
    <w:rsid w:val="00831721"/>
    <w:rsid w:val="00831C8C"/>
    <w:rsid w:val="00832050"/>
    <w:rsid w:val="008321BF"/>
    <w:rsid w:val="008327D8"/>
    <w:rsid w:val="00832C25"/>
    <w:rsid w:val="00832EA2"/>
    <w:rsid w:val="00833045"/>
    <w:rsid w:val="008330B2"/>
    <w:rsid w:val="008330F2"/>
    <w:rsid w:val="00833797"/>
    <w:rsid w:val="00833B77"/>
    <w:rsid w:val="00834458"/>
    <w:rsid w:val="00834F3F"/>
    <w:rsid w:val="008351A0"/>
    <w:rsid w:val="00835B24"/>
    <w:rsid w:val="0083628F"/>
    <w:rsid w:val="00836A6B"/>
    <w:rsid w:val="00836A7A"/>
    <w:rsid w:val="00836B14"/>
    <w:rsid w:val="00836D00"/>
    <w:rsid w:val="00836E23"/>
    <w:rsid w:val="008370C3"/>
    <w:rsid w:val="00837B9D"/>
    <w:rsid w:val="00840C16"/>
    <w:rsid w:val="00841E81"/>
    <w:rsid w:val="008425B7"/>
    <w:rsid w:val="00842805"/>
    <w:rsid w:val="00842B20"/>
    <w:rsid w:val="00843255"/>
    <w:rsid w:val="00843537"/>
    <w:rsid w:val="0084353E"/>
    <w:rsid w:val="00843FE6"/>
    <w:rsid w:val="00844043"/>
    <w:rsid w:val="00844A79"/>
    <w:rsid w:val="00845051"/>
    <w:rsid w:val="0084527B"/>
    <w:rsid w:val="00845A62"/>
    <w:rsid w:val="00845FBD"/>
    <w:rsid w:val="008460F7"/>
    <w:rsid w:val="00846B1E"/>
    <w:rsid w:val="008478DD"/>
    <w:rsid w:val="00850753"/>
    <w:rsid w:val="008516A3"/>
    <w:rsid w:val="0085175E"/>
    <w:rsid w:val="0085193A"/>
    <w:rsid w:val="00851BBD"/>
    <w:rsid w:val="008524FF"/>
    <w:rsid w:val="008526D1"/>
    <w:rsid w:val="00852DA0"/>
    <w:rsid w:val="00852EE4"/>
    <w:rsid w:val="008532BD"/>
    <w:rsid w:val="008533DD"/>
    <w:rsid w:val="00853694"/>
    <w:rsid w:val="008537EF"/>
    <w:rsid w:val="00853B37"/>
    <w:rsid w:val="008556E3"/>
    <w:rsid w:val="00855A17"/>
    <w:rsid w:val="00856E23"/>
    <w:rsid w:val="00856F0E"/>
    <w:rsid w:val="008572B0"/>
    <w:rsid w:val="00857438"/>
    <w:rsid w:val="008575F3"/>
    <w:rsid w:val="00857730"/>
    <w:rsid w:val="008600E3"/>
    <w:rsid w:val="008614A4"/>
    <w:rsid w:val="008618D2"/>
    <w:rsid w:val="00861CFB"/>
    <w:rsid w:val="008622D7"/>
    <w:rsid w:val="00862450"/>
    <w:rsid w:val="00862532"/>
    <w:rsid w:val="00863193"/>
    <w:rsid w:val="00863D33"/>
    <w:rsid w:val="00863D3F"/>
    <w:rsid w:val="0086400C"/>
    <w:rsid w:val="0086522C"/>
    <w:rsid w:val="00865610"/>
    <w:rsid w:val="00865675"/>
    <w:rsid w:val="00865B8B"/>
    <w:rsid w:val="00865ECD"/>
    <w:rsid w:val="00866292"/>
    <w:rsid w:val="0086666E"/>
    <w:rsid w:val="008667A7"/>
    <w:rsid w:val="00867460"/>
    <w:rsid w:val="008677D7"/>
    <w:rsid w:val="00867B8F"/>
    <w:rsid w:val="00870A31"/>
    <w:rsid w:val="00871BD4"/>
    <w:rsid w:val="00872179"/>
    <w:rsid w:val="008727B0"/>
    <w:rsid w:val="008732F3"/>
    <w:rsid w:val="00873BD9"/>
    <w:rsid w:val="00873F15"/>
    <w:rsid w:val="00874D66"/>
    <w:rsid w:val="008755A8"/>
    <w:rsid w:val="00876496"/>
    <w:rsid w:val="008769BE"/>
    <w:rsid w:val="00876BC0"/>
    <w:rsid w:val="00877DD8"/>
    <w:rsid w:val="0088042E"/>
    <w:rsid w:val="008804D2"/>
    <w:rsid w:val="00880800"/>
    <w:rsid w:val="00880902"/>
    <w:rsid w:val="00880DCD"/>
    <w:rsid w:val="00880FE8"/>
    <w:rsid w:val="00881B0B"/>
    <w:rsid w:val="00881E8F"/>
    <w:rsid w:val="00881F79"/>
    <w:rsid w:val="00882181"/>
    <w:rsid w:val="00882A0A"/>
    <w:rsid w:val="00883047"/>
    <w:rsid w:val="00884294"/>
    <w:rsid w:val="008843CB"/>
    <w:rsid w:val="008858E2"/>
    <w:rsid w:val="008859C0"/>
    <w:rsid w:val="00885A8D"/>
    <w:rsid w:val="00885D0F"/>
    <w:rsid w:val="00885D50"/>
    <w:rsid w:val="008860AB"/>
    <w:rsid w:val="00886A9C"/>
    <w:rsid w:val="008873DA"/>
    <w:rsid w:val="0089052B"/>
    <w:rsid w:val="0089176C"/>
    <w:rsid w:val="0089254E"/>
    <w:rsid w:val="0089283A"/>
    <w:rsid w:val="00892BB8"/>
    <w:rsid w:val="0089306B"/>
    <w:rsid w:val="008941DE"/>
    <w:rsid w:val="008942FF"/>
    <w:rsid w:val="008946C2"/>
    <w:rsid w:val="00894EA1"/>
    <w:rsid w:val="00895230"/>
    <w:rsid w:val="008952CE"/>
    <w:rsid w:val="00895336"/>
    <w:rsid w:val="008955C1"/>
    <w:rsid w:val="008960F5"/>
    <w:rsid w:val="008969EF"/>
    <w:rsid w:val="00896F4D"/>
    <w:rsid w:val="008970D7"/>
    <w:rsid w:val="0089721D"/>
    <w:rsid w:val="00897890"/>
    <w:rsid w:val="008A0282"/>
    <w:rsid w:val="008A02B4"/>
    <w:rsid w:val="008A062C"/>
    <w:rsid w:val="008A0E80"/>
    <w:rsid w:val="008A1450"/>
    <w:rsid w:val="008A1463"/>
    <w:rsid w:val="008A1541"/>
    <w:rsid w:val="008A1691"/>
    <w:rsid w:val="008A1814"/>
    <w:rsid w:val="008A20A2"/>
    <w:rsid w:val="008A20BE"/>
    <w:rsid w:val="008A2104"/>
    <w:rsid w:val="008A22B0"/>
    <w:rsid w:val="008A26C4"/>
    <w:rsid w:val="008A2C52"/>
    <w:rsid w:val="008A2E69"/>
    <w:rsid w:val="008A31BC"/>
    <w:rsid w:val="008A33C0"/>
    <w:rsid w:val="008A385A"/>
    <w:rsid w:val="008A3C4D"/>
    <w:rsid w:val="008A3FF9"/>
    <w:rsid w:val="008A45B8"/>
    <w:rsid w:val="008A48A0"/>
    <w:rsid w:val="008A5E2A"/>
    <w:rsid w:val="008A62AD"/>
    <w:rsid w:val="008A6701"/>
    <w:rsid w:val="008A75C2"/>
    <w:rsid w:val="008B045F"/>
    <w:rsid w:val="008B0BF7"/>
    <w:rsid w:val="008B109A"/>
    <w:rsid w:val="008B1711"/>
    <w:rsid w:val="008B1B71"/>
    <w:rsid w:val="008B285E"/>
    <w:rsid w:val="008B2FA1"/>
    <w:rsid w:val="008B3A2C"/>
    <w:rsid w:val="008B42BA"/>
    <w:rsid w:val="008B4AE2"/>
    <w:rsid w:val="008B5861"/>
    <w:rsid w:val="008B59F2"/>
    <w:rsid w:val="008B5A0D"/>
    <w:rsid w:val="008B5ABD"/>
    <w:rsid w:val="008B5B62"/>
    <w:rsid w:val="008B635F"/>
    <w:rsid w:val="008B76AA"/>
    <w:rsid w:val="008B7786"/>
    <w:rsid w:val="008B786B"/>
    <w:rsid w:val="008B7A4F"/>
    <w:rsid w:val="008B7C8B"/>
    <w:rsid w:val="008C0003"/>
    <w:rsid w:val="008C018E"/>
    <w:rsid w:val="008C0426"/>
    <w:rsid w:val="008C117A"/>
    <w:rsid w:val="008C1B01"/>
    <w:rsid w:val="008C2062"/>
    <w:rsid w:val="008C30A2"/>
    <w:rsid w:val="008C38AA"/>
    <w:rsid w:val="008C475E"/>
    <w:rsid w:val="008C4BD0"/>
    <w:rsid w:val="008C5729"/>
    <w:rsid w:val="008C5F3D"/>
    <w:rsid w:val="008C6285"/>
    <w:rsid w:val="008C6388"/>
    <w:rsid w:val="008C67D8"/>
    <w:rsid w:val="008C6842"/>
    <w:rsid w:val="008C6A7F"/>
    <w:rsid w:val="008C6D28"/>
    <w:rsid w:val="008C7E44"/>
    <w:rsid w:val="008D059C"/>
    <w:rsid w:val="008D1041"/>
    <w:rsid w:val="008D16A2"/>
    <w:rsid w:val="008D1C79"/>
    <w:rsid w:val="008D1CEC"/>
    <w:rsid w:val="008D1F84"/>
    <w:rsid w:val="008D1FE4"/>
    <w:rsid w:val="008D202C"/>
    <w:rsid w:val="008D2102"/>
    <w:rsid w:val="008D24F4"/>
    <w:rsid w:val="008D3A34"/>
    <w:rsid w:val="008D4162"/>
    <w:rsid w:val="008D4292"/>
    <w:rsid w:val="008D4435"/>
    <w:rsid w:val="008D4437"/>
    <w:rsid w:val="008D4AAA"/>
    <w:rsid w:val="008D4B4C"/>
    <w:rsid w:val="008D6EB2"/>
    <w:rsid w:val="008D7981"/>
    <w:rsid w:val="008D7AFE"/>
    <w:rsid w:val="008E01D0"/>
    <w:rsid w:val="008E0304"/>
    <w:rsid w:val="008E047E"/>
    <w:rsid w:val="008E0782"/>
    <w:rsid w:val="008E0A91"/>
    <w:rsid w:val="008E0F33"/>
    <w:rsid w:val="008E1203"/>
    <w:rsid w:val="008E22E7"/>
    <w:rsid w:val="008E264B"/>
    <w:rsid w:val="008E2AFD"/>
    <w:rsid w:val="008E2C7D"/>
    <w:rsid w:val="008E2F39"/>
    <w:rsid w:val="008E326D"/>
    <w:rsid w:val="008E390C"/>
    <w:rsid w:val="008E3951"/>
    <w:rsid w:val="008E41E3"/>
    <w:rsid w:val="008E54DB"/>
    <w:rsid w:val="008E7143"/>
    <w:rsid w:val="008E7938"/>
    <w:rsid w:val="008E7EED"/>
    <w:rsid w:val="008E7F2E"/>
    <w:rsid w:val="008F17F8"/>
    <w:rsid w:val="008F1D8C"/>
    <w:rsid w:val="008F1E7A"/>
    <w:rsid w:val="008F2F45"/>
    <w:rsid w:val="008F369B"/>
    <w:rsid w:val="008F3901"/>
    <w:rsid w:val="008F3F48"/>
    <w:rsid w:val="008F40B2"/>
    <w:rsid w:val="008F42D8"/>
    <w:rsid w:val="008F4F0F"/>
    <w:rsid w:val="008F6517"/>
    <w:rsid w:val="008F6678"/>
    <w:rsid w:val="008F6895"/>
    <w:rsid w:val="008F6AFA"/>
    <w:rsid w:val="008F7791"/>
    <w:rsid w:val="008F7B05"/>
    <w:rsid w:val="008F7FE1"/>
    <w:rsid w:val="00900152"/>
    <w:rsid w:val="00900254"/>
    <w:rsid w:val="00900846"/>
    <w:rsid w:val="00900FB3"/>
    <w:rsid w:val="009017E5"/>
    <w:rsid w:val="00901F0A"/>
    <w:rsid w:val="009023CF"/>
    <w:rsid w:val="009035E7"/>
    <w:rsid w:val="00903954"/>
    <w:rsid w:val="009039F1"/>
    <w:rsid w:val="00904303"/>
    <w:rsid w:val="00904D9D"/>
    <w:rsid w:val="00905A85"/>
    <w:rsid w:val="0090611A"/>
    <w:rsid w:val="009062EB"/>
    <w:rsid w:val="00906ADA"/>
    <w:rsid w:val="0090736E"/>
    <w:rsid w:val="009076F9"/>
    <w:rsid w:val="00907DAB"/>
    <w:rsid w:val="00910326"/>
    <w:rsid w:val="009107C0"/>
    <w:rsid w:val="009109F4"/>
    <w:rsid w:val="0091142F"/>
    <w:rsid w:val="009115F9"/>
    <w:rsid w:val="00911D58"/>
    <w:rsid w:val="0091255C"/>
    <w:rsid w:val="00912609"/>
    <w:rsid w:val="00912890"/>
    <w:rsid w:val="00912DF4"/>
    <w:rsid w:val="00913DE6"/>
    <w:rsid w:val="009143A4"/>
    <w:rsid w:val="009147E1"/>
    <w:rsid w:val="009149C1"/>
    <w:rsid w:val="00914AD5"/>
    <w:rsid w:val="00914CD6"/>
    <w:rsid w:val="009157B1"/>
    <w:rsid w:val="009157C7"/>
    <w:rsid w:val="00915837"/>
    <w:rsid w:val="00915ADE"/>
    <w:rsid w:val="00915FE3"/>
    <w:rsid w:val="0091629D"/>
    <w:rsid w:val="00916AD2"/>
    <w:rsid w:val="0091730A"/>
    <w:rsid w:val="00917604"/>
    <w:rsid w:val="0091791B"/>
    <w:rsid w:val="00917C29"/>
    <w:rsid w:val="00917CB4"/>
    <w:rsid w:val="00917CD9"/>
    <w:rsid w:val="0092090E"/>
    <w:rsid w:val="00920DBF"/>
    <w:rsid w:val="00920DD2"/>
    <w:rsid w:val="00921045"/>
    <w:rsid w:val="00921554"/>
    <w:rsid w:val="009219E7"/>
    <w:rsid w:val="009228C1"/>
    <w:rsid w:val="00923239"/>
    <w:rsid w:val="009237FE"/>
    <w:rsid w:val="00923A61"/>
    <w:rsid w:val="00923AB6"/>
    <w:rsid w:val="00924716"/>
    <w:rsid w:val="00924835"/>
    <w:rsid w:val="0092485A"/>
    <w:rsid w:val="009248CE"/>
    <w:rsid w:val="009248D8"/>
    <w:rsid w:val="0092504C"/>
    <w:rsid w:val="009256DA"/>
    <w:rsid w:val="009269A7"/>
    <w:rsid w:val="00926BB2"/>
    <w:rsid w:val="00930246"/>
    <w:rsid w:val="0093085C"/>
    <w:rsid w:val="009319BB"/>
    <w:rsid w:val="00931D2C"/>
    <w:rsid w:val="00931EC6"/>
    <w:rsid w:val="00931F9D"/>
    <w:rsid w:val="00932674"/>
    <w:rsid w:val="009327F1"/>
    <w:rsid w:val="00932FC0"/>
    <w:rsid w:val="009337EF"/>
    <w:rsid w:val="00933C26"/>
    <w:rsid w:val="00933F6D"/>
    <w:rsid w:val="00935751"/>
    <w:rsid w:val="00935F0B"/>
    <w:rsid w:val="00936CFC"/>
    <w:rsid w:val="00936FBB"/>
    <w:rsid w:val="00937165"/>
    <w:rsid w:val="009372B8"/>
    <w:rsid w:val="00937690"/>
    <w:rsid w:val="0094028D"/>
    <w:rsid w:val="0094115D"/>
    <w:rsid w:val="009411A1"/>
    <w:rsid w:val="009411CF"/>
    <w:rsid w:val="0094166A"/>
    <w:rsid w:val="00941D74"/>
    <w:rsid w:val="00941DDA"/>
    <w:rsid w:val="00942BA0"/>
    <w:rsid w:val="009430E9"/>
    <w:rsid w:val="009436A0"/>
    <w:rsid w:val="00943E21"/>
    <w:rsid w:val="00944113"/>
    <w:rsid w:val="00944E88"/>
    <w:rsid w:val="009450BE"/>
    <w:rsid w:val="009455F3"/>
    <w:rsid w:val="00945BA8"/>
    <w:rsid w:val="009460D3"/>
    <w:rsid w:val="00946D8F"/>
    <w:rsid w:val="009471F9"/>
    <w:rsid w:val="00947603"/>
    <w:rsid w:val="00947979"/>
    <w:rsid w:val="009479E2"/>
    <w:rsid w:val="00947BAB"/>
    <w:rsid w:val="00950743"/>
    <w:rsid w:val="00950811"/>
    <w:rsid w:val="00950B7C"/>
    <w:rsid w:val="00950C03"/>
    <w:rsid w:val="00950CA2"/>
    <w:rsid w:val="00951019"/>
    <w:rsid w:val="00951A49"/>
    <w:rsid w:val="00951E6F"/>
    <w:rsid w:val="00952365"/>
    <w:rsid w:val="0095318B"/>
    <w:rsid w:val="00953208"/>
    <w:rsid w:val="00953B11"/>
    <w:rsid w:val="0095409E"/>
    <w:rsid w:val="00955296"/>
    <w:rsid w:val="00955436"/>
    <w:rsid w:val="00955D66"/>
    <w:rsid w:val="00956D4D"/>
    <w:rsid w:val="00956D82"/>
    <w:rsid w:val="00957B20"/>
    <w:rsid w:val="00960628"/>
    <w:rsid w:val="00960726"/>
    <w:rsid w:val="00960813"/>
    <w:rsid w:val="009608A0"/>
    <w:rsid w:val="00960FD1"/>
    <w:rsid w:val="009617EA"/>
    <w:rsid w:val="00961A7B"/>
    <w:rsid w:val="00961E36"/>
    <w:rsid w:val="009625B1"/>
    <w:rsid w:val="00962693"/>
    <w:rsid w:val="00962757"/>
    <w:rsid w:val="00962F79"/>
    <w:rsid w:val="00963068"/>
    <w:rsid w:val="00963542"/>
    <w:rsid w:val="009648CF"/>
    <w:rsid w:val="00964A4E"/>
    <w:rsid w:val="00964C87"/>
    <w:rsid w:val="009657D1"/>
    <w:rsid w:val="0096591C"/>
    <w:rsid w:val="00965DAF"/>
    <w:rsid w:val="009665FE"/>
    <w:rsid w:val="00966677"/>
    <w:rsid w:val="009666F2"/>
    <w:rsid w:val="00966854"/>
    <w:rsid w:val="00966BB3"/>
    <w:rsid w:val="009678ED"/>
    <w:rsid w:val="009679F3"/>
    <w:rsid w:val="00967AFD"/>
    <w:rsid w:val="00967E94"/>
    <w:rsid w:val="00967F9A"/>
    <w:rsid w:val="0097044C"/>
    <w:rsid w:val="00970BD9"/>
    <w:rsid w:val="0097157B"/>
    <w:rsid w:val="00971744"/>
    <w:rsid w:val="00971ACC"/>
    <w:rsid w:val="00971E96"/>
    <w:rsid w:val="009731C9"/>
    <w:rsid w:val="00973259"/>
    <w:rsid w:val="009733C4"/>
    <w:rsid w:val="00973665"/>
    <w:rsid w:val="00973B20"/>
    <w:rsid w:val="00974237"/>
    <w:rsid w:val="009750C3"/>
    <w:rsid w:val="009758CA"/>
    <w:rsid w:val="00975AAE"/>
    <w:rsid w:val="00975B2B"/>
    <w:rsid w:val="00975CCB"/>
    <w:rsid w:val="00976026"/>
    <w:rsid w:val="009766BB"/>
    <w:rsid w:val="00976AE0"/>
    <w:rsid w:val="00980751"/>
    <w:rsid w:val="009815F1"/>
    <w:rsid w:val="00981976"/>
    <w:rsid w:val="00981C65"/>
    <w:rsid w:val="0098297F"/>
    <w:rsid w:val="00982D56"/>
    <w:rsid w:val="00983B08"/>
    <w:rsid w:val="00983B73"/>
    <w:rsid w:val="00984497"/>
    <w:rsid w:val="00984A08"/>
    <w:rsid w:val="0098559F"/>
    <w:rsid w:val="00985A92"/>
    <w:rsid w:val="00985CD6"/>
    <w:rsid w:val="00986297"/>
    <w:rsid w:val="0098645A"/>
    <w:rsid w:val="009873E6"/>
    <w:rsid w:val="009876BA"/>
    <w:rsid w:val="009901F5"/>
    <w:rsid w:val="0099039F"/>
    <w:rsid w:val="00990730"/>
    <w:rsid w:val="00990DF3"/>
    <w:rsid w:val="00990EE0"/>
    <w:rsid w:val="009919CB"/>
    <w:rsid w:val="009920EE"/>
    <w:rsid w:val="0099354E"/>
    <w:rsid w:val="00993605"/>
    <w:rsid w:val="00993803"/>
    <w:rsid w:val="00993F5F"/>
    <w:rsid w:val="009940B7"/>
    <w:rsid w:val="009947FE"/>
    <w:rsid w:val="00994E7A"/>
    <w:rsid w:val="00994E9C"/>
    <w:rsid w:val="00994F7A"/>
    <w:rsid w:val="00995BE7"/>
    <w:rsid w:val="009965B9"/>
    <w:rsid w:val="00996A3B"/>
    <w:rsid w:val="00996C34"/>
    <w:rsid w:val="009A029A"/>
    <w:rsid w:val="009A03BE"/>
    <w:rsid w:val="009A0AD2"/>
    <w:rsid w:val="009A1D11"/>
    <w:rsid w:val="009A2639"/>
    <w:rsid w:val="009A289F"/>
    <w:rsid w:val="009A2963"/>
    <w:rsid w:val="009A2A39"/>
    <w:rsid w:val="009A48BE"/>
    <w:rsid w:val="009A4939"/>
    <w:rsid w:val="009A5214"/>
    <w:rsid w:val="009A5516"/>
    <w:rsid w:val="009A580E"/>
    <w:rsid w:val="009A60D2"/>
    <w:rsid w:val="009A6140"/>
    <w:rsid w:val="009A61B1"/>
    <w:rsid w:val="009A7600"/>
    <w:rsid w:val="009B059E"/>
    <w:rsid w:val="009B0CFA"/>
    <w:rsid w:val="009B18C1"/>
    <w:rsid w:val="009B1D88"/>
    <w:rsid w:val="009B1DFC"/>
    <w:rsid w:val="009B2B60"/>
    <w:rsid w:val="009B40FD"/>
    <w:rsid w:val="009B4BF0"/>
    <w:rsid w:val="009B4F0E"/>
    <w:rsid w:val="009B4F77"/>
    <w:rsid w:val="009B55BF"/>
    <w:rsid w:val="009B63AF"/>
    <w:rsid w:val="009B6791"/>
    <w:rsid w:val="009B699F"/>
    <w:rsid w:val="009B77B2"/>
    <w:rsid w:val="009B7E0B"/>
    <w:rsid w:val="009C0076"/>
    <w:rsid w:val="009C0198"/>
    <w:rsid w:val="009C0473"/>
    <w:rsid w:val="009C0589"/>
    <w:rsid w:val="009C1224"/>
    <w:rsid w:val="009C1316"/>
    <w:rsid w:val="009C19A4"/>
    <w:rsid w:val="009C19E7"/>
    <w:rsid w:val="009C1F5D"/>
    <w:rsid w:val="009C2278"/>
    <w:rsid w:val="009C24E4"/>
    <w:rsid w:val="009C27E0"/>
    <w:rsid w:val="009C2EFC"/>
    <w:rsid w:val="009C340F"/>
    <w:rsid w:val="009C34DE"/>
    <w:rsid w:val="009C3C03"/>
    <w:rsid w:val="009C3E8A"/>
    <w:rsid w:val="009C403D"/>
    <w:rsid w:val="009C463A"/>
    <w:rsid w:val="009C5951"/>
    <w:rsid w:val="009C5D66"/>
    <w:rsid w:val="009C6DC9"/>
    <w:rsid w:val="009C7288"/>
    <w:rsid w:val="009C7392"/>
    <w:rsid w:val="009C76B2"/>
    <w:rsid w:val="009C7921"/>
    <w:rsid w:val="009D037E"/>
    <w:rsid w:val="009D058A"/>
    <w:rsid w:val="009D0D80"/>
    <w:rsid w:val="009D0F9C"/>
    <w:rsid w:val="009D1046"/>
    <w:rsid w:val="009D1BED"/>
    <w:rsid w:val="009D1EAB"/>
    <w:rsid w:val="009D2280"/>
    <w:rsid w:val="009D25E3"/>
    <w:rsid w:val="009D2AB6"/>
    <w:rsid w:val="009D2C8F"/>
    <w:rsid w:val="009D38C1"/>
    <w:rsid w:val="009D3CC8"/>
    <w:rsid w:val="009D45E3"/>
    <w:rsid w:val="009D5A5E"/>
    <w:rsid w:val="009D5A89"/>
    <w:rsid w:val="009D6183"/>
    <w:rsid w:val="009D6691"/>
    <w:rsid w:val="009D7D2B"/>
    <w:rsid w:val="009D7ED9"/>
    <w:rsid w:val="009E04A1"/>
    <w:rsid w:val="009E11AD"/>
    <w:rsid w:val="009E16AC"/>
    <w:rsid w:val="009E1779"/>
    <w:rsid w:val="009E1929"/>
    <w:rsid w:val="009E1B9A"/>
    <w:rsid w:val="009E2C0A"/>
    <w:rsid w:val="009E2C87"/>
    <w:rsid w:val="009E3668"/>
    <w:rsid w:val="009E39A6"/>
    <w:rsid w:val="009E402A"/>
    <w:rsid w:val="009E46C9"/>
    <w:rsid w:val="009E4769"/>
    <w:rsid w:val="009E47BA"/>
    <w:rsid w:val="009E544D"/>
    <w:rsid w:val="009E5B1E"/>
    <w:rsid w:val="009E6233"/>
    <w:rsid w:val="009E63C1"/>
    <w:rsid w:val="009E69E5"/>
    <w:rsid w:val="009E764C"/>
    <w:rsid w:val="009E7857"/>
    <w:rsid w:val="009E7E7D"/>
    <w:rsid w:val="009F097B"/>
    <w:rsid w:val="009F0E73"/>
    <w:rsid w:val="009F1187"/>
    <w:rsid w:val="009F161D"/>
    <w:rsid w:val="009F1D86"/>
    <w:rsid w:val="009F27D9"/>
    <w:rsid w:val="009F28B5"/>
    <w:rsid w:val="009F2B31"/>
    <w:rsid w:val="009F3247"/>
    <w:rsid w:val="009F5B75"/>
    <w:rsid w:val="009F6364"/>
    <w:rsid w:val="009F6746"/>
    <w:rsid w:val="009F6F3E"/>
    <w:rsid w:val="009F6F6A"/>
    <w:rsid w:val="009F7797"/>
    <w:rsid w:val="00A00A08"/>
    <w:rsid w:val="00A00DFD"/>
    <w:rsid w:val="00A00E59"/>
    <w:rsid w:val="00A022B1"/>
    <w:rsid w:val="00A02A20"/>
    <w:rsid w:val="00A02EF8"/>
    <w:rsid w:val="00A02F9C"/>
    <w:rsid w:val="00A02FF5"/>
    <w:rsid w:val="00A038C0"/>
    <w:rsid w:val="00A03F13"/>
    <w:rsid w:val="00A04242"/>
    <w:rsid w:val="00A04461"/>
    <w:rsid w:val="00A04885"/>
    <w:rsid w:val="00A04ABF"/>
    <w:rsid w:val="00A04F21"/>
    <w:rsid w:val="00A056E0"/>
    <w:rsid w:val="00A0637E"/>
    <w:rsid w:val="00A06532"/>
    <w:rsid w:val="00A0678B"/>
    <w:rsid w:val="00A07093"/>
    <w:rsid w:val="00A10381"/>
    <w:rsid w:val="00A103E9"/>
    <w:rsid w:val="00A10474"/>
    <w:rsid w:val="00A125BB"/>
    <w:rsid w:val="00A12896"/>
    <w:rsid w:val="00A13F7C"/>
    <w:rsid w:val="00A1406D"/>
    <w:rsid w:val="00A1407B"/>
    <w:rsid w:val="00A14321"/>
    <w:rsid w:val="00A143AF"/>
    <w:rsid w:val="00A14511"/>
    <w:rsid w:val="00A14EDD"/>
    <w:rsid w:val="00A15A16"/>
    <w:rsid w:val="00A1604E"/>
    <w:rsid w:val="00A165F0"/>
    <w:rsid w:val="00A1695F"/>
    <w:rsid w:val="00A16E26"/>
    <w:rsid w:val="00A17108"/>
    <w:rsid w:val="00A210A9"/>
    <w:rsid w:val="00A21C09"/>
    <w:rsid w:val="00A2257E"/>
    <w:rsid w:val="00A2270B"/>
    <w:rsid w:val="00A2317C"/>
    <w:rsid w:val="00A23596"/>
    <w:rsid w:val="00A23D0B"/>
    <w:rsid w:val="00A24229"/>
    <w:rsid w:val="00A2444B"/>
    <w:rsid w:val="00A247BD"/>
    <w:rsid w:val="00A253DE"/>
    <w:rsid w:val="00A2596F"/>
    <w:rsid w:val="00A263DD"/>
    <w:rsid w:val="00A2642B"/>
    <w:rsid w:val="00A26461"/>
    <w:rsid w:val="00A265E8"/>
    <w:rsid w:val="00A277AD"/>
    <w:rsid w:val="00A279B3"/>
    <w:rsid w:val="00A27AC7"/>
    <w:rsid w:val="00A31221"/>
    <w:rsid w:val="00A31BD1"/>
    <w:rsid w:val="00A31C33"/>
    <w:rsid w:val="00A31ECF"/>
    <w:rsid w:val="00A3431B"/>
    <w:rsid w:val="00A34D19"/>
    <w:rsid w:val="00A35442"/>
    <w:rsid w:val="00A35EF9"/>
    <w:rsid w:val="00A379E5"/>
    <w:rsid w:val="00A40915"/>
    <w:rsid w:val="00A4092C"/>
    <w:rsid w:val="00A40E8E"/>
    <w:rsid w:val="00A40F66"/>
    <w:rsid w:val="00A4117F"/>
    <w:rsid w:val="00A414A3"/>
    <w:rsid w:val="00A418BF"/>
    <w:rsid w:val="00A41919"/>
    <w:rsid w:val="00A41EA9"/>
    <w:rsid w:val="00A41F2E"/>
    <w:rsid w:val="00A425DC"/>
    <w:rsid w:val="00A43515"/>
    <w:rsid w:val="00A437FA"/>
    <w:rsid w:val="00A43980"/>
    <w:rsid w:val="00A44142"/>
    <w:rsid w:val="00A443AF"/>
    <w:rsid w:val="00A44922"/>
    <w:rsid w:val="00A449F2"/>
    <w:rsid w:val="00A44A41"/>
    <w:rsid w:val="00A4552E"/>
    <w:rsid w:val="00A45CAD"/>
    <w:rsid w:val="00A4654D"/>
    <w:rsid w:val="00A46ABB"/>
    <w:rsid w:val="00A47722"/>
    <w:rsid w:val="00A5013E"/>
    <w:rsid w:val="00A50B43"/>
    <w:rsid w:val="00A50EE7"/>
    <w:rsid w:val="00A50F2A"/>
    <w:rsid w:val="00A51763"/>
    <w:rsid w:val="00A5199A"/>
    <w:rsid w:val="00A51D2C"/>
    <w:rsid w:val="00A51D5B"/>
    <w:rsid w:val="00A52D2B"/>
    <w:rsid w:val="00A52D33"/>
    <w:rsid w:val="00A539A6"/>
    <w:rsid w:val="00A5421B"/>
    <w:rsid w:val="00A5471E"/>
    <w:rsid w:val="00A54F0A"/>
    <w:rsid w:val="00A55376"/>
    <w:rsid w:val="00A5580C"/>
    <w:rsid w:val="00A55E5E"/>
    <w:rsid w:val="00A5625E"/>
    <w:rsid w:val="00A56AFD"/>
    <w:rsid w:val="00A57383"/>
    <w:rsid w:val="00A573F7"/>
    <w:rsid w:val="00A574F8"/>
    <w:rsid w:val="00A57767"/>
    <w:rsid w:val="00A6007A"/>
    <w:rsid w:val="00A60342"/>
    <w:rsid w:val="00A60C74"/>
    <w:rsid w:val="00A61146"/>
    <w:rsid w:val="00A6121C"/>
    <w:rsid w:val="00A6182F"/>
    <w:rsid w:val="00A61D3B"/>
    <w:rsid w:val="00A61FC2"/>
    <w:rsid w:val="00A62923"/>
    <w:rsid w:val="00A63216"/>
    <w:rsid w:val="00A63784"/>
    <w:rsid w:val="00A6383F"/>
    <w:rsid w:val="00A64B61"/>
    <w:rsid w:val="00A64B69"/>
    <w:rsid w:val="00A64D11"/>
    <w:rsid w:val="00A64FAF"/>
    <w:rsid w:val="00A6509F"/>
    <w:rsid w:val="00A658E6"/>
    <w:rsid w:val="00A6646A"/>
    <w:rsid w:val="00A66FCD"/>
    <w:rsid w:val="00A67616"/>
    <w:rsid w:val="00A6787F"/>
    <w:rsid w:val="00A70814"/>
    <w:rsid w:val="00A70C0D"/>
    <w:rsid w:val="00A71447"/>
    <w:rsid w:val="00A71C9C"/>
    <w:rsid w:val="00A71FD6"/>
    <w:rsid w:val="00A72714"/>
    <w:rsid w:val="00A729E3"/>
    <w:rsid w:val="00A72C4D"/>
    <w:rsid w:val="00A735A1"/>
    <w:rsid w:val="00A735E3"/>
    <w:rsid w:val="00A73BE6"/>
    <w:rsid w:val="00A74143"/>
    <w:rsid w:val="00A74280"/>
    <w:rsid w:val="00A742E8"/>
    <w:rsid w:val="00A746E3"/>
    <w:rsid w:val="00A7522D"/>
    <w:rsid w:val="00A75A32"/>
    <w:rsid w:val="00A75AFA"/>
    <w:rsid w:val="00A75FA9"/>
    <w:rsid w:val="00A762CB"/>
    <w:rsid w:val="00A762E7"/>
    <w:rsid w:val="00A768A0"/>
    <w:rsid w:val="00A76B77"/>
    <w:rsid w:val="00A76DAA"/>
    <w:rsid w:val="00A7717A"/>
    <w:rsid w:val="00A771FB"/>
    <w:rsid w:val="00A77357"/>
    <w:rsid w:val="00A77CCB"/>
    <w:rsid w:val="00A77F43"/>
    <w:rsid w:val="00A8021C"/>
    <w:rsid w:val="00A80256"/>
    <w:rsid w:val="00A81818"/>
    <w:rsid w:val="00A81F7F"/>
    <w:rsid w:val="00A8211D"/>
    <w:rsid w:val="00A82421"/>
    <w:rsid w:val="00A82C3C"/>
    <w:rsid w:val="00A8302C"/>
    <w:rsid w:val="00A83BF1"/>
    <w:rsid w:val="00A83DC3"/>
    <w:rsid w:val="00A84D71"/>
    <w:rsid w:val="00A84DAD"/>
    <w:rsid w:val="00A854E5"/>
    <w:rsid w:val="00A85DAB"/>
    <w:rsid w:val="00A85E88"/>
    <w:rsid w:val="00A8608A"/>
    <w:rsid w:val="00A86B72"/>
    <w:rsid w:val="00A86E60"/>
    <w:rsid w:val="00A8795E"/>
    <w:rsid w:val="00A87AB9"/>
    <w:rsid w:val="00A906D9"/>
    <w:rsid w:val="00A90DE9"/>
    <w:rsid w:val="00A91726"/>
    <w:rsid w:val="00A9204F"/>
    <w:rsid w:val="00A922B8"/>
    <w:rsid w:val="00A923D6"/>
    <w:rsid w:val="00A924B9"/>
    <w:rsid w:val="00A927DD"/>
    <w:rsid w:val="00A92B3B"/>
    <w:rsid w:val="00A93370"/>
    <w:rsid w:val="00A93868"/>
    <w:rsid w:val="00A938A7"/>
    <w:rsid w:val="00A94EC5"/>
    <w:rsid w:val="00A958EE"/>
    <w:rsid w:val="00A95A7D"/>
    <w:rsid w:val="00A95CB9"/>
    <w:rsid w:val="00A95DFF"/>
    <w:rsid w:val="00A96187"/>
    <w:rsid w:val="00A96485"/>
    <w:rsid w:val="00A96501"/>
    <w:rsid w:val="00A96B85"/>
    <w:rsid w:val="00A97020"/>
    <w:rsid w:val="00A976A4"/>
    <w:rsid w:val="00A979F9"/>
    <w:rsid w:val="00AA00A3"/>
    <w:rsid w:val="00AA0431"/>
    <w:rsid w:val="00AA0494"/>
    <w:rsid w:val="00AA1465"/>
    <w:rsid w:val="00AA1593"/>
    <w:rsid w:val="00AA15CD"/>
    <w:rsid w:val="00AA174D"/>
    <w:rsid w:val="00AA21F5"/>
    <w:rsid w:val="00AA3621"/>
    <w:rsid w:val="00AA4181"/>
    <w:rsid w:val="00AA42C1"/>
    <w:rsid w:val="00AA4319"/>
    <w:rsid w:val="00AA43DE"/>
    <w:rsid w:val="00AA4C8B"/>
    <w:rsid w:val="00AA4F07"/>
    <w:rsid w:val="00AA5251"/>
    <w:rsid w:val="00AA6A5C"/>
    <w:rsid w:val="00AA6B31"/>
    <w:rsid w:val="00AA75D7"/>
    <w:rsid w:val="00AB010F"/>
    <w:rsid w:val="00AB0368"/>
    <w:rsid w:val="00AB1071"/>
    <w:rsid w:val="00AB12D5"/>
    <w:rsid w:val="00AB16D9"/>
    <w:rsid w:val="00AB21B3"/>
    <w:rsid w:val="00AB2A12"/>
    <w:rsid w:val="00AB2C60"/>
    <w:rsid w:val="00AB308C"/>
    <w:rsid w:val="00AB316D"/>
    <w:rsid w:val="00AB321C"/>
    <w:rsid w:val="00AB3363"/>
    <w:rsid w:val="00AB427B"/>
    <w:rsid w:val="00AB42AA"/>
    <w:rsid w:val="00AB4750"/>
    <w:rsid w:val="00AB49DF"/>
    <w:rsid w:val="00AB6474"/>
    <w:rsid w:val="00AB6A5D"/>
    <w:rsid w:val="00AB75D5"/>
    <w:rsid w:val="00AC0334"/>
    <w:rsid w:val="00AC0708"/>
    <w:rsid w:val="00AC13EF"/>
    <w:rsid w:val="00AC1AE2"/>
    <w:rsid w:val="00AC1CDB"/>
    <w:rsid w:val="00AC2461"/>
    <w:rsid w:val="00AC3890"/>
    <w:rsid w:val="00AC4278"/>
    <w:rsid w:val="00AC490D"/>
    <w:rsid w:val="00AC49C5"/>
    <w:rsid w:val="00AC4CCB"/>
    <w:rsid w:val="00AC5B6A"/>
    <w:rsid w:val="00AC6374"/>
    <w:rsid w:val="00AC79C9"/>
    <w:rsid w:val="00AD092F"/>
    <w:rsid w:val="00AD0968"/>
    <w:rsid w:val="00AD0EA8"/>
    <w:rsid w:val="00AD13D4"/>
    <w:rsid w:val="00AD1513"/>
    <w:rsid w:val="00AD1E94"/>
    <w:rsid w:val="00AD2510"/>
    <w:rsid w:val="00AD2945"/>
    <w:rsid w:val="00AD3889"/>
    <w:rsid w:val="00AD38C8"/>
    <w:rsid w:val="00AD46E2"/>
    <w:rsid w:val="00AD4F0C"/>
    <w:rsid w:val="00AD588A"/>
    <w:rsid w:val="00AD5A71"/>
    <w:rsid w:val="00AD6046"/>
    <w:rsid w:val="00AD636C"/>
    <w:rsid w:val="00AD6AA5"/>
    <w:rsid w:val="00AD6C67"/>
    <w:rsid w:val="00AD6F0A"/>
    <w:rsid w:val="00AD719F"/>
    <w:rsid w:val="00AD7D01"/>
    <w:rsid w:val="00AE049E"/>
    <w:rsid w:val="00AE0636"/>
    <w:rsid w:val="00AE0D21"/>
    <w:rsid w:val="00AE131E"/>
    <w:rsid w:val="00AE143D"/>
    <w:rsid w:val="00AE1831"/>
    <w:rsid w:val="00AE21C6"/>
    <w:rsid w:val="00AE2CBC"/>
    <w:rsid w:val="00AE4244"/>
    <w:rsid w:val="00AE4703"/>
    <w:rsid w:val="00AE53D1"/>
    <w:rsid w:val="00AE5526"/>
    <w:rsid w:val="00AE56A7"/>
    <w:rsid w:val="00AE5FCA"/>
    <w:rsid w:val="00AE6D40"/>
    <w:rsid w:val="00AE7A55"/>
    <w:rsid w:val="00AF0329"/>
    <w:rsid w:val="00AF1370"/>
    <w:rsid w:val="00AF1A8C"/>
    <w:rsid w:val="00AF1EF3"/>
    <w:rsid w:val="00AF24FE"/>
    <w:rsid w:val="00AF27D0"/>
    <w:rsid w:val="00AF2D67"/>
    <w:rsid w:val="00AF3017"/>
    <w:rsid w:val="00AF35A8"/>
    <w:rsid w:val="00AF3CBD"/>
    <w:rsid w:val="00AF3FBE"/>
    <w:rsid w:val="00AF4AFC"/>
    <w:rsid w:val="00AF5CCC"/>
    <w:rsid w:val="00AF5CEF"/>
    <w:rsid w:val="00AF6134"/>
    <w:rsid w:val="00AF6473"/>
    <w:rsid w:val="00AF683D"/>
    <w:rsid w:val="00AF7031"/>
    <w:rsid w:val="00AF70AB"/>
    <w:rsid w:val="00AF76C6"/>
    <w:rsid w:val="00AF7BA9"/>
    <w:rsid w:val="00B0022E"/>
    <w:rsid w:val="00B00392"/>
    <w:rsid w:val="00B00A0E"/>
    <w:rsid w:val="00B011DC"/>
    <w:rsid w:val="00B01961"/>
    <w:rsid w:val="00B01ED0"/>
    <w:rsid w:val="00B01FD2"/>
    <w:rsid w:val="00B021D2"/>
    <w:rsid w:val="00B02463"/>
    <w:rsid w:val="00B02A12"/>
    <w:rsid w:val="00B02A44"/>
    <w:rsid w:val="00B02E65"/>
    <w:rsid w:val="00B0315E"/>
    <w:rsid w:val="00B03621"/>
    <w:rsid w:val="00B0427B"/>
    <w:rsid w:val="00B04C49"/>
    <w:rsid w:val="00B05609"/>
    <w:rsid w:val="00B05765"/>
    <w:rsid w:val="00B05CB9"/>
    <w:rsid w:val="00B06A9C"/>
    <w:rsid w:val="00B0707B"/>
    <w:rsid w:val="00B0772F"/>
    <w:rsid w:val="00B07B97"/>
    <w:rsid w:val="00B07E16"/>
    <w:rsid w:val="00B07E6C"/>
    <w:rsid w:val="00B1032C"/>
    <w:rsid w:val="00B10F3A"/>
    <w:rsid w:val="00B116FE"/>
    <w:rsid w:val="00B11B31"/>
    <w:rsid w:val="00B11DD9"/>
    <w:rsid w:val="00B11E51"/>
    <w:rsid w:val="00B11FC0"/>
    <w:rsid w:val="00B122AD"/>
    <w:rsid w:val="00B122C9"/>
    <w:rsid w:val="00B12D8F"/>
    <w:rsid w:val="00B1349D"/>
    <w:rsid w:val="00B135B4"/>
    <w:rsid w:val="00B13B10"/>
    <w:rsid w:val="00B143FA"/>
    <w:rsid w:val="00B149F6"/>
    <w:rsid w:val="00B14E2C"/>
    <w:rsid w:val="00B150E6"/>
    <w:rsid w:val="00B1550D"/>
    <w:rsid w:val="00B16D9A"/>
    <w:rsid w:val="00B17A5D"/>
    <w:rsid w:val="00B17BF3"/>
    <w:rsid w:val="00B17EAC"/>
    <w:rsid w:val="00B20578"/>
    <w:rsid w:val="00B2082C"/>
    <w:rsid w:val="00B20B9E"/>
    <w:rsid w:val="00B212C0"/>
    <w:rsid w:val="00B21861"/>
    <w:rsid w:val="00B21B42"/>
    <w:rsid w:val="00B21D15"/>
    <w:rsid w:val="00B21DE5"/>
    <w:rsid w:val="00B22A6F"/>
    <w:rsid w:val="00B22BC0"/>
    <w:rsid w:val="00B238B5"/>
    <w:rsid w:val="00B24017"/>
    <w:rsid w:val="00B241B1"/>
    <w:rsid w:val="00B24710"/>
    <w:rsid w:val="00B24878"/>
    <w:rsid w:val="00B24A69"/>
    <w:rsid w:val="00B25606"/>
    <w:rsid w:val="00B257E8"/>
    <w:rsid w:val="00B258F4"/>
    <w:rsid w:val="00B259DB"/>
    <w:rsid w:val="00B26957"/>
    <w:rsid w:val="00B269C6"/>
    <w:rsid w:val="00B269FD"/>
    <w:rsid w:val="00B26A42"/>
    <w:rsid w:val="00B27349"/>
    <w:rsid w:val="00B300CE"/>
    <w:rsid w:val="00B302BA"/>
    <w:rsid w:val="00B304B4"/>
    <w:rsid w:val="00B30619"/>
    <w:rsid w:val="00B30A25"/>
    <w:rsid w:val="00B312BA"/>
    <w:rsid w:val="00B315DE"/>
    <w:rsid w:val="00B31DA9"/>
    <w:rsid w:val="00B32570"/>
    <w:rsid w:val="00B331F0"/>
    <w:rsid w:val="00B334C6"/>
    <w:rsid w:val="00B33F26"/>
    <w:rsid w:val="00B3462A"/>
    <w:rsid w:val="00B358BE"/>
    <w:rsid w:val="00B36596"/>
    <w:rsid w:val="00B36B95"/>
    <w:rsid w:val="00B36D8D"/>
    <w:rsid w:val="00B3723D"/>
    <w:rsid w:val="00B3729A"/>
    <w:rsid w:val="00B37361"/>
    <w:rsid w:val="00B37394"/>
    <w:rsid w:val="00B379F8"/>
    <w:rsid w:val="00B400B0"/>
    <w:rsid w:val="00B40666"/>
    <w:rsid w:val="00B40981"/>
    <w:rsid w:val="00B40EA3"/>
    <w:rsid w:val="00B40FBC"/>
    <w:rsid w:val="00B4103C"/>
    <w:rsid w:val="00B41080"/>
    <w:rsid w:val="00B416FD"/>
    <w:rsid w:val="00B41952"/>
    <w:rsid w:val="00B42124"/>
    <w:rsid w:val="00B431A6"/>
    <w:rsid w:val="00B43331"/>
    <w:rsid w:val="00B436E9"/>
    <w:rsid w:val="00B439EE"/>
    <w:rsid w:val="00B440C7"/>
    <w:rsid w:val="00B4445A"/>
    <w:rsid w:val="00B451EB"/>
    <w:rsid w:val="00B45EB0"/>
    <w:rsid w:val="00B4655D"/>
    <w:rsid w:val="00B46AAA"/>
    <w:rsid w:val="00B46BD6"/>
    <w:rsid w:val="00B46D7A"/>
    <w:rsid w:val="00B46EF7"/>
    <w:rsid w:val="00B47197"/>
    <w:rsid w:val="00B472FD"/>
    <w:rsid w:val="00B473E6"/>
    <w:rsid w:val="00B47685"/>
    <w:rsid w:val="00B47D6B"/>
    <w:rsid w:val="00B504FF"/>
    <w:rsid w:val="00B514EF"/>
    <w:rsid w:val="00B51508"/>
    <w:rsid w:val="00B51915"/>
    <w:rsid w:val="00B51B9C"/>
    <w:rsid w:val="00B51F8D"/>
    <w:rsid w:val="00B52187"/>
    <w:rsid w:val="00B52534"/>
    <w:rsid w:val="00B52632"/>
    <w:rsid w:val="00B52AFF"/>
    <w:rsid w:val="00B52B08"/>
    <w:rsid w:val="00B53366"/>
    <w:rsid w:val="00B53E32"/>
    <w:rsid w:val="00B54AFF"/>
    <w:rsid w:val="00B550A2"/>
    <w:rsid w:val="00B555BD"/>
    <w:rsid w:val="00B5579A"/>
    <w:rsid w:val="00B56015"/>
    <w:rsid w:val="00B56C88"/>
    <w:rsid w:val="00B604B7"/>
    <w:rsid w:val="00B60757"/>
    <w:rsid w:val="00B60B8D"/>
    <w:rsid w:val="00B60FF1"/>
    <w:rsid w:val="00B61102"/>
    <w:rsid w:val="00B61897"/>
    <w:rsid w:val="00B61CE1"/>
    <w:rsid w:val="00B620AB"/>
    <w:rsid w:val="00B63C07"/>
    <w:rsid w:val="00B63FB2"/>
    <w:rsid w:val="00B64071"/>
    <w:rsid w:val="00B64E07"/>
    <w:rsid w:val="00B653DD"/>
    <w:rsid w:val="00B6699F"/>
    <w:rsid w:val="00B67A3C"/>
    <w:rsid w:val="00B701D7"/>
    <w:rsid w:val="00B70871"/>
    <w:rsid w:val="00B71017"/>
    <w:rsid w:val="00B712D2"/>
    <w:rsid w:val="00B721CA"/>
    <w:rsid w:val="00B721F7"/>
    <w:rsid w:val="00B7221F"/>
    <w:rsid w:val="00B725DE"/>
    <w:rsid w:val="00B72A35"/>
    <w:rsid w:val="00B73198"/>
    <w:rsid w:val="00B7377B"/>
    <w:rsid w:val="00B73D88"/>
    <w:rsid w:val="00B73FF5"/>
    <w:rsid w:val="00B74A24"/>
    <w:rsid w:val="00B750AE"/>
    <w:rsid w:val="00B751F8"/>
    <w:rsid w:val="00B75605"/>
    <w:rsid w:val="00B768DF"/>
    <w:rsid w:val="00B76B0A"/>
    <w:rsid w:val="00B805FB"/>
    <w:rsid w:val="00B80B27"/>
    <w:rsid w:val="00B80C34"/>
    <w:rsid w:val="00B818A6"/>
    <w:rsid w:val="00B8194F"/>
    <w:rsid w:val="00B819A2"/>
    <w:rsid w:val="00B81F14"/>
    <w:rsid w:val="00B82694"/>
    <w:rsid w:val="00B82789"/>
    <w:rsid w:val="00B82D15"/>
    <w:rsid w:val="00B82F99"/>
    <w:rsid w:val="00B835CD"/>
    <w:rsid w:val="00B83E25"/>
    <w:rsid w:val="00B83F75"/>
    <w:rsid w:val="00B8464F"/>
    <w:rsid w:val="00B84A4F"/>
    <w:rsid w:val="00B84B2E"/>
    <w:rsid w:val="00B84D78"/>
    <w:rsid w:val="00B851C8"/>
    <w:rsid w:val="00B85348"/>
    <w:rsid w:val="00B8584D"/>
    <w:rsid w:val="00B85AE0"/>
    <w:rsid w:val="00B85BDF"/>
    <w:rsid w:val="00B8605C"/>
    <w:rsid w:val="00B86104"/>
    <w:rsid w:val="00B86252"/>
    <w:rsid w:val="00B86E44"/>
    <w:rsid w:val="00B878F3"/>
    <w:rsid w:val="00B87F4B"/>
    <w:rsid w:val="00B90EA5"/>
    <w:rsid w:val="00B911B7"/>
    <w:rsid w:val="00B91209"/>
    <w:rsid w:val="00B915CE"/>
    <w:rsid w:val="00B92177"/>
    <w:rsid w:val="00B92910"/>
    <w:rsid w:val="00B92BDD"/>
    <w:rsid w:val="00B93929"/>
    <w:rsid w:val="00B9394D"/>
    <w:rsid w:val="00B93ABD"/>
    <w:rsid w:val="00B940CA"/>
    <w:rsid w:val="00B94CA6"/>
    <w:rsid w:val="00B95E0B"/>
    <w:rsid w:val="00B96B59"/>
    <w:rsid w:val="00B96D32"/>
    <w:rsid w:val="00B97054"/>
    <w:rsid w:val="00B97349"/>
    <w:rsid w:val="00B97F8B"/>
    <w:rsid w:val="00B97FBE"/>
    <w:rsid w:val="00BA056E"/>
    <w:rsid w:val="00BA0643"/>
    <w:rsid w:val="00BA09DE"/>
    <w:rsid w:val="00BA0FAA"/>
    <w:rsid w:val="00BA1D72"/>
    <w:rsid w:val="00BA2435"/>
    <w:rsid w:val="00BA2B5C"/>
    <w:rsid w:val="00BA329B"/>
    <w:rsid w:val="00BA3768"/>
    <w:rsid w:val="00BA3AAA"/>
    <w:rsid w:val="00BA3F14"/>
    <w:rsid w:val="00BA6020"/>
    <w:rsid w:val="00BA606A"/>
    <w:rsid w:val="00BA624D"/>
    <w:rsid w:val="00BA63FE"/>
    <w:rsid w:val="00BA65BE"/>
    <w:rsid w:val="00BB0368"/>
    <w:rsid w:val="00BB04B4"/>
    <w:rsid w:val="00BB0814"/>
    <w:rsid w:val="00BB0C6F"/>
    <w:rsid w:val="00BB16AD"/>
    <w:rsid w:val="00BB1783"/>
    <w:rsid w:val="00BB190A"/>
    <w:rsid w:val="00BB1F20"/>
    <w:rsid w:val="00BB2C38"/>
    <w:rsid w:val="00BB2EDF"/>
    <w:rsid w:val="00BB395B"/>
    <w:rsid w:val="00BB50E8"/>
    <w:rsid w:val="00BB5DD6"/>
    <w:rsid w:val="00BB72E2"/>
    <w:rsid w:val="00BB7340"/>
    <w:rsid w:val="00BB7946"/>
    <w:rsid w:val="00BB79DE"/>
    <w:rsid w:val="00BB7C0D"/>
    <w:rsid w:val="00BB7C77"/>
    <w:rsid w:val="00BB7E4C"/>
    <w:rsid w:val="00BC04E0"/>
    <w:rsid w:val="00BC06BA"/>
    <w:rsid w:val="00BC070D"/>
    <w:rsid w:val="00BC0FF0"/>
    <w:rsid w:val="00BC10F6"/>
    <w:rsid w:val="00BC13EB"/>
    <w:rsid w:val="00BC1591"/>
    <w:rsid w:val="00BC1604"/>
    <w:rsid w:val="00BC19C1"/>
    <w:rsid w:val="00BC1E4D"/>
    <w:rsid w:val="00BC2859"/>
    <w:rsid w:val="00BC2CF3"/>
    <w:rsid w:val="00BC2D73"/>
    <w:rsid w:val="00BC358A"/>
    <w:rsid w:val="00BC5C8C"/>
    <w:rsid w:val="00BC6BA1"/>
    <w:rsid w:val="00BC7236"/>
    <w:rsid w:val="00BC7940"/>
    <w:rsid w:val="00BC7D5C"/>
    <w:rsid w:val="00BC7EB0"/>
    <w:rsid w:val="00BD0399"/>
    <w:rsid w:val="00BD03A8"/>
    <w:rsid w:val="00BD075A"/>
    <w:rsid w:val="00BD0EB6"/>
    <w:rsid w:val="00BD11BC"/>
    <w:rsid w:val="00BD17BA"/>
    <w:rsid w:val="00BD2AEF"/>
    <w:rsid w:val="00BD3AE4"/>
    <w:rsid w:val="00BD49A5"/>
    <w:rsid w:val="00BD4B96"/>
    <w:rsid w:val="00BD51E7"/>
    <w:rsid w:val="00BD5560"/>
    <w:rsid w:val="00BD556C"/>
    <w:rsid w:val="00BD5DD9"/>
    <w:rsid w:val="00BD694C"/>
    <w:rsid w:val="00BD71A7"/>
    <w:rsid w:val="00BD7263"/>
    <w:rsid w:val="00BD7FC8"/>
    <w:rsid w:val="00BE0395"/>
    <w:rsid w:val="00BE06B8"/>
    <w:rsid w:val="00BE0700"/>
    <w:rsid w:val="00BE0709"/>
    <w:rsid w:val="00BE103A"/>
    <w:rsid w:val="00BE1BAD"/>
    <w:rsid w:val="00BE1D4B"/>
    <w:rsid w:val="00BE2153"/>
    <w:rsid w:val="00BE238D"/>
    <w:rsid w:val="00BE3EB1"/>
    <w:rsid w:val="00BE41EA"/>
    <w:rsid w:val="00BE4342"/>
    <w:rsid w:val="00BE5288"/>
    <w:rsid w:val="00BE53FA"/>
    <w:rsid w:val="00BE594B"/>
    <w:rsid w:val="00BE59C7"/>
    <w:rsid w:val="00BE6158"/>
    <w:rsid w:val="00BE6D5D"/>
    <w:rsid w:val="00BE74C9"/>
    <w:rsid w:val="00BE76F7"/>
    <w:rsid w:val="00BE7A61"/>
    <w:rsid w:val="00BF017A"/>
    <w:rsid w:val="00BF0A70"/>
    <w:rsid w:val="00BF0B47"/>
    <w:rsid w:val="00BF0EB7"/>
    <w:rsid w:val="00BF13E7"/>
    <w:rsid w:val="00BF2B15"/>
    <w:rsid w:val="00BF2DA9"/>
    <w:rsid w:val="00BF32E1"/>
    <w:rsid w:val="00BF38A6"/>
    <w:rsid w:val="00BF3D6B"/>
    <w:rsid w:val="00BF3DAB"/>
    <w:rsid w:val="00BF48AA"/>
    <w:rsid w:val="00BF4C85"/>
    <w:rsid w:val="00BF545C"/>
    <w:rsid w:val="00BF618F"/>
    <w:rsid w:val="00BF7AAE"/>
    <w:rsid w:val="00BF7ABC"/>
    <w:rsid w:val="00BF7C61"/>
    <w:rsid w:val="00C002C2"/>
    <w:rsid w:val="00C009EA"/>
    <w:rsid w:val="00C02843"/>
    <w:rsid w:val="00C0299E"/>
    <w:rsid w:val="00C02BC4"/>
    <w:rsid w:val="00C02F1B"/>
    <w:rsid w:val="00C0332D"/>
    <w:rsid w:val="00C03D52"/>
    <w:rsid w:val="00C044EA"/>
    <w:rsid w:val="00C04FAB"/>
    <w:rsid w:val="00C0540A"/>
    <w:rsid w:val="00C059A2"/>
    <w:rsid w:val="00C0610D"/>
    <w:rsid w:val="00C067E3"/>
    <w:rsid w:val="00C07776"/>
    <w:rsid w:val="00C1016E"/>
    <w:rsid w:val="00C10E6E"/>
    <w:rsid w:val="00C12402"/>
    <w:rsid w:val="00C12F28"/>
    <w:rsid w:val="00C13238"/>
    <w:rsid w:val="00C13631"/>
    <w:rsid w:val="00C1497D"/>
    <w:rsid w:val="00C14ACF"/>
    <w:rsid w:val="00C150AE"/>
    <w:rsid w:val="00C156D0"/>
    <w:rsid w:val="00C17AB1"/>
    <w:rsid w:val="00C20AFC"/>
    <w:rsid w:val="00C21FD3"/>
    <w:rsid w:val="00C221F6"/>
    <w:rsid w:val="00C224D4"/>
    <w:rsid w:val="00C231D1"/>
    <w:rsid w:val="00C23224"/>
    <w:rsid w:val="00C235E6"/>
    <w:rsid w:val="00C24185"/>
    <w:rsid w:val="00C24504"/>
    <w:rsid w:val="00C246D0"/>
    <w:rsid w:val="00C25048"/>
    <w:rsid w:val="00C25113"/>
    <w:rsid w:val="00C26B20"/>
    <w:rsid w:val="00C26F87"/>
    <w:rsid w:val="00C27050"/>
    <w:rsid w:val="00C271AB"/>
    <w:rsid w:val="00C273F9"/>
    <w:rsid w:val="00C274D5"/>
    <w:rsid w:val="00C27737"/>
    <w:rsid w:val="00C3079B"/>
    <w:rsid w:val="00C30F19"/>
    <w:rsid w:val="00C311B9"/>
    <w:rsid w:val="00C31D18"/>
    <w:rsid w:val="00C31DCF"/>
    <w:rsid w:val="00C31F83"/>
    <w:rsid w:val="00C32105"/>
    <w:rsid w:val="00C32171"/>
    <w:rsid w:val="00C32407"/>
    <w:rsid w:val="00C326BB"/>
    <w:rsid w:val="00C32BF1"/>
    <w:rsid w:val="00C32C85"/>
    <w:rsid w:val="00C32F82"/>
    <w:rsid w:val="00C33FD6"/>
    <w:rsid w:val="00C3412A"/>
    <w:rsid w:val="00C342A1"/>
    <w:rsid w:val="00C3551A"/>
    <w:rsid w:val="00C3572C"/>
    <w:rsid w:val="00C35D1D"/>
    <w:rsid w:val="00C37B2B"/>
    <w:rsid w:val="00C40A49"/>
    <w:rsid w:val="00C40D83"/>
    <w:rsid w:val="00C40DD7"/>
    <w:rsid w:val="00C4194D"/>
    <w:rsid w:val="00C41A80"/>
    <w:rsid w:val="00C41B3F"/>
    <w:rsid w:val="00C41B84"/>
    <w:rsid w:val="00C420F5"/>
    <w:rsid w:val="00C422BA"/>
    <w:rsid w:val="00C42479"/>
    <w:rsid w:val="00C42924"/>
    <w:rsid w:val="00C42AF5"/>
    <w:rsid w:val="00C42FAF"/>
    <w:rsid w:val="00C4435E"/>
    <w:rsid w:val="00C4582D"/>
    <w:rsid w:val="00C466EB"/>
    <w:rsid w:val="00C46AA9"/>
    <w:rsid w:val="00C46B9D"/>
    <w:rsid w:val="00C47881"/>
    <w:rsid w:val="00C50411"/>
    <w:rsid w:val="00C50B07"/>
    <w:rsid w:val="00C50E34"/>
    <w:rsid w:val="00C51032"/>
    <w:rsid w:val="00C519C5"/>
    <w:rsid w:val="00C51ACB"/>
    <w:rsid w:val="00C52DEA"/>
    <w:rsid w:val="00C53AEE"/>
    <w:rsid w:val="00C53BC0"/>
    <w:rsid w:val="00C54062"/>
    <w:rsid w:val="00C54EA9"/>
    <w:rsid w:val="00C55094"/>
    <w:rsid w:val="00C554A4"/>
    <w:rsid w:val="00C555B9"/>
    <w:rsid w:val="00C559DF"/>
    <w:rsid w:val="00C55F65"/>
    <w:rsid w:val="00C56174"/>
    <w:rsid w:val="00C562EA"/>
    <w:rsid w:val="00C56436"/>
    <w:rsid w:val="00C568B4"/>
    <w:rsid w:val="00C569A0"/>
    <w:rsid w:val="00C56A58"/>
    <w:rsid w:val="00C56B7B"/>
    <w:rsid w:val="00C57385"/>
    <w:rsid w:val="00C5794C"/>
    <w:rsid w:val="00C6005C"/>
    <w:rsid w:val="00C601D1"/>
    <w:rsid w:val="00C60265"/>
    <w:rsid w:val="00C6196A"/>
    <w:rsid w:val="00C61CDC"/>
    <w:rsid w:val="00C61EF5"/>
    <w:rsid w:val="00C632BB"/>
    <w:rsid w:val="00C634D9"/>
    <w:rsid w:val="00C63AE0"/>
    <w:rsid w:val="00C64509"/>
    <w:rsid w:val="00C64894"/>
    <w:rsid w:val="00C648A5"/>
    <w:rsid w:val="00C649AB"/>
    <w:rsid w:val="00C64F33"/>
    <w:rsid w:val="00C660EE"/>
    <w:rsid w:val="00C673C3"/>
    <w:rsid w:val="00C67A41"/>
    <w:rsid w:val="00C67C08"/>
    <w:rsid w:val="00C7007E"/>
    <w:rsid w:val="00C703B9"/>
    <w:rsid w:val="00C70A6C"/>
    <w:rsid w:val="00C720C1"/>
    <w:rsid w:val="00C72B12"/>
    <w:rsid w:val="00C72EB8"/>
    <w:rsid w:val="00C7344E"/>
    <w:rsid w:val="00C735EE"/>
    <w:rsid w:val="00C7577F"/>
    <w:rsid w:val="00C75954"/>
    <w:rsid w:val="00C759D5"/>
    <w:rsid w:val="00C766E3"/>
    <w:rsid w:val="00C76CC8"/>
    <w:rsid w:val="00C770E1"/>
    <w:rsid w:val="00C7756E"/>
    <w:rsid w:val="00C778D7"/>
    <w:rsid w:val="00C77C78"/>
    <w:rsid w:val="00C81112"/>
    <w:rsid w:val="00C8221E"/>
    <w:rsid w:val="00C82606"/>
    <w:rsid w:val="00C827DF"/>
    <w:rsid w:val="00C82888"/>
    <w:rsid w:val="00C82D4A"/>
    <w:rsid w:val="00C83469"/>
    <w:rsid w:val="00C83E20"/>
    <w:rsid w:val="00C83F27"/>
    <w:rsid w:val="00C842D6"/>
    <w:rsid w:val="00C843F9"/>
    <w:rsid w:val="00C84853"/>
    <w:rsid w:val="00C84FD1"/>
    <w:rsid w:val="00C8562D"/>
    <w:rsid w:val="00C868D0"/>
    <w:rsid w:val="00C86A11"/>
    <w:rsid w:val="00C86C38"/>
    <w:rsid w:val="00C87229"/>
    <w:rsid w:val="00C87548"/>
    <w:rsid w:val="00C87DC7"/>
    <w:rsid w:val="00C87F1F"/>
    <w:rsid w:val="00C905DD"/>
    <w:rsid w:val="00C90886"/>
    <w:rsid w:val="00C915F0"/>
    <w:rsid w:val="00C91DA1"/>
    <w:rsid w:val="00C926F6"/>
    <w:rsid w:val="00C92797"/>
    <w:rsid w:val="00C92B08"/>
    <w:rsid w:val="00C92EAB"/>
    <w:rsid w:val="00C92FCF"/>
    <w:rsid w:val="00C94226"/>
    <w:rsid w:val="00C94611"/>
    <w:rsid w:val="00C9491B"/>
    <w:rsid w:val="00C95816"/>
    <w:rsid w:val="00C96E84"/>
    <w:rsid w:val="00C97139"/>
    <w:rsid w:val="00C97189"/>
    <w:rsid w:val="00CA0904"/>
    <w:rsid w:val="00CA0AC8"/>
    <w:rsid w:val="00CA0BBD"/>
    <w:rsid w:val="00CA1BF9"/>
    <w:rsid w:val="00CA1C2B"/>
    <w:rsid w:val="00CA1F7E"/>
    <w:rsid w:val="00CA2646"/>
    <w:rsid w:val="00CA2A4C"/>
    <w:rsid w:val="00CA355D"/>
    <w:rsid w:val="00CA38FB"/>
    <w:rsid w:val="00CA3BF4"/>
    <w:rsid w:val="00CA3DE3"/>
    <w:rsid w:val="00CA3FE9"/>
    <w:rsid w:val="00CA415F"/>
    <w:rsid w:val="00CA45E9"/>
    <w:rsid w:val="00CA53D5"/>
    <w:rsid w:val="00CA5516"/>
    <w:rsid w:val="00CA5582"/>
    <w:rsid w:val="00CA5FCA"/>
    <w:rsid w:val="00CA6021"/>
    <w:rsid w:val="00CA64DB"/>
    <w:rsid w:val="00CA7695"/>
    <w:rsid w:val="00CA7818"/>
    <w:rsid w:val="00CA7C46"/>
    <w:rsid w:val="00CB06D0"/>
    <w:rsid w:val="00CB0809"/>
    <w:rsid w:val="00CB0AE3"/>
    <w:rsid w:val="00CB0C4B"/>
    <w:rsid w:val="00CB1521"/>
    <w:rsid w:val="00CB1B86"/>
    <w:rsid w:val="00CB2980"/>
    <w:rsid w:val="00CB3664"/>
    <w:rsid w:val="00CB38FC"/>
    <w:rsid w:val="00CB4071"/>
    <w:rsid w:val="00CB4256"/>
    <w:rsid w:val="00CB43FC"/>
    <w:rsid w:val="00CB4A2F"/>
    <w:rsid w:val="00CB4C3B"/>
    <w:rsid w:val="00CB50D1"/>
    <w:rsid w:val="00CB517D"/>
    <w:rsid w:val="00CB5B54"/>
    <w:rsid w:val="00CB691B"/>
    <w:rsid w:val="00CB6C94"/>
    <w:rsid w:val="00CB78B6"/>
    <w:rsid w:val="00CB7913"/>
    <w:rsid w:val="00CC0073"/>
    <w:rsid w:val="00CC0C3B"/>
    <w:rsid w:val="00CC0DE7"/>
    <w:rsid w:val="00CC11B7"/>
    <w:rsid w:val="00CC1D74"/>
    <w:rsid w:val="00CC20C4"/>
    <w:rsid w:val="00CC2336"/>
    <w:rsid w:val="00CC2E94"/>
    <w:rsid w:val="00CC2F12"/>
    <w:rsid w:val="00CC3036"/>
    <w:rsid w:val="00CC318B"/>
    <w:rsid w:val="00CC3698"/>
    <w:rsid w:val="00CC39A0"/>
    <w:rsid w:val="00CC39F9"/>
    <w:rsid w:val="00CC4349"/>
    <w:rsid w:val="00CC4685"/>
    <w:rsid w:val="00CC472E"/>
    <w:rsid w:val="00CC488F"/>
    <w:rsid w:val="00CC55D5"/>
    <w:rsid w:val="00CC570F"/>
    <w:rsid w:val="00CC5F4B"/>
    <w:rsid w:val="00CC62BF"/>
    <w:rsid w:val="00CC6549"/>
    <w:rsid w:val="00CC6AF0"/>
    <w:rsid w:val="00CC6D4E"/>
    <w:rsid w:val="00CC6FEE"/>
    <w:rsid w:val="00CC7230"/>
    <w:rsid w:val="00CC76DF"/>
    <w:rsid w:val="00CC7739"/>
    <w:rsid w:val="00CC7AAA"/>
    <w:rsid w:val="00CD02F5"/>
    <w:rsid w:val="00CD17C8"/>
    <w:rsid w:val="00CD1AB5"/>
    <w:rsid w:val="00CD1AC0"/>
    <w:rsid w:val="00CD1FB1"/>
    <w:rsid w:val="00CD253C"/>
    <w:rsid w:val="00CD2693"/>
    <w:rsid w:val="00CD4622"/>
    <w:rsid w:val="00CD4B08"/>
    <w:rsid w:val="00CD5270"/>
    <w:rsid w:val="00CD549D"/>
    <w:rsid w:val="00CD55CB"/>
    <w:rsid w:val="00CD61A7"/>
    <w:rsid w:val="00CD636F"/>
    <w:rsid w:val="00CD6E7B"/>
    <w:rsid w:val="00CD742C"/>
    <w:rsid w:val="00CD7644"/>
    <w:rsid w:val="00CD7B62"/>
    <w:rsid w:val="00CD7C8B"/>
    <w:rsid w:val="00CD7CE3"/>
    <w:rsid w:val="00CE0362"/>
    <w:rsid w:val="00CE0DA3"/>
    <w:rsid w:val="00CE1B8F"/>
    <w:rsid w:val="00CE2D05"/>
    <w:rsid w:val="00CE3245"/>
    <w:rsid w:val="00CE32D4"/>
    <w:rsid w:val="00CE3353"/>
    <w:rsid w:val="00CE36CA"/>
    <w:rsid w:val="00CE394A"/>
    <w:rsid w:val="00CE3FC2"/>
    <w:rsid w:val="00CE43F2"/>
    <w:rsid w:val="00CE4918"/>
    <w:rsid w:val="00CE4C78"/>
    <w:rsid w:val="00CE4EEF"/>
    <w:rsid w:val="00CE5562"/>
    <w:rsid w:val="00CE55EF"/>
    <w:rsid w:val="00CE5D55"/>
    <w:rsid w:val="00CE601E"/>
    <w:rsid w:val="00CE6106"/>
    <w:rsid w:val="00CE612A"/>
    <w:rsid w:val="00CE61AB"/>
    <w:rsid w:val="00CE6302"/>
    <w:rsid w:val="00CE72EC"/>
    <w:rsid w:val="00CE73DD"/>
    <w:rsid w:val="00CE7888"/>
    <w:rsid w:val="00CE7A02"/>
    <w:rsid w:val="00CF0FE5"/>
    <w:rsid w:val="00CF13ED"/>
    <w:rsid w:val="00CF15B2"/>
    <w:rsid w:val="00CF172B"/>
    <w:rsid w:val="00CF19D1"/>
    <w:rsid w:val="00CF1A02"/>
    <w:rsid w:val="00CF2C60"/>
    <w:rsid w:val="00CF2D9A"/>
    <w:rsid w:val="00CF31BB"/>
    <w:rsid w:val="00CF3E75"/>
    <w:rsid w:val="00CF3EEE"/>
    <w:rsid w:val="00CF6109"/>
    <w:rsid w:val="00CF620E"/>
    <w:rsid w:val="00CF6C42"/>
    <w:rsid w:val="00CF6CCE"/>
    <w:rsid w:val="00CF70DE"/>
    <w:rsid w:val="00D01B21"/>
    <w:rsid w:val="00D01E59"/>
    <w:rsid w:val="00D02072"/>
    <w:rsid w:val="00D0222A"/>
    <w:rsid w:val="00D02540"/>
    <w:rsid w:val="00D029F5"/>
    <w:rsid w:val="00D031A3"/>
    <w:rsid w:val="00D03872"/>
    <w:rsid w:val="00D042C2"/>
    <w:rsid w:val="00D05B5C"/>
    <w:rsid w:val="00D066C3"/>
    <w:rsid w:val="00D06F6E"/>
    <w:rsid w:val="00D101D7"/>
    <w:rsid w:val="00D10248"/>
    <w:rsid w:val="00D102CE"/>
    <w:rsid w:val="00D10CC4"/>
    <w:rsid w:val="00D10F89"/>
    <w:rsid w:val="00D111AE"/>
    <w:rsid w:val="00D111F8"/>
    <w:rsid w:val="00D1156F"/>
    <w:rsid w:val="00D11926"/>
    <w:rsid w:val="00D119C7"/>
    <w:rsid w:val="00D11B65"/>
    <w:rsid w:val="00D11BCD"/>
    <w:rsid w:val="00D11E15"/>
    <w:rsid w:val="00D11E59"/>
    <w:rsid w:val="00D12150"/>
    <w:rsid w:val="00D12706"/>
    <w:rsid w:val="00D13950"/>
    <w:rsid w:val="00D1487B"/>
    <w:rsid w:val="00D148AE"/>
    <w:rsid w:val="00D14D65"/>
    <w:rsid w:val="00D15388"/>
    <w:rsid w:val="00D1547A"/>
    <w:rsid w:val="00D15646"/>
    <w:rsid w:val="00D156DB"/>
    <w:rsid w:val="00D15ABD"/>
    <w:rsid w:val="00D15FD2"/>
    <w:rsid w:val="00D16FAA"/>
    <w:rsid w:val="00D1701C"/>
    <w:rsid w:val="00D17AB5"/>
    <w:rsid w:val="00D17BD1"/>
    <w:rsid w:val="00D17D23"/>
    <w:rsid w:val="00D17DF1"/>
    <w:rsid w:val="00D17ED6"/>
    <w:rsid w:val="00D17FD3"/>
    <w:rsid w:val="00D2038A"/>
    <w:rsid w:val="00D20698"/>
    <w:rsid w:val="00D219C8"/>
    <w:rsid w:val="00D22308"/>
    <w:rsid w:val="00D22588"/>
    <w:rsid w:val="00D229E3"/>
    <w:rsid w:val="00D23243"/>
    <w:rsid w:val="00D23AFB"/>
    <w:rsid w:val="00D23C45"/>
    <w:rsid w:val="00D2401A"/>
    <w:rsid w:val="00D24BD9"/>
    <w:rsid w:val="00D24C73"/>
    <w:rsid w:val="00D25857"/>
    <w:rsid w:val="00D25D84"/>
    <w:rsid w:val="00D26549"/>
    <w:rsid w:val="00D26A04"/>
    <w:rsid w:val="00D27437"/>
    <w:rsid w:val="00D277B0"/>
    <w:rsid w:val="00D300ED"/>
    <w:rsid w:val="00D304AA"/>
    <w:rsid w:val="00D30EC6"/>
    <w:rsid w:val="00D314B8"/>
    <w:rsid w:val="00D314C0"/>
    <w:rsid w:val="00D31911"/>
    <w:rsid w:val="00D31EB8"/>
    <w:rsid w:val="00D322BF"/>
    <w:rsid w:val="00D3285E"/>
    <w:rsid w:val="00D32CA9"/>
    <w:rsid w:val="00D33354"/>
    <w:rsid w:val="00D333B5"/>
    <w:rsid w:val="00D33884"/>
    <w:rsid w:val="00D33A2D"/>
    <w:rsid w:val="00D33FB7"/>
    <w:rsid w:val="00D340B2"/>
    <w:rsid w:val="00D341A1"/>
    <w:rsid w:val="00D342DA"/>
    <w:rsid w:val="00D34341"/>
    <w:rsid w:val="00D34399"/>
    <w:rsid w:val="00D3450D"/>
    <w:rsid w:val="00D345F1"/>
    <w:rsid w:val="00D34F6E"/>
    <w:rsid w:val="00D35600"/>
    <w:rsid w:val="00D35F97"/>
    <w:rsid w:val="00D36274"/>
    <w:rsid w:val="00D36D97"/>
    <w:rsid w:val="00D36F0F"/>
    <w:rsid w:val="00D36F1B"/>
    <w:rsid w:val="00D370F9"/>
    <w:rsid w:val="00D376E3"/>
    <w:rsid w:val="00D401A5"/>
    <w:rsid w:val="00D4069D"/>
    <w:rsid w:val="00D409EA"/>
    <w:rsid w:val="00D40CDA"/>
    <w:rsid w:val="00D41BA0"/>
    <w:rsid w:val="00D4250E"/>
    <w:rsid w:val="00D430C3"/>
    <w:rsid w:val="00D435C6"/>
    <w:rsid w:val="00D435E7"/>
    <w:rsid w:val="00D4382A"/>
    <w:rsid w:val="00D4413E"/>
    <w:rsid w:val="00D4436D"/>
    <w:rsid w:val="00D4489F"/>
    <w:rsid w:val="00D45167"/>
    <w:rsid w:val="00D4573D"/>
    <w:rsid w:val="00D45A05"/>
    <w:rsid w:val="00D45E91"/>
    <w:rsid w:val="00D45FFF"/>
    <w:rsid w:val="00D460B3"/>
    <w:rsid w:val="00D47731"/>
    <w:rsid w:val="00D47FB6"/>
    <w:rsid w:val="00D51468"/>
    <w:rsid w:val="00D526AB"/>
    <w:rsid w:val="00D536ED"/>
    <w:rsid w:val="00D537BD"/>
    <w:rsid w:val="00D53B01"/>
    <w:rsid w:val="00D53EF2"/>
    <w:rsid w:val="00D53FB3"/>
    <w:rsid w:val="00D543A9"/>
    <w:rsid w:val="00D5447D"/>
    <w:rsid w:val="00D544BB"/>
    <w:rsid w:val="00D54BF6"/>
    <w:rsid w:val="00D5508F"/>
    <w:rsid w:val="00D5680C"/>
    <w:rsid w:val="00D56836"/>
    <w:rsid w:val="00D56B7A"/>
    <w:rsid w:val="00D57AEB"/>
    <w:rsid w:val="00D57AFC"/>
    <w:rsid w:val="00D57E68"/>
    <w:rsid w:val="00D60675"/>
    <w:rsid w:val="00D60A5F"/>
    <w:rsid w:val="00D60BD2"/>
    <w:rsid w:val="00D61376"/>
    <w:rsid w:val="00D6211B"/>
    <w:rsid w:val="00D623B1"/>
    <w:rsid w:val="00D63563"/>
    <w:rsid w:val="00D63B45"/>
    <w:rsid w:val="00D6481B"/>
    <w:rsid w:val="00D64A85"/>
    <w:rsid w:val="00D65142"/>
    <w:rsid w:val="00D655D2"/>
    <w:rsid w:val="00D6644E"/>
    <w:rsid w:val="00D664BD"/>
    <w:rsid w:val="00D66AA7"/>
    <w:rsid w:val="00D66F80"/>
    <w:rsid w:val="00D67122"/>
    <w:rsid w:val="00D671EC"/>
    <w:rsid w:val="00D67B55"/>
    <w:rsid w:val="00D7002F"/>
    <w:rsid w:val="00D7049E"/>
    <w:rsid w:val="00D7052C"/>
    <w:rsid w:val="00D707C7"/>
    <w:rsid w:val="00D70BC5"/>
    <w:rsid w:val="00D70FB9"/>
    <w:rsid w:val="00D714EA"/>
    <w:rsid w:val="00D715FB"/>
    <w:rsid w:val="00D72156"/>
    <w:rsid w:val="00D721D5"/>
    <w:rsid w:val="00D7283D"/>
    <w:rsid w:val="00D73236"/>
    <w:rsid w:val="00D738D9"/>
    <w:rsid w:val="00D73BA9"/>
    <w:rsid w:val="00D73E42"/>
    <w:rsid w:val="00D73EFC"/>
    <w:rsid w:val="00D7479E"/>
    <w:rsid w:val="00D74F0A"/>
    <w:rsid w:val="00D75958"/>
    <w:rsid w:val="00D75F0A"/>
    <w:rsid w:val="00D76721"/>
    <w:rsid w:val="00D7674D"/>
    <w:rsid w:val="00D77296"/>
    <w:rsid w:val="00D77D8A"/>
    <w:rsid w:val="00D80DC8"/>
    <w:rsid w:val="00D82884"/>
    <w:rsid w:val="00D82ED9"/>
    <w:rsid w:val="00D837FB"/>
    <w:rsid w:val="00D83836"/>
    <w:rsid w:val="00D85966"/>
    <w:rsid w:val="00D85A91"/>
    <w:rsid w:val="00D861C4"/>
    <w:rsid w:val="00D86347"/>
    <w:rsid w:val="00D872C5"/>
    <w:rsid w:val="00D879D0"/>
    <w:rsid w:val="00D90008"/>
    <w:rsid w:val="00D90299"/>
    <w:rsid w:val="00D90319"/>
    <w:rsid w:val="00D9050D"/>
    <w:rsid w:val="00D9060C"/>
    <w:rsid w:val="00D907A1"/>
    <w:rsid w:val="00D90C53"/>
    <w:rsid w:val="00D90C90"/>
    <w:rsid w:val="00D90EB7"/>
    <w:rsid w:val="00D91330"/>
    <w:rsid w:val="00D918F0"/>
    <w:rsid w:val="00D91BB1"/>
    <w:rsid w:val="00D929E0"/>
    <w:rsid w:val="00D92D17"/>
    <w:rsid w:val="00D9332C"/>
    <w:rsid w:val="00D94A1F"/>
    <w:rsid w:val="00D953CE"/>
    <w:rsid w:val="00D95512"/>
    <w:rsid w:val="00D957DE"/>
    <w:rsid w:val="00D95C04"/>
    <w:rsid w:val="00D95F0C"/>
    <w:rsid w:val="00D95F56"/>
    <w:rsid w:val="00D96BA6"/>
    <w:rsid w:val="00D97E14"/>
    <w:rsid w:val="00DA00FD"/>
    <w:rsid w:val="00DA0337"/>
    <w:rsid w:val="00DA04D4"/>
    <w:rsid w:val="00DA18B1"/>
    <w:rsid w:val="00DA1B0A"/>
    <w:rsid w:val="00DA1C9E"/>
    <w:rsid w:val="00DA1D2F"/>
    <w:rsid w:val="00DA1D8B"/>
    <w:rsid w:val="00DA1DEC"/>
    <w:rsid w:val="00DA2356"/>
    <w:rsid w:val="00DA252D"/>
    <w:rsid w:val="00DA2607"/>
    <w:rsid w:val="00DA329B"/>
    <w:rsid w:val="00DA32F6"/>
    <w:rsid w:val="00DA38C7"/>
    <w:rsid w:val="00DA3FB2"/>
    <w:rsid w:val="00DA454C"/>
    <w:rsid w:val="00DA4F4C"/>
    <w:rsid w:val="00DA547E"/>
    <w:rsid w:val="00DA5511"/>
    <w:rsid w:val="00DA5664"/>
    <w:rsid w:val="00DA578D"/>
    <w:rsid w:val="00DA584D"/>
    <w:rsid w:val="00DA5E4B"/>
    <w:rsid w:val="00DA5F27"/>
    <w:rsid w:val="00DA5F45"/>
    <w:rsid w:val="00DA6B58"/>
    <w:rsid w:val="00DA6D6B"/>
    <w:rsid w:val="00DA6EA8"/>
    <w:rsid w:val="00DA6F59"/>
    <w:rsid w:val="00DA77E0"/>
    <w:rsid w:val="00DA7E35"/>
    <w:rsid w:val="00DB015D"/>
    <w:rsid w:val="00DB07A2"/>
    <w:rsid w:val="00DB0BE9"/>
    <w:rsid w:val="00DB0DAD"/>
    <w:rsid w:val="00DB1392"/>
    <w:rsid w:val="00DB18D6"/>
    <w:rsid w:val="00DB19B2"/>
    <w:rsid w:val="00DB1F17"/>
    <w:rsid w:val="00DB26D9"/>
    <w:rsid w:val="00DB2CF2"/>
    <w:rsid w:val="00DB36A3"/>
    <w:rsid w:val="00DB39D0"/>
    <w:rsid w:val="00DB41A0"/>
    <w:rsid w:val="00DB4A0A"/>
    <w:rsid w:val="00DB4E99"/>
    <w:rsid w:val="00DB4EAF"/>
    <w:rsid w:val="00DB5008"/>
    <w:rsid w:val="00DB5F49"/>
    <w:rsid w:val="00DB6036"/>
    <w:rsid w:val="00DB6075"/>
    <w:rsid w:val="00DB6EF7"/>
    <w:rsid w:val="00DB78A4"/>
    <w:rsid w:val="00DB7BD3"/>
    <w:rsid w:val="00DC035F"/>
    <w:rsid w:val="00DC06EC"/>
    <w:rsid w:val="00DC19E0"/>
    <w:rsid w:val="00DC1D9C"/>
    <w:rsid w:val="00DC2500"/>
    <w:rsid w:val="00DC2CB0"/>
    <w:rsid w:val="00DC2D9E"/>
    <w:rsid w:val="00DC34DE"/>
    <w:rsid w:val="00DC46D5"/>
    <w:rsid w:val="00DC5FE7"/>
    <w:rsid w:val="00DC6476"/>
    <w:rsid w:val="00DC66B4"/>
    <w:rsid w:val="00DC69E0"/>
    <w:rsid w:val="00DC6FFB"/>
    <w:rsid w:val="00DC76A7"/>
    <w:rsid w:val="00DC76BF"/>
    <w:rsid w:val="00DC7895"/>
    <w:rsid w:val="00DC7BAD"/>
    <w:rsid w:val="00DD00CD"/>
    <w:rsid w:val="00DD01F6"/>
    <w:rsid w:val="00DD0294"/>
    <w:rsid w:val="00DD0732"/>
    <w:rsid w:val="00DD07FC"/>
    <w:rsid w:val="00DD0D90"/>
    <w:rsid w:val="00DD1903"/>
    <w:rsid w:val="00DD1A36"/>
    <w:rsid w:val="00DD1A86"/>
    <w:rsid w:val="00DD1CEB"/>
    <w:rsid w:val="00DD2133"/>
    <w:rsid w:val="00DD2D1B"/>
    <w:rsid w:val="00DD2F14"/>
    <w:rsid w:val="00DD32C9"/>
    <w:rsid w:val="00DD3A2D"/>
    <w:rsid w:val="00DD3C8C"/>
    <w:rsid w:val="00DD3CEE"/>
    <w:rsid w:val="00DD3F93"/>
    <w:rsid w:val="00DD4063"/>
    <w:rsid w:val="00DD44DE"/>
    <w:rsid w:val="00DD459A"/>
    <w:rsid w:val="00DD47A4"/>
    <w:rsid w:val="00DD5EBE"/>
    <w:rsid w:val="00DD5F8A"/>
    <w:rsid w:val="00DD6E2E"/>
    <w:rsid w:val="00DD78AD"/>
    <w:rsid w:val="00DD7D0D"/>
    <w:rsid w:val="00DE0EA9"/>
    <w:rsid w:val="00DE1810"/>
    <w:rsid w:val="00DE1D2F"/>
    <w:rsid w:val="00DE3109"/>
    <w:rsid w:val="00DE31D8"/>
    <w:rsid w:val="00DE32A4"/>
    <w:rsid w:val="00DE335A"/>
    <w:rsid w:val="00DE34C6"/>
    <w:rsid w:val="00DE355F"/>
    <w:rsid w:val="00DE48F3"/>
    <w:rsid w:val="00DE54EA"/>
    <w:rsid w:val="00DE5DEA"/>
    <w:rsid w:val="00DE6960"/>
    <w:rsid w:val="00DE7163"/>
    <w:rsid w:val="00DE75DA"/>
    <w:rsid w:val="00DE7E2C"/>
    <w:rsid w:val="00DF0E0A"/>
    <w:rsid w:val="00DF1170"/>
    <w:rsid w:val="00DF1530"/>
    <w:rsid w:val="00DF19A6"/>
    <w:rsid w:val="00DF2665"/>
    <w:rsid w:val="00DF2A8B"/>
    <w:rsid w:val="00DF334E"/>
    <w:rsid w:val="00DF34CB"/>
    <w:rsid w:val="00DF3AE3"/>
    <w:rsid w:val="00DF3C7C"/>
    <w:rsid w:val="00DF3DEE"/>
    <w:rsid w:val="00DF43B5"/>
    <w:rsid w:val="00DF43BE"/>
    <w:rsid w:val="00DF44DA"/>
    <w:rsid w:val="00DF52F3"/>
    <w:rsid w:val="00DF5691"/>
    <w:rsid w:val="00DF5C5E"/>
    <w:rsid w:val="00DF650A"/>
    <w:rsid w:val="00DF7B92"/>
    <w:rsid w:val="00DF7C75"/>
    <w:rsid w:val="00E001FD"/>
    <w:rsid w:val="00E0050F"/>
    <w:rsid w:val="00E00669"/>
    <w:rsid w:val="00E00808"/>
    <w:rsid w:val="00E00BD2"/>
    <w:rsid w:val="00E010E2"/>
    <w:rsid w:val="00E016E4"/>
    <w:rsid w:val="00E01A2F"/>
    <w:rsid w:val="00E01B44"/>
    <w:rsid w:val="00E01D66"/>
    <w:rsid w:val="00E01DE1"/>
    <w:rsid w:val="00E02AD6"/>
    <w:rsid w:val="00E03068"/>
    <w:rsid w:val="00E031A8"/>
    <w:rsid w:val="00E03AD9"/>
    <w:rsid w:val="00E0426B"/>
    <w:rsid w:val="00E0558E"/>
    <w:rsid w:val="00E05B00"/>
    <w:rsid w:val="00E0636F"/>
    <w:rsid w:val="00E0729A"/>
    <w:rsid w:val="00E072DE"/>
    <w:rsid w:val="00E0744A"/>
    <w:rsid w:val="00E074CA"/>
    <w:rsid w:val="00E07908"/>
    <w:rsid w:val="00E07D18"/>
    <w:rsid w:val="00E1032A"/>
    <w:rsid w:val="00E10E3C"/>
    <w:rsid w:val="00E11EDD"/>
    <w:rsid w:val="00E11F4F"/>
    <w:rsid w:val="00E12695"/>
    <w:rsid w:val="00E12A06"/>
    <w:rsid w:val="00E12C72"/>
    <w:rsid w:val="00E12E68"/>
    <w:rsid w:val="00E13856"/>
    <w:rsid w:val="00E13DD6"/>
    <w:rsid w:val="00E13DF2"/>
    <w:rsid w:val="00E1415D"/>
    <w:rsid w:val="00E14189"/>
    <w:rsid w:val="00E14190"/>
    <w:rsid w:val="00E149F6"/>
    <w:rsid w:val="00E153D1"/>
    <w:rsid w:val="00E1587F"/>
    <w:rsid w:val="00E15EEF"/>
    <w:rsid w:val="00E16075"/>
    <w:rsid w:val="00E162F3"/>
    <w:rsid w:val="00E16305"/>
    <w:rsid w:val="00E16E67"/>
    <w:rsid w:val="00E174DC"/>
    <w:rsid w:val="00E17B0C"/>
    <w:rsid w:val="00E17BF6"/>
    <w:rsid w:val="00E17CBB"/>
    <w:rsid w:val="00E20747"/>
    <w:rsid w:val="00E21008"/>
    <w:rsid w:val="00E218C0"/>
    <w:rsid w:val="00E21F28"/>
    <w:rsid w:val="00E22720"/>
    <w:rsid w:val="00E2274B"/>
    <w:rsid w:val="00E227FD"/>
    <w:rsid w:val="00E22868"/>
    <w:rsid w:val="00E22BF2"/>
    <w:rsid w:val="00E22D2B"/>
    <w:rsid w:val="00E24A18"/>
    <w:rsid w:val="00E25180"/>
    <w:rsid w:val="00E25209"/>
    <w:rsid w:val="00E266CE"/>
    <w:rsid w:val="00E26E4E"/>
    <w:rsid w:val="00E27AA6"/>
    <w:rsid w:val="00E27B92"/>
    <w:rsid w:val="00E27CBD"/>
    <w:rsid w:val="00E27D57"/>
    <w:rsid w:val="00E311CF"/>
    <w:rsid w:val="00E315B7"/>
    <w:rsid w:val="00E31A33"/>
    <w:rsid w:val="00E31F22"/>
    <w:rsid w:val="00E32134"/>
    <w:rsid w:val="00E32291"/>
    <w:rsid w:val="00E324EF"/>
    <w:rsid w:val="00E3267A"/>
    <w:rsid w:val="00E32984"/>
    <w:rsid w:val="00E33509"/>
    <w:rsid w:val="00E33773"/>
    <w:rsid w:val="00E3380A"/>
    <w:rsid w:val="00E354F8"/>
    <w:rsid w:val="00E35782"/>
    <w:rsid w:val="00E36A3C"/>
    <w:rsid w:val="00E36EE7"/>
    <w:rsid w:val="00E37532"/>
    <w:rsid w:val="00E40A02"/>
    <w:rsid w:val="00E42418"/>
    <w:rsid w:val="00E42468"/>
    <w:rsid w:val="00E42487"/>
    <w:rsid w:val="00E43197"/>
    <w:rsid w:val="00E4337D"/>
    <w:rsid w:val="00E43F23"/>
    <w:rsid w:val="00E44281"/>
    <w:rsid w:val="00E44842"/>
    <w:rsid w:val="00E44876"/>
    <w:rsid w:val="00E44C41"/>
    <w:rsid w:val="00E44CCE"/>
    <w:rsid w:val="00E451E5"/>
    <w:rsid w:val="00E452E4"/>
    <w:rsid w:val="00E454D8"/>
    <w:rsid w:val="00E457EB"/>
    <w:rsid w:val="00E46673"/>
    <w:rsid w:val="00E47130"/>
    <w:rsid w:val="00E475BC"/>
    <w:rsid w:val="00E47658"/>
    <w:rsid w:val="00E47CE3"/>
    <w:rsid w:val="00E50333"/>
    <w:rsid w:val="00E5047B"/>
    <w:rsid w:val="00E51CE5"/>
    <w:rsid w:val="00E51D86"/>
    <w:rsid w:val="00E51F70"/>
    <w:rsid w:val="00E5222E"/>
    <w:rsid w:val="00E5315C"/>
    <w:rsid w:val="00E532C0"/>
    <w:rsid w:val="00E53435"/>
    <w:rsid w:val="00E53565"/>
    <w:rsid w:val="00E54190"/>
    <w:rsid w:val="00E54553"/>
    <w:rsid w:val="00E54860"/>
    <w:rsid w:val="00E54A27"/>
    <w:rsid w:val="00E5565E"/>
    <w:rsid w:val="00E556B8"/>
    <w:rsid w:val="00E55A5F"/>
    <w:rsid w:val="00E55AED"/>
    <w:rsid w:val="00E55B02"/>
    <w:rsid w:val="00E55DBC"/>
    <w:rsid w:val="00E569E6"/>
    <w:rsid w:val="00E56B52"/>
    <w:rsid w:val="00E56BD7"/>
    <w:rsid w:val="00E56E28"/>
    <w:rsid w:val="00E57354"/>
    <w:rsid w:val="00E57545"/>
    <w:rsid w:val="00E576BE"/>
    <w:rsid w:val="00E6031F"/>
    <w:rsid w:val="00E604A9"/>
    <w:rsid w:val="00E60515"/>
    <w:rsid w:val="00E60A3D"/>
    <w:rsid w:val="00E60B28"/>
    <w:rsid w:val="00E61DB8"/>
    <w:rsid w:val="00E62337"/>
    <w:rsid w:val="00E637F5"/>
    <w:rsid w:val="00E64237"/>
    <w:rsid w:val="00E64748"/>
    <w:rsid w:val="00E64C29"/>
    <w:rsid w:val="00E6589E"/>
    <w:rsid w:val="00E65D63"/>
    <w:rsid w:val="00E661D1"/>
    <w:rsid w:val="00E66304"/>
    <w:rsid w:val="00E667E6"/>
    <w:rsid w:val="00E676A0"/>
    <w:rsid w:val="00E676F6"/>
    <w:rsid w:val="00E7046B"/>
    <w:rsid w:val="00E704D4"/>
    <w:rsid w:val="00E70953"/>
    <w:rsid w:val="00E70F5D"/>
    <w:rsid w:val="00E71BD2"/>
    <w:rsid w:val="00E71BF9"/>
    <w:rsid w:val="00E72C59"/>
    <w:rsid w:val="00E7334D"/>
    <w:rsid w:val="00E73564"/>
    <w:rsid w:val="00E7361D"/>
    <w:rsid w:val="00E73B43"/>
    <w:rsid w:val="00E74316"/>
    <w:rsid w:val="00E7497D"/>
    <w:rsid w:val="00E74B88"/>
    <w:rsid w:val="00E75073"/>
    <w:rsid w:val="00E751C7"/>
    <w:rsid w:val="00E75471"/>
    <w:rsid w:val="00E7648B"/>
    <w:rsid w:val="00E767E6"/>
    <w:rsid w:val="00E76A9D"/>
    <w:rsid w:val="00E76E67"/>
    <w:rsid w:val="00E777A7"/>
    <w:rsid w:val="00E77807"/>
    <w:rsid w:val="00E77829"/>
    <w:rsid w:val="00E77DE0"/>
    <w:rsid w:val="00E8015C"/>
    <w:rsid w:val="00E80549"/>
    <w:rsid w:val="00E805CD"/>
    <w:rsid w:val="00E80CEB"/>
    <w:rsid w:val="00E811EB"/>
    <w:rsid w:val="00E81A4C"/>
    <w:rsid w:val="00E81C54"/>
    <w:rsid w:val="00E81C94"/>
    <w:rsid w:val="00E82390"/>
    <w:rsid w:val="00E82B03"/>
    <w:rsid w:val="00E82C32"/>
    <w:rsid w:val="00E831E5"/>
    <w:rsid w:val="00E8330B"/>
    <w:rsid w:val="00E841CD"/>
    <w:rsid w:val="00E8454D"/>
    <w:rsid w:val="00E85434"/>
    <w:rsid w:val="00E85D80"/>
    <w:rsid w:val="00E85E48"/>
    <w:rsid w:val="00E86320"/>
    <w:rsid w:val="00E86443"/>
    <w:rsid w:val="00E86776"/>
    <w:rsid w:val="00E86BA1"/>
    <w:rsid w:val="00E86BE5"/>
    <w:rsid w:val="00E87475"/>
    <w:rsid w:val="00E9061A"/>
    <w:rsid w:val="00E90C26"/>
    <w:rsid w:val="00E90D58"/>
    <w:rsid w:val="00E90E44"/>
    <w:rsid w:val="00E91A0F"/>
    <w:rsid w:val="00E925D4"/>
    <w:rsid w:val="00E92DB3"/>
    <w:rsid w:val="00E930E3"/>
    <w:rsid w:val="00E9428F"/>
    <w:rsid w:val="00E949CC"/>
    <w:rsid w:val="00E95701"/>
    <w:rsid w:val="00E95C18"/>
    <w:rsid w:val="00E95FD5"/>
    <w:rsid w:val="00E96569"/>
    <w:rsid w:val="00E9696C"/>
    <w:rsid w:val="00E96A91"/>
    <w:rsid w:val="00E96FE2"/>
    <w:rsid w:val="00E971D6"/>
    <w:rsid w:val="00E979EA"/>
    <w:rsid w:val="00EA18E7"/>
    <w:rsid w:val="00EA2BFA"/>
    <w:rsid w:val="00EA2F85"/>
    <w:rsid w:val="00EA30A1"/>
    <w:rsid w:val="00EA3408"/>
    <w:rsid w:val="00EA34D8"/>
    <w:rsid w:val="00EA369F"/>
    <w:rsid w:val="00EA3A31"/>
    <w:rsid w:val="00EA3B59"/>
    <w:rsid w:val="00EA3EF8"/>
    <w:rsid w:val="00EA4523"/>
    <w:rsid w:val="00EA5461"/>
    <w:rsid w:val="00EA5A92"/>
    <w:rsid w:val="00EA6346"/>
    <w:rsid w:val="00EA7011"/>
    <w:rsid w:val="00EA7A31"/>
    <w:rsid w:val="00EB0E2D"/>
    <w:rsid w:val="00EB0F15"/>
    <w:rsid w:val="00EB1A7B"/>
    <w:rsid w:val="00EB1CC2"/>
    <w:rsid w:val="00EB1EF2"/>
    <w:rsid w:val="00EB3983"/>
    <w:rsid w:val="00EB491D"/>
    <w:rsid w:val="00EB4ACA"/>
    <w:rsid w:val="00EB4B5B"/>
    <w:rsid w:val="00EB7051"/>
    <w:rsid w:val="00EB750A"/>
    <w:rsid w:val="00EB7AAC"/>
    <w:rsid w:val="00EC06EB"/>
    <w:rsid w:val="00EC078E"/>
    <w:rsid w:val="00EC0B47"/>
    <w:rsid w:val="00EC12F7"/>
    <w:rsid w:val="00EC1308"/>
    <w:rsid w:val="00EC163B"/>
    <w:rsid w:val="00EC1FAC"/>
    <w:rsid w:val="00EC26E8"/>
    <w:rsid w:val="00EC27BF"/>
    <w:rsid w:val="00EC31CF"/>
    <w:rsid w:val="00EC3705"/>
    <w:rsid w:val="00EC407A"/>
    <w:rsid w:val="00EC47BE"/>
    <w:rsid w:val="00EC4D2B"/>
    <w:rsid w:val="00EC51C0"/>
    <w:rsid w:val="00EC5A07"/>
    <w:rsid w:val="00EC71A9"/>
    <w:rsid w:val="00EC7541"/>
    <w:rsid w:val="00ED0061"/>
    <w:rsid w:val="00ED0150"/>
    <w:rsid w:val="00ED0585"/>
    <w:rsid w:val="00ED05FD"/>
    <w:rsid w:val="00ED07DC"/>
    <w:rsid w:val="00ED17D7"/>
    <w:rsid w:val="00ED18A9"/>
    <w:rsid w:val="00ED1929"/>
    <w:rsid w:val="00ED1BF1"/>
    <w:rsid w:val="00ED2583"/>
    <w:rsid w:val="00ED2BD2"/>
    <w:rsid w:val="00ED3861"/>
    <w:rsid w:val="00ED38A5"/>
    <w:rsid w:val="00ED436C"/>
    <w:rsid w:val="00ED45BE"/>
    <w:rsid w:val="00ED5005"/>
    <w:rsid w:val="00ED5356"/>
    <w:rsid w:val="00ED576B"/>
    <w:rsid w:val="00ED637C"/>
    <w:rsid w:val="00ED6EBE"/>
    <w:rsid w:val="00ED70E2"/>
    <w:rsid w:val="00ED7212"/>
    <w:rsid w:val="00ED732D"/>
    <w:rsid w:val="00ED7519"/>
    <w:rsid w:val="00ED7E3D"/>
    <w:rsid w:val="00EE0194"/>
    <w:rsid w:val="00EE0247"/>
    <w:rsid w:val="00EE054F"/>
    <w:rsid w:val="00EE1AB4"/>
    <w:rsid w:val="00EE234C"/>
    <w:rsid w:val="00EE2440"/>
    <w:rsid w:val="00EE24BD"/>
    <w:rsid w:val="00EE40A0"/>
    <w:rsid w:val="00EE450D"/>
    <w:rsid w:val="00EE4788"/>
    <w:rsid w:val="00EE49D2"/>
    <w:rsid w:val="00EE4A77"/>
    <w:rsid w:val="00EE4CFC"/>
    <w:rsid w:val="00EE5849"/>
    <w:rsid w:val="00EE5871"/>
    <w:rsid w:val="00EE5D9B"/>
    <w:rsid w:val="00EE5F55"/>
    <w:rsid w:val="00EE5F93"/>
    <w:rsid w:val="00EE619E"/>
    <w:rsid w:val="00EE6455"/>
    <w:rsid w:val="00EE6577"/>
    <w:rsid w:val="00EE6E83"/>
    <w:rsid w:val="00EE742D"/>
    <w:rsid w:val="00EE7577"/>
    <w:rsid w:val="00EE7955"/>
    <w:rsid w:val="00EE7E09"/>
    <w:rsid w:val="00EF0D9C"/>
    <w:rsid w:val="00EF0FD5"/>
    <w:rsid w:val="00EF28CB"/>
    <w:rsid w:val="00EF2966"/>
    <w:rsid w:val="00EF3516"/>
    <w:rsid w:val="00EF3DC3"/>
    <w:rsid w:val="00EF4212"/>
    <w:rsid w:val="00EF45D4"/>
    <w:rsid w:val="00EF4759"/>
    <w:rsid w:val="00EF4FF0"/>
    <w:rsid w:val="00EF5269"/>
    <w:rsid w:val="00EF568A"/>
    <w:rsid w:val="00EF5BC1"/>
    <w:rsid w:val="00EF631E"/>
    <w:rsid w:val="00EF6A97"/>
    <w:rsid w:val="00EF7454"/>
    <w:rsid w:val="00EF7526"/>
    <w:rsid w:val="00EF786B"/>
    <w:rsid w:val="00F00825"/>
    <w:rsid w:val="00F00856"/>
    <w:rsid w:val="00F00A38"/>
    <w:rsid w:val="00F00A5F"/>
    <w:rsid w:val="00F0103A"/>
    <w:rsid w:val="00F0152D"/>
    <w:rsid w:val="00F0194A"/>
    <w:rsid w:val="00F01D4D"/>
    <w:rsid w:val="00F01E4A"/>
    <w:rsid w:val="00F01F0D"/>
    <w:rsid w:val="00F02453"/>
    <w:rsid w:val="00F025E2"/>
    <w:rsid w:val="00F037AA"/>
    <w:rsid w:val="00F03A10"/>
    <w:rsid w:val="00F040E8"/>
    <w:rsid w:val="00F04303"/>
    <w:rsid w:val="00F043E1"/>
    <w:rsid w:val="00F045E4"/>
    <w:rsid w:val="00F04DE6"/>
    <w:rsid w:val="00F050F6"/>
    <w:rsid w:val="00F052F9"/>
    <w:rsid w:val="00F05755"/>
    <w:rsid w:val="00F05D7E"/>
    <w:rsid w:val="00F06324"/>
    <w:rsid w:val="00F07192"/>
    <w:rsid w:val="00F071E2"/>
    <w:rsid w:val="00F10BBE"/>
    <w:rsid w:val="00F10D36"/>
    <w:rsid w:val="00F11186"/>
    <w:rsid w:val="00F11923"/>
    <w:rsid w:val="00F11B77"/>
    <w:rsid w:val="00F11C95"/>
    <w:rsid w:val="00F11CFD"/>
    <w:rsid w:val="00F11F06"/>
    <w:rsid w:val="00F1279C"/>
    <w:rsid w:val="00F129E3"/>
    <w:rsid w:val="00F1316E"/>
    <w:rsid w:val="00F13991"/>
    <w:rsid w:val="00F1407A"/>
    <w:rsid w:val="00F147E5"/>
    <w:rsid w:val="00F14ABD"/>
    <w:rsid w:val="00F152CE"/>
    <w:rsid w:val="00F154A1"/>
    <w:rsid w:val="00F16A17"/>
    <w:rsid w:val="00F16EDC"/>
    <w:rsid w:val="00F16FBD"/>
    <w:rsid w:val="00F17AA8"/>
    <w:rsid w:val="00F17D8A"/>
    <w:rsid w:val="00F17D9F"/>
    <w:rsid w:val="00F2062C"/>
    <w:rsid w:val="00F2078E"/>
    <w:rsid w:val="00F2105E"/>
    <w:rsid w:val="00F21828"/>
    <w:rsid w:val="00F21BCE"/>
    <w:rsid w:val="00F21E32"/>
    <w:rsid w:val="00F22EDF"/>
    <w:rsid w:val="00F23804"/>
    <w:rsid w:val="00F2380B"/>
    <w:rsid w:val="00F23982"/>
    <w:rsid w:val="00F2435F"/>
    <w:rsid w:val="00F24586"/>
    <w:rsid w:val="00F24664"/>
    <w:rsid w:val="00F25376"/>
    <w:rsid w:val="00F259E6"/>
    <w:rsid w:val="00F26F3A"/>
    <w:rsid w:val="00F274BA"/>
    <w:rsid w:val="00F276C8"/>
    <w:rsid w:val="00F27D42"/>
    <w:rsid w:val="00F27E7D"/>
    <w:rsid w:val="00F27F72"/>
    <w:rsid w:val="00F3004F"/>
    <w:rsid w:val="00F309A3"/>
    <w:rsid w:val="00F30A23"/>
    <w:rsid w:val="00F30E8E"/>
    <w:rsid w:val="00F319DE"/>
    <w:rsid w:val="00F324ED"/>
    <w:rsid w:val="00F326AC"/>
    <w:rsid w:val="00F3273C"/>
    <w:rsid w:val="00F33635"/>
    <w:rsid w:val="00F34711"/>
    <w:rsid w:val="00F35246"/>
    <w:rsid w:val="00F360C1"/>
    <w:rsid w:val="00F3649E"/>
    <w:rsid w:val="00F36B81"/>
    <w:rsid w:val="00F36C7A"/>
    <w:rsid w:val="00F36D2F"/>
    <w:rsid w:val="00F370E0"/>
    <w:rsid w:val="00F37369"/>
    <w:rsid w:val="00F37CA7"/>
    <w:rsid w:val="00F40535"/>
    <w:rsid w:val="00F405A7"/>
    <w:rsid w:val="00F405F2"/>
    <w:rsid w:val="00F40B7A"/>
    <w:rsid w:val="00F41986"/>
    <w:rsid w:val="00F41CE2"/>
    <w:rsid w:val="00F42B2C"/>
    <w:rsid w:val="00F4321C"/>
    <w:rsid w:val="00F43F44"/>
    <w:rsid w:val="00F44247"/>
    <w:rsid w:val="00F45718"/>
    <w:rsid w:val="00F45946"/>
    <w:rsid w:val="00F459D2"/>
    <w:rsid w:val="00F45DE0"/>
    <w:rsid w:val="00F4651E"/>
    <w:rsid w:val="00F468CC"/>
    <w:rsid w:val="00F4698D"/>
    <w:rsid w:val="00F47E0B"/>
    <w:rsid w:val="00F47E4A"/>
    <w:rsid w:val="00F50E63"/>
    <w:rsid w:val="00F51916"/>
    <w:rsid w:val="00F51F5C"/>
    <w:rsid w:val="00F52301"/>
    <w:rsid w:val="00F5369F"/>
    <w:rsid w:val="00F5406B"/>
    <w:rsid w:val="00F54172"/>
    <w:rsid w:val="00F54755"/>
    <w:rsid w:val="00F55318"/>
    <w:rsid w:val="00F553D1"/>
    <w:rsid w:val="00F557BB"/>
    <w:rsid w:val="00F55800"/>
    <w:rsid w:val="00F5592F"/>
    <w:rsid w:val="00F55FFB"/>
    <w:rsid w:val="00F5601D"/>
    <w:rsid w:val="00F560BC"/>
    <w:rsid w:val="00F5630C"/>
    <w:rsid w:val="00F563C4"/>
    <w:rsid w:val="00F566C9"/>
    <w:rsid w:val="00F56AF2"/>
    <w:rsid w:val="00F57408"/>
    <w:rsid w:val="00F57990"/>
    <w:rsid w:val="00F60769"/>
    <w:rsid w:val="00F60AFF"/>
    <w:rsid w:val="00F615A2"/>
    <w:rsid w:val="00F61848"/>
    <w:rsid w:val="00F620AE"/>
    <w:rsid w:val="00F622FF"/>
    <w:rsid w:val="00F629D0"/>
    <w:rsid w:val="00F63391"/>
    <w:rsid w:val="00F63DA5"/>
    <w:rsid w:val="00F64296"/>
    <w:rsid w:val="00F644A7"/>
    <w:rsid w:val="00F657F2"/>
    <w:rsid w:val="00F6621A"/>
    <w:rsid w:val="00F66DEA"/>
    <w:rsid w:val="00F670E3"/>
    <w:rsid w:val="00F7020F"/>
    <w:rsid w:val="00F70C99"/>
    <w:rsid w:val="00F70D6A"/>
    <w:rsid w:val="00F70DA9"/>
    <w:rsid w:val="00F717D6"/>
    <w:rsid w:val="00F71BC1"/>
    <w:rsid w:val="00F71F85"/>
    <w:rsid w:val="00F726DB"/>
    <w:rsid w:val="00F727A0"/>
    <w:rsid w:val="00F72A3F"/>
    <w:rsid w:val="00F72A9F"/>
    <w:rsid w:val="00F73358"/>
    <w:rsid w:val="00F73965"/>
    <w:rsid w:val="00F74015"/>
    <w:rsid w:val="00F74795"/>
    <w:rsid w:val="00F74EC6"/>
    <w:rsid w:val="00F74FBB"/>
    <w:rsid w:val="00F75FE1"/>
    <w:rsid w:val="00F76051"/>
    <w:rsid w:val="00F7726A"/>
    <w:rsid w:val="00F77293"/>
    <w:rsid w:val="00F774B7"/>
    <w:rsid w:val="00F7754D"/>
    <w:rsid w:val="00F77879"/>
    <w:rsid w:val="00F77A02"/>
    <w:rsid w:val="00F77A26"/>
    <w:rsid w:val="00F77B98"/>
    <w:rsid w:val="00F804DA"/>
    <w:rsid w:val="00F80887"/>
    <w:rsid w:val="00F8102E"/>
    <w:rsid w:val="00F8106F"/>
    <w:rsid w:val="00F8125B"/>
    <w:rsid w:val="00F814D0"/>
    <w:rsid w:val="00F817B4"/>
    <w:rsid w:val="00F81C6A"/>
    <w:rsid w:val="00F81DAE"/>
    <w:rsid w:val="00F81F11"/>
    <w:rsid w:val="00F8268D"/>
    <w:rsid w:val="00F839C1"/>
    <w:rsid w:val="00F83E45"/>
    <w:rsid w:val="00F84447"/>
    <w:rsid w:val="00F84471"/>
    <w:rsid w:val="00F845A0"/>
    <w:rsid w:val="00F84D82"/>
    <w:rsid w:val="00F84EB6"/>
    <w:rsid w:val="00F84F15"/>
    <w:rsid w:val="00F84F85"/>
    <w:rsid w:val="00F85757"/>
    <w:rsid w:val="00F85A7D"/>
    <w:rsid w:val="00F85D7A"/>
    <w:rsid w:val="00F868B7"/>
    <w:rsid w:val="00F87371"/>
    <w:rsid w:val="00F8755F"/>
    <w:rsid w:val="00F87CF9"/>
    <w:rsid w:val="00F90983"/>
    <w:rsid w:val="00F90F33"/>
    <w:rsid w:val="00F917AE"/>
    <w:rsid w:val="00F91976"/>
    <w:rsid w:val="00F92056"/>
    <w:rsid w:val="00F92806"/>
    <w:rsid w:val="00F92EDA"/>
    <w:rsid w:val="00F9419C"/>
    <w:rsid w:val="00F94FD8"/>
    <w:rsid w:val="00F9502C"/>
    <w:rsid w:val="00F9561E"/>
    <w:rsid w:val="00F96258"/>
    <w:rsid w:val="00F963F9"/>
    <w:rsid w:val="00F96AFF"/>
    <w:rsid w:val="00F96E34"/>
    <w:rsid w:val="00F96F82"/>
    <w:rsid w:val="00F97249"/>
    <w:rsid w:val="00F974D7"/>
    <w:rsid w:val="00F97691"/>
    <w:rsid w:val="00FA0B08"/>
    <w:rsid w:val="00FA0DB2"/>
    <w:rsid w:val="00FA1186"/>
    <w:rsid w:val="00FA1B4A"/>
    <w:rsid w:val="00FA20F2"/>
    <w:rsid w:val="00FA2387"/>
    <w:rsid w:val="00FA243D"/>
    <w:rsid w:val="00FA2EBB"/>
    <w:rsid w:val="00FA30C3"/>
    <w:rsid w:val="00FA32FF"/>
    <w:rsid w:val="00FA4A8C"/>
    <w:rsid w:val="00FA5381"/>
    <w:rsid w:val="00FA576F"/>
    <w:rsid w:val="00FA6404"/>
    <w:rsid w:val="00FB0122"/>
    <w:rsid w:val="00FB0379"/>
    <w:rsid w:val="00FB1679"/>
    <w:rsid w:val="00FB2E85"/>
    <w:rsid w:val="00FB30A8"/>
    <w:rsid w:val="00FB3B59"/>
    <w:rsid w:val="00FB3D10"/>
    <w:rsid w:val="00FB461D"/>
    <w:rsid w:val="00FB4BD5"/>
    <w:rsid w:val="00FB4E0F"/>
    <w:rsid w:val="00FB50B3"/>
    <w:rsid w:val="00FB540B"/>
    <w:rsid w:val="00FB5C56"/>
    <w:rsid w:val="00FB69BF"/>
    <w:rsid w:val="00FB6CDB"/>
    <w:rsid w:val="00FB7108"/>
    <w:rsid w:val="00FB7C4A"/>
    <w:rsid w:val="00FC0023"/>
    <w:rsid w:val="00FC06E8"/>
    <w:rsid w:val="00FC133B"/>
    <w:rsid w:val="00FC1D97"/>
    <w:rsid w:val="00FC21B8"/>
    <w:rsid w:val="00FC32BD"/>
    <w:rsid w:val="00FC36A3"/>
    <w:rsid w:val="00FC379F"/>
    <w:rsid w:val="00FC489E"/>
    <w:rsid w:val="00FC59D7"/>
    <w:rsid w:val="00FC5CBF"/>
    <w:rsid w:val="00FC6DE6"/>
    <w:rsid w:val="00FC742D"/>
    <w:rsid w:val="00FC789B"/>
    <w:rsid w:val="00FD02E6"/>
    <w:rsid w:val="00FD0631"/>
    <w:rsid w:val="00FD06C2"/>
    <w:rsid w:val="00FD070F"/>
    <w:rsid w:val="00FD1397"/>
    <w:rsid w:val="00FD150F"/>
    <w:rsid w:val="00FD1AE2"/>
    <w:rsid w:val="00FD1E80"/>
    <w:rsid w:val="00FD21D1"/>
    <w:rsid w:val="00FD3003"/>
    <w:rsid w:val="00FD399D"/>
    <w:rsid w:val="00FD401E"/>
    <w:rsid w:val="00FD447A"/>
    <w:rsid w:val="00FD4826"/>
    <w:rsid w:val="00FD4D79"/>
    <w:rsid w:val="00FD5544"/>
    <w:rsid w:val="00FD5D90"/>
    <w:rsid w:val="00FD5FE4"/>
    <w:rsid w:val="00FD643E"/>
    <w:rsid w:val="00FD67CE"/>
    <w:rsid w:val="00FD6871"/>
    <w:rsid w:val="00FD68AE"/>
    <w:rsid w:val="00FD6BE6"/>
    <w:rsid w:val="00FD74F0"/>
    <w:rsid w:val="00FE033C"/>
    <w:rsid w:val="00FE09E5"/>
    <w:rsid w:val="00FE0A4D"/>
    <w:rsid w:val="00FE0FCF"/>
    <w:rsid w:val="00FE17E4"/>
    <w:rsid w:val="00FE263E"/>
    <w:rsid w:val="00FE3790"/>
    <w:rsid w:val="00FE3EAC"/>
    <w:rsid w:val="00FE426B"/>
    <w:rsid w:val="00FE4545"/>
    <w:rsid w:val="00FE4A4D"/>
    <w:rsid w:val="00FE5147"/>
    <w:rsid w:val="00FE5599"/>
    <w:rsid w:val="00FE650D"/>
    <w:rsid w:val="00FE669B"/>
    <w:rsid w:val="00FE6706"/>
    <w:rsid w:val="00FE6F2C"/>
    <w:rsid w:val="00FE70EA"/>
    <w:rsid w:val="00FE7317"/>
    <w:rsid w:val="00FE77C7"/>
    <w:rsid w:val="00FE7B61"/>
    <w:rsid w:val="00FE7E2E"/>
    <w:rsid w:val="00FF009E"/>
    <w:rsid w:val="00FF00FF"/>
    <w:rsid w:val="00FF02B8"/>
    <w:rsid w:val="00FF0438"/>
    <w:rsid w:val="00FF145E"/>
    <w:rsid w:val="00FF2796"/>
    <w:rsid w:val="00FF36C2"/>
    <w:rsid w:val="00FF3A21"/>
    <w:rsid w:val="00FF3DE4"/>
    <w:rsid w:val="00FF4586"/>
    <w:rsid w:val="00FF490C"/>
    <w:rsid w:val="00FF4A63"/>
    <w:rsid w:val="00FF57F9"/>
    <w:rsid w:val="00FF5954"/>
    <w:rsid w:val="00FF7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5D6976-4463-48B1-9683-92446B75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522"/>
  </w:style>
  <w:style w:type="paragraph" w:styleId="Heading3">
    <w:name w:val="heading 3"/>
    <w:basedOn w:val="Normal"/>
    <w:next w:val="Normal"/>
    <w:link w:val="Heading3Char"/>
    <w:uiPriority w:val="9"/>
    <w:unhideWhenUsed/>
    <w:qFormat/>
    <w:rsid w:val="00E55AED"/>
    <w:pPr>
      <w:keepNext/>
      <w:keepLines/>
      <w:spacing w:before="200" w:line="276" w:lineRule="auto"/>
      <w:outlineLvl w:val="2"/>
    </w:pPr>
    <w:rPr>
      <w:rFonts w:asciiTheme="majorHAnsi" w:eastAsiaTheme="majorEastAsia" w:hAnsiTheme="majorHAnsi" w:cstheme="majorBidi"/>
      <w:b/>
      <w:bCs/>
      <w:color w:val="4472C4" w:themeColor="accent1"/>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44F6"/>
    <w:pPr>
      <w:tabs>
        <w:tab w:val="center" w:pos="4513"/>
        <w:tab w:val="right" w:pos="9026"/>
      </w:tabs>
    </w:pPr>
  </w:style>
  <w:style w:type="character" w:customStyle="1" w:styleId="HeaderChar">
    <w:name w:val="Header Char"/>
    <w:basedOn w:val="DefaultParagraphFont"/>
    <w:link w:val="Header"/>
    <w:uiPriority w:val="99"/>
    <w:rsid w:val="005D44F6"/>
  </w:style>
  <w:style w:type="paragraph" w:styleId="Footer">
    <w:name w:val="footer"/>
    <w:basedOn w:val="Normal"/>
    <w:link w:val="FooterChar"/>
    <w:uiPriority w:val="99"/>
    <w:unhideWhenUsed/>
    <w:rsid w:val="005D44F6"/>
    <w:pPr>
      <w:tabs>
        <w:tab w:val="center" w:pos="4513"/>
        <w:tab w:val="right" w:pos="9026"/>
      </w:tabs>
    </w:pPr>
  </w:style>
  <w:style w:type="character" w:customStyle="1" w:styleId="FooterChar">
    <w:name w:val="Footer Char"/>
    <w:basedOn w:val="DefaultParagraphFont"/>
    <w:link w:val="Footer"/>
    <w:uiPriority w:val="99"/>
    <w:rsid w:val="005D44F6"/>
  </w:style>
  <w:style w:type="paragraph" w:customStyle="1" w:styleId="Rcover4">
    <w:name w:val="R_cover4"/>
    <w:basedOn w:val="Normal"/>
    <w:next w:val="Normal"/>
    <w:uiPriority w:val="99"/>
    <w:semiHidden/>
    <w:rsid w:val="005D44F6"/>
    <w:pPr>
      <w:ind w:left="714" w:hanging="357"/>
    </w:pPr>
    <w:rPr>
      <w:rFonts w:ascii="Calibri" w:eastAsia="Calibri" w:hAnsi="Calibri" w:cs="Calibri"/>
      <w:color w:val="548DD4"/>
      <w:sz w:val="32"/>
      <w:lang w:val="en-GB" w:eastAsia="el-GR"/>
    </w:rPr>
  </w:style>
  <w:style w:type="paragraph" w:customStyle="1" w:styleId="Rcover5">
    <w:name w:val="R_cover5"/>
    <w:basedOn w:val="Normal"/>
    <w:rsid w:val="001E55B2"/>
    <w:pPr>
      <w:spacing w:after="200" w:line="276" w:lineRule="auto"/>
    </w:pPr>
    <w:rPr>
      <w:sz w:val="22"/>
      <w:szCs w:val="22"/>
    </w:rPr>
  </w:style>
  <w:style w:type="table" w:styleId="TableGrid">
    <w:name w:val="Table Grid"/>
    <w:basedOn w:val="TableNormal"/>
    <w:uiPriority w:val="59"/>
    <w:rsid w:val="00061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section">
    <w:name w:val="header section"/>
    <w:basedOn w:val="Header"/>
    <w:qFormat/>
    <w:rsid w:val="007240C6"/>
    <w:pPr>
      <w:pBdr>
        <w:bottom w:val="single" w:sz="8" w:space="1" w:color="9D9D9D"/>
        <w:bar w:val="single" w:sz="24" w:color="FFFFFF" w:themeColor="background1"/>
      </w:pBdr>
      <w:spacing w:line="160" w:lineRule="exact"/>
    </w:pPr>
    <w:rPr>
      <w:color w:val="9D9D9D"/>
      <w:sz w:val="16"/>
      <w:szCs w:val="18"/>
    </w:rPr>
  </w:style>
  <w:style w:type="character" w:styleId="PageNumber">
    <w:name w:val="page number"/>
    <w:basedOn w:val="DefaultParagraphFont"/>
    <w:uiPriority w:val="99"/>
    <w:semiHidden/>
    <w:unhideWhenUsed/>
    <w:rsid w:val="003E1ECF"/>
  </w:style>
  <w:style w:type="paragraph" w:styleId="ListParagraph">
    <w:name w:val="List Paragraph"/>
    <w:basedOn w:val="Normal"/>
    <w:link w:val="ListParagraphChar"/>
    <w:uiPriority w:val="34"/>
    <w:qFormat/>
    <w:rsid w:val="00311673"/>
    <w:pPr>
      <w:spacing w:after="120" w:line="360" w:lineRule="auto"/>
      <w:ind w:left="720"/>
      <w:jc w:val="both"/>
    </w:pPr>
    <w:rPr>
      <w:rFonts w:ascii="Times New Roman" w:eastAsia="Calibri" w:hAnsi="Times New Roman" w:cs="Times New Roman"/>
      <w:sz w:val="22"/>
      <w:szCs w:val="22"/>
      <w:lang w:eastAsia="el-GR"/>
    </w:rPr>
  </w:style>
  <w:style w:type="character" w:customStyle="1" w:styleId="ListParagraphChar">
    <w:name w:val="List Paragraph Char"/>
    <w:basedOn w:val="DefaultParagraphFont"/>
    <w:link w:val="ListParagraph"/>
    <w:uiPriority w:val="34"/>
    <w:locked/>
    <w:rsid w:val="00311673"/>
    <w:rPr>
      <w:rFonts w:ascii="Times New Roman" w:eastAsia="Calibri" w:hAnsi="Times New Roman" w:cs="Times New Roman"/>
      <w:sz w:val="22"/>
      <w:szCs w:val="22"/>
      <w:lang w:val="el-GR" w:eastAsia="el-GR"/>
    </w:rPr>
  </w:style>
  <w:style w:type="paragraph" w:styleId="NormalWeb">
    <w:name w:val="Normal (Web)"/>
    <w:basedOn w:val="Normal"/>
    <w:uiPriority w:val="99"/>
    <w:unhideWhenUsed/>
    <w:rsid w:val="007D3371"/>
    <w:pPr>
      <w:spacing w:before="100" w:beforeAutospacing="1" w:after="100" w:afterAutospacing="1"/>
    </w:pPr>
    <w:rPr>
      <w:rFonts w:ascii="Times New Roman" w:eastAsia="Times New Roman" w:hAnsi="Times New Roman" w:cs="Times New Roman"/>
      <w:lang w:eastAsia="en-GB"/>
    </w:rPr>
  </w:style>
  <w:style w:type="paragraph" w:customStyle="1" w:styleId="body">
    <w:name w:val="body"/>
    <w:basedOn w:val="Normal"/>
    <w:qFormat/>
    <w:rsid w:val="00F61848"/>
    <w:pPr>
      <w:spacing w:before="120" w:after="120"/>
      <w:jc w:val="both"/>
    </w:pPr>
    <w:rPr>
      <w:color w:val="0D0D0D" w:themeColor="text1" w:themeTint="F2"/>
      <w:sz w:val="18"/>
      <w:szCs w:val="18"/>
    </w:rPr>
  </w:style>
  <w:style w:type="paragraph" w:customStyle="1" w:styleId="Calibri9IFRS">
    <w:name w:val="Calibri 9 IFRS"/>
    <w:basedOn w:val="Normal"/>
    <w:qFormat/>
    <w:rsid w:val="00EC27BF"/>
    <w:pPr>
      <w:keepNext/>
      <w:spacing w:before="240" w:after="120"/>
    </w:pPr>
    <w:rPr>
      <w:rFonts w:ascii="Calibri" w:eastAsia="Calibri" w:hAnsi="Calibri" w:cs="Times New Roman"/>
      <w:b/>
      <w:color w:val="548DD4"/>
      <w:sz w:val="18"/>
      <w:szCs w:val="18"/>
      <w:lang w:val="en-US"/>
    </w:rPr>
  </w:style>
  <w:style w:type="paragraph" w:customStyle="1" w:styleId="Rbody1">
    <w:name w:val="R_body1"/>
    <w:basedOn w:val="Normal"/>
    <w:qFormat/>
    <w:rsid w:val="00EC27BF"/>
    <w:pPr>
      <w:spacing w:after="120"/>
      <w:jc w:val="both"/>
    </w:pPr>
    <w:rPr>
      <w:rFonts w:ascii="Calibri" w:eastAsia="Times New Roman" w:hAnsi="Calibri" w:cs="Times New Roman"/>
      <w:sz w:val="18"/>
      <w:szCs w:val="18"/>
      <w:lang w:val="en-GB" w:eastAsia="el-GR"/>
    </w:rPr>
  </w:style>
  <w:style w:type="paragraph" w:customStyle="1" w:styleId="TITLEINBODY">
    <w:name w:val="TITLE IN BODY"/>
    <w:basedOn w:val="body"/>
    <w:qFormat/>
    <w:rsid w:val="007A2CA1"/>
    <w:pPr>
      <w:pBdr>
        <w:bottom w:val="single" w:sz="4" w:space="1" w:color="00B2C6"/>
      </w:pBdr>
      <w:jc w:val="left"/>
    </w:pPr>
    <w:rPr>
      <w:b/>
      <w:bCs/>
      <w:color w:val="007382"/>
      <w:sz w:val="28"/>
      <w:szCs w:val="24"/>
      <w:bdr w:val="nil"/>
      <w:lang w:val="en-GB"/>
    </w:rPr>
  </w:style>
  <w:style w:type="paragraph" w:customStyle="1" w:styleId="HEADERACTIVE">
    <w:name w:val="HEADER ACTIVE"/>
    <w:basedOn w:val="headersection"/>
    <w:qFormat/>
    <w:rsid w:val="007240C6"/>
    <w:pPr>
      <w:pBdr>
        <w:bottom w:val="single" w:sz="8" w:space="1" w:color="00B2C6"/>
        <w:between w:val="single" w:sz="24" w:space="1" w:color="00B2C6"/>
        <w:bar w:val="none" w:sz="0" w:color="auto"/>
      </w:pBdr>
    </w:pPr>
    <w:rPr>
      <w:b/>
      <w:color w:val="007382"/>
    </w:rPr>
  </w:style>
  <w:style w:type="paragraph" w:customStyle="1" w:styleId="TITLE2">
    <w:name w:val="TITLE 2"/>
    <w:basedOn w:val="body"/>
    <w:qFormat/>
    <w:rsid w:val="000B01A9"/>
    <w:pPr>
      <w:pBdr>
        <w:bottom w:val="single" w:sz="4" w:space="1" w:color="9D9D9D"/>
      </w:pBdr>
      <w:spacing w:before="240"/>
      <w:jc w:val="left"/>
    </w:pPr>
    <w:rPr>
      <w:b/>
      <w:color w:val="00B2C6"/>
      <w:sz w:val="22"/>
      <w:szCs w:val="22"/>
      <w:lang w:val="en-GB"/>
    </w:rPr>
  </w:style>
  <w:style w:type="paragraph" w:customStyle="1" w:styleId="TITLE3">
    <w:name w:val="TITLE 3"/>
    <w:basedOn w:val="body"/>
    <w:qFormat/>
    <w:rsid w:val="00021DE8"/>
    <w:pPr>
      <w:pBdr>
        <w:left w:val="single" w:sz="48" w:space="4" w:color="00B2C6"/>
      </w:pBdr>
      <w:ind w:left="227"/>
      <w:jc w:val="left"/>
    </w:pPr>
    <w:rPr>
      <w:b/>
      <w:bCs/>
      <w:iCs/>
      <w:sz w:val="20"/>
      <w:szCs w:val="20"/>
      <w:lang w:val="en-GB"/>
    </w:rPr>
  </w:style>
  <w:style w:type="character" w:styleId="FootnoteReference">
    <w:name w:val="footnote reference"/>
    <w:basedOn w:val="DefaultParagraphFont"/>
    <w:uiPriority w:val="99"/>
    <w:unhideWhenUsed/>
    <w:rsid w:val="00F77293"/>
    <w:rPr>
      <w:vertAlign w:val="superscript"/>
    </w:rPr>
  </w:style>
  <w:style w:type="paragraph" w:styleId="FootnoteText">
    <w:name w:val="footnote text"/>
    <w:basedOn w:val="Normal"/>
    <w:link w:val="FootnoteTextChar"/>
    <w:uiPriority w:val="99"/>
    <w:unhideWhenUsed/>
    <w:rsid w:val="000E77FB"/>
    <w:rPr>
      <w:rFonts w:ascii="Calibri" w:eastAsia="Calibri" w:hAnsi="Calibri" w:cs="Calibri"/>
      <w:color w:val="D9D9D9" w:themeColor="background1" w:themeShade="D9"/>
      <w:sz w:val="16"/>
      <w:szCs w:val="16"/>
      <w:bdr w:val="nil"/>
      <w:lang w:val="en-GB"/>
    </w:rPr>
  </w:style>
  <w:style w:type="character" w:customStyle="1" w:styleId="FootnoteTextChar">
    <w:name w:val="Footnote Text Char"/>
    <w:basedOn w:val="DefaultParagraphFont"/>
    <w:link w:val="FootnoteText"/>
    <w:uiPriority w:val="99"/>
    <w:rsid w:val="000E77FB"/>
    <w:rPr>
      <w:rFonts w:ascii="Calibri" w:eastAsia="Calibri" w:hAnsi="Calibri" w:cs="Calibri"/>
      <w:color w:val="D9D9D9" w:themeColor="background1" w:themeShade="D9"/>
      <w:sz w:val="16"/>
      <w:szCs w:val="16"/>
      <w:bdr w:val="nil"/>
      <w:lang w:val="en-GB"/>
    </w:rPr>
  </w:style>
  <w:style w:type="paragraph" w:customStyle="1" w:styleId="SECTIONTITLE">
    <w:name w:val="SECTION TITLE"/>
    <w:basedOn w:val="Normal"/>
    <w:qFormat/>
    <w:rsid w:val="000E5AC7"/>
    <w:pPr>
      <w:pBdr>
        <w:bottom w:val="single" w:sz="48" w:space="10" w:color="00B2C6"/>
      </w:pBdr>
    </w:pPr>
    <w:rPr>
      <w:b/>
      <w:color w:val="000000"/>
      <w:sz w:val="52"/>
      <w:szCs w:val="52"/>
      <w:lang w:val="en-GB"/>
    </w:rPr>
  </w:style>
  <w:style w:type="paragraph" w:customStyle="1" w:styleId="Default">
    <w:name w:val="Default"/>
    <w:rsid w:val="00763795"/>
    <w:pPr>
      <w:autoSpaceDE w:val="0"/>
      <w:autoSpaceDN w:val="0"/>
      <w:adjustRightInd w:val="0"/>
    </w:pPr>
    <w:rPr>
      <w:rFonts w:ascii="Calibri" w:eastAsia="Calibri" w:hAnsi="Calibri" w:cs="Calibri"/>
      <w:color w:val="000000"/>
      <w:lang w:val="en-US"/>
    </w:rPr>
  </w:style>
  <w:style w:type="paragraph" w:customStyle="1" w:styleId="Style1">
    <w:name w:val="Style1"/>
    <w:basedOn w:val="Normal"/>
    <w:qFormat/>
    <w:rsid w:val="00F043E1"/>
    <w:pPr>
      <w:pBdr>
        <w:top w:val="nil"/>
        <w:left w:val="nil"/>
        <w:bottom w:val="single" w:sz="8" w:space="1" w:color="9D9D9D"/>
        <w:right w:val="nil"/>
        <w:between w:val="nil"/>
        <w:bar w:val="nil"/>
      </w:pBdr>
      <w:spacing w:before="60" w:after="60"/>
      <w:ind w:left="170" w:right="170"/>
    </w:pPr>
    <w:rPr>
      <w:rFonts w:eastAsia="Calibri" w:cs="Calibri"/>
      <w:b/>
      <w:color w:val="007382"/>
      <w:sz w:val="20"/>
      <w:szCs w:val="20"/>
      <w:bdr w:val="nil"/>
      <w:lang w:val="en-US"/>
    </w:rPr>
  </w:style>
  <w:style w:type="paragraph" w:customStyle="1" w:styleId="Style2">
    <w:name w:val="Style2"/>
    <w:basedOn w:val="Normal"/>
    <w:qFormat/>
    <w:rsid w:val="008C38AA"/>
    <w:pPr>
      <w:spacing w:before="360" w:after="120"/>
    </w:pPr>
    <w:rPr>
      <w:b/>
      <w:bCs/>
      <w:color w:val="646464"/>
      <w:lang w:val="en-GB"/>
    </w:rPr>
  </w:style>
  <w:style w:type="paragraph" w:styleId="EndnoteText">
    <w:name w:val="endnote text"/>
    <w:basedOn w:val="Normal"/>
    <w:link w:val="EndnoteTextChar"/>
    <w:uiPriority w:val="99"/>
    <w:semiHidden/>
    <w:unhideWhenUsed/>
    <w:rsid w:val="00414745"/>
    <w:rPr>
      <w:sz w:val="20"/>
      <w:szCs w:val="20"/>
    </w:rPr>
  </w:style>
  <w:style w:type="character" w:customStyle="1" w:styleId="EndnoteTextChar">
    <w:name w:val="Endnote Text Char"/>
    <w:basedOn w:val="DefaultParagraphFont"/>
    <w:link w:val="EndnoteText"/>
    <w:uiPriority w:val="99"/>
    <w:semiHidden/>
    <w:rsid w:val="00414745"/>
    <w:rPr>
      <w:sz w:val="20"/>
      <w:szCs w:val="20"/>
    </w:rPr>
  </w:style>
  <w:style w:type="character" w:styleId="EndnoteReference">
    <w:name w:val="endnote reference"/>
    <w:basedOn w:val="DefaultParagraphFont"/>
    <w:uiPriority w:val="99"/>
    <w:semiHidden/>
    <w:unhideWhenUsed/>
    <w:rsid w:val="00414745"/>
    <w:rPr>
      <w:vertAlign w:val="superscript"/>
    </w:rPr>
  </w:style>
  <w:style w:type="paragraph" w:customStyle="1" w:styleId="Calibri10IFRS">
    <w:name w:val="Calibri 10 IFRS"/>
    <w:qFormat/>
    <w:rsid w:val="00FA5381"/>
    <w:pPr>
      <w:keepNext/>
      <w:spacing w:before="360" w:after="120"/>
    </w:pPr>
    <w:rPr>
      <w:rFonts w:eastAsia="Calibri" w:cs="Calibri"/>
      <w:b/>
      <w:color w:val="548DD4"/>
      <w:sz w:val="20"/>
      <w:szCs w:val="20"/>
      <w:lang w:val="en-US"/>
    </w:rPr>
  </w:style>
  <w:style w:type="paragraph" w:customStyle="1" w:styleId="Rbulletcolumn0">
    <w:name w:val="R_bullet column_0"/>
    <w:basedOn w:val="Normal"/>
    <w:qFormat/>
    <w:rsid w:val="0062009A"/>
    <w:pPr>
      <w:widowControl w:val="0"/>
      <w:adjustRightInd w:val="0"/>
      <w:spacing w:after="120"/>
      <w:ind w:left="720" w:hanging="360"/>
      <w:jc w:val="both"/>
    </w:pPr>
    <w:rPr>
      <w:rFonts w:ascii="Calibri" w:eastAsia="Calibri" w:hAnsi="Calibri" w:cs="Calibri"/>
      <w:sz w:val="18"/>
      <w:szCs w:val="18"/>
      <w:lang w:val="en-US" w:eastAsia="el-GR"/>
    </w:rPr>
  </w:style>
  <w:style w:type="paragraph" w:customStyle="1" w:styleId="Bullet1">
    <w:name w:val="Bullet1"/>
    <w:qFormat/>
    <w:rsid w:val="001A3974"/>
    <w:pPr>
      <w:numPr>
        <w:numId w:val="4"/>
      </w:numPr>
      <w:spacing w:before="240" w:line="260" w:lineRule="atLeast"/>
      <w:jc w:val="both"/>
    </w:pPr>
    <w:rPr>
      <w:rFonts w:ascii="Times New Roman" w:eastAsia="Calibri" w:hAnsi="Times New Roman" w:cs="Times New Roman"/>
      <w:sz w:val="22"/>
      <w:szCs w:val="22"/>
      <w:lang w:val="en-GB"/>
    </w:rPr>
  </w:style>
  <w:style w:type="paragraph" w:customStyle="1" w:styleId="INLINETEXT1">
    <w:name w:val="IN LINE TEXT 1"/>
    <w:link w:val="INLINETEXT1Char"/>
    <w:qFormat/>
    <w:rsid w:val="00451A73"/>
    <w:rPr>
      <w:b/>
      <w:bCs/>
      <w:color w:val="007382"/>
      <w:sz w:val="18"/>
      <w:szCs w:val="18"/>
    </w:rPr>
  </w:style>
  <w:style w:type="character" w:customStyle="1" w:styleId="INLINETEXT1Char">
    <w:name w:val="IN LINE TEXT 1 Char"/>
    <w:basedOn w:val="DefaultParagraphFont"/>
    <w:link w:val="INLINETEXT1"/>
    <w:rsid w:val="00451A73"/>
    <w:rPr>
      <w:b/>
      <w:bCs/>
      <w:color w:val="007382"/>
      <w:sz w:val="18"/>
      <w:szCs w:val="18"/>
    </w:rPr>
  </w:style>
  <w:style w:type="paragraph" w:customStyle="1" w:styleId="BoD10IFRS">
    <w:name w:val="BoD 10 IFRS"/>
    <w:basedOn w:val="Calibri10IFRS"/>
    <w:qFormat/>
    <w:rsid w:val="00CC76DF"/>
    <w:pPr>
      <w:pBdr>
        <w:left w:val="single" w:sz="48" w:space="4" w:color="007180"/>
        <w:bottom w:val="single" w:sz="6" w:space="1" w:color="00AFC3"/>
      </w:pBdr>
      <w:spacing w:before="240" w:after="60"/>
      <w:outlineLvl w:val="2"/>
    </w:pPr>
    <w:rPr>
      <w:color w:val="007581"/>
      <w:sz w:val="24"/>
      <w:szCs w:val="24"/>
      <w:lang w:val="en-GB"/>
    </w:rPr>
  </w:style>
  <w:style w:type="paragraph" w:customStyle="1" w:styleId="msgLeft">
    <w:name w:val="msg Left"/>
    <w:basedOn w:val="Normal"/>
    <w:qFormat/>
    <w:rsid w:val="001D6231"/>
    <w:pPr>
      <w:ind w:left="170" w:right="567"/>
    </w:pPr>
    <w:rPr>
      <w:b/>
      <w:bCs/>
      <w:sz w:val="20"/>
      <w:szCs w:val="20"/>
      <w:bdr w:val="nil"/>
    </w:rPr>
  </w:style>
  <w:style w:type="paragraph" w:styleId="BalloonText">
    <w:name w:val="Balloon Text"/>
    <w:basedOn w:val="Normal"/>
    <w:link w:val="BalloonTextChar"/>
    <w:uiPriority w:val="99"/>
    <w:semiHidden/>
    <w:unhideWhenUsed/>
    <w:rsid w:val="001B4282"/>
    <w:rPr>
      <w:rFonts w:ascii="Tahoma" w:hAnsi="Tahoma" w:cs="Tahoma"/>
      <w:sz w:val="16"/>
      <w:szCs w:val="16"/>
    </w:rPr>
  </w:style>
  <w:style w:type="character" w:customStyle="1" w:styleId="BalloonTextChar">
    <w:name w:val="Balloon Text Char"/>
    <w:basedOn w:val="DefaultParagraphFont"/>
    <w:link w:val="BalloonText"/>
    <w:uiPriority w:val="99"/>
    <w:semiHidden/>
    <w:rsid w:val="001B4282"/>
    <w:rPr>
      <w:rFonts w:ascii="Tahoma" w:hAnsi="Tahoma" w:cs="Tahoma"/>
      <w:sz w:val="16"/>
      <w:szCs w:val="16"/>
    </w:rPr>
  </w:style>
  <w:style w:type="character" w:customStyle="1" w:styleId="Heading3Char">
    <w:name w:val="Heading 3 Char"/>
    <w:basedOn w:val="DefaultParagraphFont"/>
    <w:link w:val="Heading3"/>
    <w:uiPriority w:val="9"/>
    <w:rsid w:val="00E55AED"/>
    <w:rPr>
      <w:rFonts w:asciiTheme="majorHAnsi" w:eastAsiaTheme="majorEastAsia" w:hAnsiTheme="majorHAnsi" w:cstheme="majorBidi"/>
      <w:b/>
      <w:bCs/>
      <w:color w:val="4472C4" w:themeColor="accent1"/>
      <w:sz w:val="22"/>
      <w:szCs w:val="22"/>
      <w:lang w:val="en-GB"/>
    </w:rPr>
  </w:style>
  <w:style w:type="paragraph" w:customStyle="1" w:styleId="normaltext">
    <w:name w:val="normaltext"/>
    <w:basedOn w:val="Normal"/>
    <w:rsid w:val="00E55AED"/>
    <w:pPr>
      <w:spacing w:before="100" w:beforeAutospacing="1" w:after="100" w:afterAutospacing="1"/>
    </w:pPr>
    <w:rPr>
      <w:rFonts w:ascii="Verdana" w:eastAsia="Arial Unicode MS" w:hAnsi="Verdana" w:cs="Arial Unicode MS"/>
      <w:color w:val="000000"/>
      <w:sz w:val="17"/>
      <w:szCs w:val="17"/>
      <w:lang w:eastAsia="el-GR"/>
    </w:rPr>
  </w:style>
  <w:style w:type="paragraph" w:styleId="BlockText">
    <w:name w:val="Block Text"/>
    <w:basedOn w:val="Normal"/>
    <w:rsid w:val="00E55AED"/>
    <w:pPr>
      <w:spacing w:before="120" w:after="120" w:line="280" w:lineRule="atLeast"/>
      <w:ind w:left="540" w:right="612"/>
      <w:jc w:val="center"/>
    </w:pPr>
    <w:rPr>
      <w:rFonts w:ascii="Arial" w:eastAsia="Times New Roman" w:hAnsi="Arial" w:cs="Arial"/>
      <w:b/>
      <w:bCs/>
      <w:szCs w:val="22"/>
    </w:rPr>
  </w:style>
  <w:style w:type="paragraph" w:customStyle="1" w:styleId="CM10">
    <w:name w:val="CM10"/>
    <w:basedOn w:val="Default"/>
    <w:next w:val="Default"/>
    <w:uiPriority w:val="99"/>
    <w:rsid w:val="00E55AED"/>
    <w:pPr>
      <w:widowControl w:val="0"/>
    </w:pPr>
    <w:rPr>
      <w:rFonts w:eastAsia="Times New Roman" w:cs="Times New Roman"/>
      <w:color w:val="auto"/>
      <w:lang w:val="el-GR" w:eastAsia="el-GR"/>
    </w:rPr>
  </w:style>
  <w:style w:type="paragraph" w:customStyle="1" w:styleId="CM3">
    <w:name w:val="CM3"/>
    <w:basedOn w:val="Default"/>
    <w:next w:val="Default"/>
    <w:uiPriority w:val="99"/>
    <w:rsid w:val="00E55AED"/>
    <w:pPr>
      <w:widowControl w:val="0"/>
      <w:spacing w:line="280" w:lineRule="atLeast"/>
    </w:pPr>
    <w:rPr>
      <w:rFonts w:eastAsia="Times New Roman" w:cs="Times New Roman"/>
      <w:color w:val="auto"/>
      <w:lang w:val="el-GR" w:eastAsia="el-GR"/>
    </w:rPr>
  </w:style>
  <w:style w:type="paragraph" w:customStyle="1" w:styleId="CM1">
    <w:name w:val="CM1"/>
    <w:basedOn w:val="Default"/>
    <w:next w:val="Default"/>
    <w:uiPriority w:val="99"/>
    <w:rsid w:val="00E55AED"/>
    <w:pPr>
      <w:widowControl w:val="0"/>
    </w:pPr>
    <w:rPr>
      <w:rFonts w:eastAsia="Times New Roman" w:cs="Times New Roman"/>
      <w:color w:val="auto"/>
      <w:lang w:val="el-GR" w:eastAsia="el-GR"/>
    </w:rPr>
  </w:style>
  <w:style w:type="paragraph" w:customStyle="1" w:styleId="CM9">
    <w:name w:val="CM9"/>
    <w:basedOn w:val="Default"/>
    <w:next w:val="Default"/>
    <w:uiPriority w:val="99"/>
    <w:rsid w:val="00E55AED"/>
    <w:pPr>
      <w:widowControl w:val="0"/>
    </w:pPr>
    <w:rPr>
      <w:rFonts w:eastAsia="Times New Roman" w:cs="Times New Roman"/>
      <w:color w:val="auto"/>
      <w:lang w:val="el-GR" w:eastAsia="el-GR"/>
    </w:rPr>
  </w:style>
  <w:style w:type="paragraph" w:styleId="PlainText">
    <w:name w:val="Plain Text"/>
    <w:basedOn w:val="Normal"/>
    <w:link w:val="PlainTextChar"/>
    <w:uiPriority w:val="99"/>
    <w:unhideWhenUsed/>
    <w:rsid w:val="00E55AED"/>
    <w:rPr>
      <w:rFonts w:ascii="Consolas" w:eastAsia="Calibri" w:hAnsi="Consolas" w:cs="Times New Roman"/>
      <w:sz w:val="21"/>
      <w:szCs w:val="21"/>
      <w:lang w:val="en-GB"/>
    </w:rPr>
  </w:style>
  <w:style w:type="character" w:customStyle="1" w:styleId="PlainTextChar">
    <w:name w:val="Plain Text Char"/>
    <w:basedOn w:val="DefaultParagraphFont"/>
    <w:link w:val="PlainText"/>
    <w:uiPriority w:val="99"/>
    <w:rsid w:val="00E55AED"/>
    <w:rPr>
      <w:rFonts w:ascii="Consolas" w:eastAsia="Calibri" w:hAnsi="Consolas" w:cs="Times New Roman"/>
      <w:sz w:val="21"/>
      <w:szCs w:val="21"/>
      <w:lang w:val="en-GB"/>
    </w:rPr>
  </w:style>
  <w:style w:type="character" w:styleId="CommentReference">
    <w:name w:val="annotation reference"/>
    <w:basedOn w:val="DefaultParagraphFont"/>
    <w:uiPriority w:val="99"/>
    <w:semiHidden/>
    <w:unhideWhenUsed/>
    <w:rsid w:val="00E55AED"/>
    <w:rPr>
      <w:sz w:val="16"/>
      <w:szCs w:val="16"/>
    </w:rPr>
  </w:style>
  <w:style w:type="paragraph" w:styleId="CommentText">
    <w:name w:val="annotation text"/>
    <w:basedOn w:val="Normal"/>
    <w:link w:val="CommentTextChar"/>
    <w:uiPriority w:val="99"/>
    <w:semiHidden/>
    <w:unhideWhenUsed/>
    <w:rsid w:val="00E55AED"/>
    <w:pPr>
      <w:spacing w:after="200"/>
    </w:pPr>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rsid w:val="00E55AED"/>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55AED"/>
    <w:rPr>
      <w:b/>
      <w:bCs/>
    </w:rPr>
  </w:style>
  <w:style w:type="character" w:customStyle="1" w:styleId="CommentSubjectChar">
    <w:name w:val="Comment Subject Char"/>
    <w:basedOn w:val="CommentTextChar"/>
    <w:link w:val="CommentSubject"/>
    <w:uiPriority w:val="99"/>
    <w:semiHidden/>
    <w:rsid w:val="00E55AED"/>
    <w:rPr>
      <w:rFonts w:ascii="Calibri" w:eastAsia="Calibri" w:hAnsi="Calibri" w:cs="Times New Roman"/>
      <w:b/>
      <w:bCs/>
      <w:sz w:val="20"/>
      <w:szCs w:val="20"/>
      <w:lang w:val="en-GB"/>
    </w:rPr>
  </w:style>
  <w:style w:type="paragraph" w:styleId="Revision">
    <w:name w:val="Revision"/>
    <w:hidden/>
    <w:uiPriority w:val="99"/>
    <w:semiHidden/>
    <w:rsid w:val="00E55AED"/>
    <w:rPr>
      <w:rFonts w:ascii="Calibri" w:eastAsia="Calibri" w:hAnsi="Calibri" w:cs="Times New Roman"/>
      <w:sz w:val="22"/>
      <w:szCs w:val="22"/>
      <w:lang w:val="en-GB"/>
    </w:rPr>
  </w:style>
  <w:style w:type="table" w:customStyle="1" w:styleId="1">
    <w:name w:val="Πλέγμα πίνακα1"/>
    <w:basedOn w:val="TableNormal"/>
    <w:next w:val="TableGrid"/>
    <w:uiPriority w:val="59"/>
    <w:rsid w:val="00E55AED"/>
    <w:rPr>
      <w:rFonts w:ascii="Calibri" w:eastAsia="Calibri" w:hAnsi="Calibri" w:cs="Times New Roman"/>
      <w:sz w:val="20"/>
      <w:szCs w:val="20"/>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31086">
      <w:bodyDiv w:val="1"/>
      <w:marLeft w:val="0"/>
      <w:marRight w:val="0"/>
      <w:marTop w:val="0"/>
      <w:marBottom w:val="0"/>
      <w:divBdr>
        <w:top w:val="none" w:sz="0" w:space="0" w:color="auto"/>
        <w:left w:val="none" w:sz="0" w:space="0" w:color="auto"/>
        <w:bottom w:val="none" w:sz="0" w:space="0" w:color="auto"/>
        <w:right w:val="none" w:sz="0" w:space="0" w:color="auto"/>
      </w:divBdr>
      <w:divsChild>
        <w:div w:id="1098139179">
          <w:marLeft w:val="547"/>
          <w:marRight w:val="0"/>
          <w:marTop w:val="0"/>
          <w:marBottom w:val="0"/>
          <w:divBdr>
            <w:top w:val="none" w:sz="0" w:space="0" w:color="auto"/>
            <w:left w:val="none" w:sz="0" w:space="0" w:color="auto"/>
            <w:bottom w:val="none" w:sz="0" w:space="0" w:color="auto"/>
            <w:right w:val="none" w:sz="0" w:space="0" w:color="auto"/>
          </w:divBdr>
        </w:div>
      </w:divsChild>
    </w:div>
    <w:div w:id="177355960">
      <w:bodyDiv w:val="1"/>
      <w:marLeft w:val="0"/>
      <w:marRight w:val="0"/>
      <w:marTop w:val="0"/>
      <w:marBottom w:val="0"/>
      <w:divBdr>
        <w:top w:val="none" w:sz="0" w:space="0" w:color="auto"/>
        <w:left w:val="none" w:sz="0" w:space="0" w:color="auto"/>
        <w:bottom w:val="none" w:sz="0" w:space="0" w:color="auto"/>
        <w:right w:val="none" w:sz="0" w:space="0" w:color="auto"/>
      </w:divBdr>
      <w:divsChild>
        <w:div w:id="1920745603">
          <w:marLeft w:val="547"/>
          <w:marRight w:val="0"/>
          <w:marTop w:val="0"/>
          <w:marBottom w:val="0"/>
          <w:divBdr>
            <w:top w:val="none" w:sz="0" w:space="0" w:color="auto"/>
            <w:left w:val="none" w:sz="0" w:space="0" w:color="auto"/>
            <w:bottom w:val="none" w:sz="0" w:space="0" w:color="auto"/>
            <w:right w:val="none" w:sz="0" w:space="0" w:color="auto"/>
          </w:divBdr>
        </w:div>
      </w:divsChild>
    </w:div>
    <w:div w:id="327172049">
      <w:bodyDiv w:val="1"/>
      <w:marLeft w:val="0"/>
      <w:marRight w:val="0"/>
      <w:marTop w:val="0"/>
      <w:marBottom w:val="0"/>
      <w:divBdr>
        <w:top w:val="none" w:sz="0" w:space="0" w:color="auto"/>
        <w:left w:val="none" w:sz="0" w:space="0" w:color="auto"/>
        <w:bottom w:val="none" w:sz="0" w:space="0" w:color="auto"/>
        <w:right w:val="none" w:sz="0" w:space="0" w:color="auto"/>
      </w:divBdr>
      <w:divsChild>
        <w:div w:id="1175344044">
          <w:marLeft w:val="547"/>
          <w:marRight w:val="0"/>
          <w:marTop w:val="0"/>
          <w:marBottom w:val="0"/>
          <w:divBdr>
            <w:top w:val="none" w:sz="0" w:space="0" w:color="auto"/>
            <w:left w:val="none" w:sz="0" w:space="0" w:color="auto"/>
            <w:bottom w:val="none" w:sz="0" w:space="0" w:color="auto"/>
            <w:right w:val="none" w:sz="0" w:space="0" w:color="auto"/>
          </w:divBdr>
        </w:div>
      </w:divsChild>
    </w:div>
    <w:div w:id="347635075">
      <w:bodyDiv w:val="1"/>
      <w:marLeft w:val="0"/>
      <w:marRight w:val="0"/>
      <w:marTop w:val="0"/>
      <w:marBottom w:val="0"/>
      <w:divBdr>
        <w:top w:val="none" w:sz="0" w:space="0" w:color="auto"/>
        <w:left w:val="none" w:sz="0" w:space="0" w:color="auto"/>
        <w:bottom w:val="none" w:sz="0" w:space="0" w:color="auto"/>
        <w:right w:val="none" w:sz="0" w:space="0" w:color="auto"/>
      </w:divBdr>
      <w:divsChild>
        <w:div w:id="1491748205">
          <w:marLeft w:val="547"/>
          <w:marRight w:val="0"/>
          <w:marTop w:val="0"/>
          <w:marBottom w:val="0"/>
          <w:divBdr>
            <w:top w:val="none" w:sz="0" w:space="0" w:color="auto"/>
            <w:left w:val="none" w:sz="0" w:space="0" w:color="auto"/>
            <w:bottom w:val="none" w:sz="0" w:space="0" w:color="auto"/>
            <w:right w:val="none" w:sz="0" w:space="0" w:color="auto"/>
          </w:divBdr>
        </w:div>
      </w:divsChild>
    </w:div>
    <w:div w:id="356472887">
      <w:bodyDiv w:val="1"/>
      <w:marLeft w:val="0"/>
      <w:marRight w:val="0"/>
      <w:marTop w:val="0"/>
      <w:marBottom w:val="0"/>
      <w:divBdr>
        <w:top w:val="none" w:sz="0" w:space="0" w:color="auto"/>
        <w:left w:val="none" w:sz="0" w:space="0" w:color="auto"/>
        <w:bottom w:val="none" w:sz="0" w:space="0" w:color="auto"/>
        <w:right w:val="none" w:sz="0" w:space="0" w:color="auto"/>
      </w:divBdr>
      <w:divsChild>
        <w:div w:id="2086947369">
          <w:marLeft w:val="547"/>
          <w:marRight w:val="0"/>
          <w:marTop w:val="0"/>
          <w:marBottom w:val="0"/>
          <w:divBdr>
            <w:top w:val="none" w:sz="0" w:space="0" w:color="auto"/>
            <w:left w:val="none" w:sz="0" w:space="0" w:color="auto"/>
            <w:bottom w:val="none" w:sz="0" w:space="0" w:color="auto"/>
            <w:right w:val="none" w:sz="0" w:space="0" w:color="auto"/>
          </w:divBdr>
        </w:div>
      </w:divsChild>
    </w:div>
    <w:div w:id="435560997">
      <w:bodyDiv w:val="1"/>
      <w:marLeft w:val="0"/>
      <w:marRight w:val="0"/>
      <w:marTop w:val="0"/>
      <w:marBottom w:val="0"/>
      <w:divBdr>
        <w:top w:val="none" w:sz="0" w:space="0" w:color="auto"/>
        <w:left w:val="none" w:sz="0" w:space="0" w:color="auto"/>
        <w:bottom w:val="none" w:sz="0" w:space="0" w:color="auto"/>
        <w:right w:val="none" w:sz="0" w:space="0" w:color="auto"/>
      </w:divBdr>
    </w:div>
    <w:div w:id="753433882">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8">
          <w:marLeft w:val="547"/>
          <w:marRight w:val="0"/>
          <w:marTop w:val="0"/>
          <w:marBottom w:val="0"/>
          <w:divBdr>
            <w:top w:val="none" w:sz="0" w:space="0" w:color="auto"/>
            <w:left w:val="none" w:sz="0" w:space="0" w:color="auto"/>
            <w:bottom w:val="none" w:sz="0" w:space="0" w:color="auto"/>
            <w:right w:val="none" w:sz="0" w:space="0" w:color="auto"/>
          </w:divBdr>
        </w:div>
      </w:divsChild>
    </w:div>
    <w:div w:id="860052781">
      <w:bodyDiv w:val="1"/>
      <w:marLeft w:val="0"/>
      <w:marRight w:val="0"/>
      <w:marTop w:val="0"/>
      <w:marBottom w:val="0"/>
      <w:divBdr>
        <w:top w:val="none" w:sz="0" w:space="0" w:color="auto"/>
        <w:left w:val="none" w:sz="0" w:space="0" w:color="auto"/>
        <w:bottom w:val="none" w:sz="0" w:space="0" w:color="auto"/>
        <w:right w:val="none" w:sz="0" w:space="0" w:color="auto"/>
      </w:divBdr>
      <w:divsChild>
        <w:div w:id="1083914881">
          <w:marLeft w:val="547"/>
          <w:marRight w:val="0"/>
          <w:marTop w:val="0"/>
          <w:marBottom w:val="0"/>
          <w:divBdr>
            <w:top w:val="none" w:sz="0" w:space="0" w:color="auto"/>
            <w:left w:val="none" w:sz="0" w:space="0" w:color="auto"/>
            <w:bottom w:val="none" w:sz="0" w:space="0" w:color="auto"/>
            <w:right w:val="none" w:sz="0" w:space="0" w:color="auto"/>
          </w:divBdr>
        </w:div>
        <w:div w:id="1287666106">
          <w:marLeft w:val="547"/>
          <w:marRight w:val="0"/>
          <w:marTop w:val="0"/>
          <w:marBottom w:val="0"/>
          <w:divBdr>
            <w:top w:val="none" w:sz="0" w:space="0" w:color="auto"/>
            <w:left w:val="none" w:sz="0" w:space="0" w:color="auto"/>
            <w:bottom w:val="none" w:sz="0" w:space="0" w:color="auto"/>
            <w:right w:val="none" w:sz="0" w:space="0" w:color="auto"/>
          </w:divBdr>
        </w:div>
        <w:div w:id="1854614159">
          <w:marLeft w:val="547"/>
          <w:marRight w:val="0"/>
          <w:marTop w:val="0"/>
          <w:marBottom w:val="0"/>
          <w:divBdr>
            <w:top w:val="none" w:sz="0" w:space="0" w:color="auto"/>
            <w:left w:val="none" w:sz="0" w:space="0" w:color="auto"/>
            <w:bottom w:val="none" w:sz="0" w:space="0" w:color="auto"/>
            <w:right w:val="none" w:sz="0" w:space="0" w:color="auto"/>
          </w:divBdr>
        </w:div>
      </w:divsChild>
    </w:div>
    <w:div w:id="877813654">
      <w:bodyDiv w:val="1"/>
      <w:marLeft w:val="0"/>
      <w:marRight w:val="0"/>
      <w:marTop w:val="0"/>
      <w:marBottom w:val="0"/>
      <w:divBdr>
        <w:top w:val="none" w:sz="0" w:space="0" w:color="auto"/>
        <w:left w:val="none" w:sz="0" w:space="0" w:color="auto"/>
        <w:bottom w:val="none" w:sz="0" w:space="0" w:color="auto"/>
        <w:right w:val="none" w:sz="0" w:space="0" w:color="auto"/>
      </w:divBdr>
      <w:divsChild>
        <w:div w:id="249898655">
          <w:marLeft w:val="547"/>
          <w:marRight w:val="0"/>
          <w:marTop w:val="0"/>
          <w:marBottom w:val="0"/>
          <w:divBdr>
            <w:top w:val="none" w:sz="0" w:space="0" w:color="auto"/>
            <w:left w:val="none" w:sz="0" w:space="0" w:color="auto"/>
            <w:bottom w:val="none" w:sz="0" w:space="0" w:color="auto"/>
            <w:right w:val="none" w:sz="0" w:space="0" w:color="auto"/>
          </w:divBdr>
        </w:div>
        <w:div w:id="317194739">
          <w:marLeft w:val="547"/>
          <w:marRight w:val="0"/>
          <w:marTop w:val="0"/>
          <w:marBottom w:val="0"/>
          <w:divBdr>
            <w:top w:val="none" w:sz="0" w:space="0" w:color="auto"/>
            <w:left w:val="none" w:sz="0" w:space="0" w:color="auto"/>
            <w:bottom w:val="none" w:sz="0" w:space="0" w:color="auto"/>
            <w:right w:val="none" w:sz="0" w:space="0" w:color="auto"/>
          </w:divBdr>
        </w:div>
        <w:div w:id="1415123624">
          <w:marLeft w:val="547"/>
          <w:marRight w:val="0"/>
          <w:marTop w:val="0"/>
          <w:marBottom w:val="0"/>
          <w:divBdr>
            <w:top w:val="none" w:sz="0" w:space="0" w:color="auto"/>
            <w:left w:val="none" w:sz="0" w:space="0" w:color="auto"/>
            <w:bottom w:val="none" w:sz="0" w:space="0" w:color="auto"/>
            <w:right w:val="none" w:sz="0" w:space="0" w:color="auto"/>
          </w:divBdr>
        </w:div>
      </w:divsChild>
    </w:div>
    <w:div w:id="927083140">
      <w:bodyDiv w:val="1"/>
      <w:marLeft w:val="0"/>
      <w:marRight w:val="0"/>
      <w:marTop w:val="0"/>
      <w:marBottom w:val="0"/>
      <w:divBdr>
        <w:top w:val="none" w:sz="0" w:space="0" w:color="auto"/>
        <w:left w:val="none" w:sz="0" w:space="0" w:color="auto"/>
        <w:bottom w:val="none" w:sz="0" w:space="0" w:color="auto"/>
        <w:right w:val="none" w:sz="0" w:space="0" w:color="auto"/>
      </w:divBdr>
      <w:divsChild>
        <w:div w:id="99955550">
          <w:marLeft w:val="547"/>
          <w:marRight w:val="0"/>
          <w:marTop w:val="0"/>
          <w:marBottom w:val="0"/>
          <w:divBdr>
            <w:top w:val="none" w:sz="0" w:space="0" w:color="auto"/>
            <w:left w:val="none" w:sz="0" w:space="0" w:color="auto"/>
            <w:bottom w:val="none" w:sz="0" w:space="0" w:color="auto"/>
            <w:right w:val="none" w:sz="0" w:space="0" w:color="auto"/>
          </w:divBdr>
        </w:div>
        <w:div w:id="502474872">
          <w:marLeft w:val="547"/>
          <w:marRight w:val="0"/>
          <w:marTop w:val="0"/>
          <w:marBottom w:val="0"/>
          <w:divBdr>
            <w:top w:val="none" w:sz="0" w:space="0" w:color="auto"/>
            <w:left w:val="none" w:sz="0" w:space="0" w:color="auto"/>
            <w:bottom w:val="none" w:sz="0" w:space="0" w:color="auto"/>
            <w:right w:val="none" w:sz="0" w:space="0" w:color="auto"/>
          </w:divBdr>
        </w:div>
        <w:div w:id="625311602">
          <w:marLeft w:val="547"/>
          <w:marRight w:val="0"/>
          <w:marTop w:val="0"/>
          <w:marBottom w:val="0"/>
          <w:divBdr>
            <w:top w:val="none" w:sz="0" w:space="0" w:color="auto"/>
            <w:left w:val="none" w:sz="0" w:space="0" w:color="auto"/>
            <w:bottom w:val="none" w:sz="0" w:space="0" w:color="auto"/>
            <w:right w:val="none" w:sz="0" w:space="0" w:color="auto"/>
          </w:divBdr>
        </w:div>
        <w:div w:id="1796094099">
          <w:marLeft w:val="547"/>
          <w:marRight w:val="0"/>
          <w:marTop w:val="0"/>
          <w:marBottom w:val="0"/>
          <w:divBdr>
            <w:top w:val="none" w:sz="0" w:space="0" w:color="auto"/>
            <w:left w:val="none" w:sz="0" w:space="0" w:color="auto"/>
            <w:bottom w:val="none" w:sz="0" w:space="0" w:color="auto"/>
            <w:right w:val="none" w:sz="0" w:space="0" w:color="auto"/>
          </w:divBdr>
        </w:div>
        <w:div w:id="1834031050">
          <w:marLeft w:val="547"/>
          <w:marRight w:val="0"/>
          <w:marTop w:val="0"/>
          <w:marBottom w:val="0"/>
          <w:divBdr>
            <w:top w:val="none" w:sz="0" w:space="0" w:color="auto"/>
            <w:left w:val="none" w:sz="0" w:space="0" w:color="auto"/>
            <w:bottom w:val="none" w:sz="0" w:space="0" w:color="auto"/>
            <w:right w:val="none" w:sz="0" w:space="0" w:color="auto"/>
          </w:divBdr>
        </w:div>
        <w:div w:id="2090106492">
          <w:marLeft w:val="547"/>
          <w:marRight w:val="0"/>
          <w:marTop w:val="0"/>
          <w:marBottom w:val="0"/>
          <w:divBdr>
            <w:top w:val="none" w:sz="0" w:space="0" w:color="auto"/>
            <w:left w:val="none" w:sz="0" w:space="0" w:color="auto"/>
            <w:bottom w:val="none" w:sz="0" w:space="0" w:color="auto"/>
            <w:right w:val="none" w:sz="0" w:space="0" w:color="auto"/>
          </w:divBdr>
        </w:div>
      </w:divsChild>
    </w:div>
    <w:div w:id="977809058">
      <w:bodyDiv w:val="1"/>
      <w:marLeft w:val="0"/>
      <w:marRight w:val="0"/>
      <w:marTop w:val="0"/>
      <w:marBottom w:val="0"/>
      <w:divBdr>
        <w:top w:val="none" w:sz="0" w:space="0" w:color="auto"/>
        <w:left w:val="none" w:sz="0" w:space="0" w:color="auto"/>
        <w:bottom w:val="none" w:sz="0" w:space="0" w:color="auto"/>
        <w:right w:val="none" w:sz="0" w:space="0" w:color="auto"/>
      </w:divBdr>
      <w:divsChild>
        <w:div w:id="1665471571">
          <w:marLeft w:val="547"/>
          <w:marRight w:val="0"/>
          <w:marTop w:val="0"/>
          <w:marBottom w:val="0"/>
          <w:divBdr>
            <w:top w:val="none" w:sz="0" w:space="0" w:color="auto"/>
            <w:left w:val="none" w:sz="0" w:space="0" w:color="auto"/>
            <w:bottom w:val="none" w:sz="0" w:space="0" w:color="auto"/>
            <w:right w:val="none" w:sz="0" w:space="0" w:color="auto"/>
          </w:divBdr>
        </w:div>
        <w:div w:id="2035880594">
          <w:marLeft w:val="547"/>
          <w:marRight w:val="0"/>
          <w:marTop w:val="0"/>
          <w:marBottom w:val="0"/>
          <w:divBdr>
            <w:top w:val="none" w:sz="0" w:space="0" w:color="auto"/>
            <w:left w:val="none" w:sz="0" w:space="0" w:color="auto"/>
            <w:bottom w:val="none" w:sz="0" w:space="0" w:color="auto"/>
            <w:right w:val="none" w:sz="0" w:space="0" w:color="auto"/>
          </w:divBdr>
        </w:div>
      </w:divsChild>
    </w:div>
    <w:div w:id="1103651373">
      <w:bodyDiv w:val="1"/>
      <w:marLeft w:val="0"/>
      <w:marRight w:val="0"/>
      <w:marTop w:val="0"/>
      <w:marBottom w:val="0"/>
      <w:divBdr>
        <w:top w:val="none" w:sz="0" w:space="0" w:color="auto"/>
        <w:left w:val="none" w:sz="0" w:space="0" w:color="auto"/>
        <w:bottom w:val="none" w:sz="0" w:space="0" w:color="auto"/>
        <w:right w:val="none" w:sz="0" w:space="0" w:color="auto"/>
      </w:divBdr>
      <w:divsChild>
        <w:div w:id="83646765">
          <w:marLeft w:val="547"/>
          <w:marRight w:val="0"/>
          <w:marTop w:val="0"/>
          <w:marBottom w:val="0"/>
          <w:divBdr>
            <w:top w:val="none" w:sz="0" w:space="0" w:color="auto"/>
            <w:left w:val="none" w:sz="0" w:space="0" w:color="auto"/>
            <w:bottom w:val="none" w:sz="0" w:space="0" w:color="auto"/>
            <w:right w:val="none" w:sz="0" w:space="0" w:color="auto"/>
          </w:divBdr>
        </w:div>
        <w:div w:id="750927156">
          <w:marLeft w:val="547"/>
          <w:marRight w:val="0"/>
          <w:marTop w:val="0"/>
          <w:marBottom w:val="0"/>
          <w:divBdr>
            <w:top w:val="none" w:sz="0" w:space="0" w:color="auto"/>
            <w:left w:val="none" w:sz="0" w:space="0" w:color="auto"/>
            <w:bottom w:val="none" w:sz="0" w:space="0" w:color="auto"/>
            <w:right w:val="none" w:sz="0" w:space="0" w:color="auto"/>
          </w:divBdr>
        </w:div>
        <w:div w:id="821311501">
          <w:marLeft w:val="547"/>
          <w:marRight w:val="0"/>
          <w:marTop w:val="0"/>
          <w:marBottom w:val="0"/>
          <w:divBdr>
            <w:top w:val="none" w:sz="0" w:space="0" w:color="auto"/>
            <w:left w:val="none" w:sz="0" w:space="0" w:color="auto"/>
            <w:bottom w:val="none" w:sz="0" w:space="0" w:color="auto"/>
            <w:right w:val="none" w:sz="0" w:space="0" w:color="auto"/>
          </w:divBdr>
        </w:div>
      </w:divsChild>
    </w:div>
    <w:div w:id="1258951768">
      <w:bodyDiv w:val="1"/>
      <w:marLeft w:val="0"/>
      <w:marRight w:val="0"/>
      <w:marTop w:val="0"/>
      <w:marBottom w:val="0"/>
      <w:divBdr>
        <w:top w:val="none" w:sz="0" w:space="0" w:color="auto"/>
        <w:left w:val="none" w:sz="0" w:space="0" w:color="auto"/>
        <w:bottom w:val="none" w:sz="0" w:space="0" w:color="auto"/>
        <w:right w:val="none" w:sz="0" w:space="0" w:color="auto"/>
      </w:divBdr>
      <w:divsChild>
        <w:div w:id="1170295705">
          <w:marLeft w:val="547"/>
          <w:marRight w:val="0"/>
          <w:marTop w:val="0"/>
          <w:marBottom w:val="0"/>
          <w:divBdr>
            <w:top w:val="none" w:sz="0" w:space="0" w:color="auto"/>
            <w:left w:val="none" w:sz="0" w:space="0" w:color="auto"/>
            <w:bottom w:val="none" w:sz="0" w:space="0" w:color="auto"/>
            <w:right w:val="none" w:sz="0" w:space="0" w:color="auto"/>
          </w:divBdr>
        </w:div>
      </w:divsChild>
    </w:div>
    <w:div w:id="1353605530">
      <w:bodyDiv w:val="1"/>
      <w:marLeft w:val="0"/>
      <w:marRight w:val="0"/>
      <w:marTop w:val="0"/>
      <w:marBottom w:val="0"/>
      <w:divBdr>
        <w:top w:val="none" w:sz="0" w:space="0" w:color="auto"/>
        <w:left w:val="none" w:sz="0" w:space="0" w:color="auto"/>
        <w:bottom w:val="none" w:sz="0" w:space="0" w:color="auto"/>
        <w:right w:val="none" w:sz="0" w:space="0" w:color="auto"/>
      </w:divBdr>
    </w:div>
    <w:div w:id="1824659021">
      <w:bodyDiv w:val="1"/>
      <w:marLeft w:val="0"/>
      <w:marRight w:val="0"/>
      <w:marTop w:val="0"/>
      <w:marBottom w:val="0"/>
      <w:divBdr>
        <w:top w:val="none" w:sz="0" w:space="0" w:color="auto"/>
        <w:left w:val="none" w:sz="0" w:space="0" w:color="auto"/>
        <w:bottom w:val="none" w:sz="0" w:space="0" w:color="auto"/>
        <w:right w:val="none" w:sz="0" w:space="0" w:color="auto"/>
      </w:divBdr>
      <w:divsChild>
        <w:div w:id="591355327">
          <w:marLeft w:val="547"/>
          <w:marRight w:val="0"/>
          <w:marTop w:val="0"/>
          <w:marBottom w:val="0"/>
          <w:divBdr>
            <w:top w:val="none" w:sz="0" w:space="0" w:color="auto"/>
            <w:left w:val="none" w:sz="0" w:space="0" w:color="auto"/>
            <w:bottom w:val="none" w:sz="0" w:space="0" w:color="auto"/>
            <w:right w:val="none" w:sz="0" w:space="0" w:color="auto"/>
          </w:divBdr>
        </w:div>
        <w:div w:id="1155561366">
          <w:marLeft w:val="547"/>
          <w:marRight w:val="0"/>
          <w:marTop w:val="0"/>
          <w:marBottom w:val="0"/>
          <w:divBdr>
            <w:top w:val="none" w:sz="0" w:space="0" w:color="auto"/>
            <w:left w:val="none" w:sz="0" w:space="0" w:color="auto"/>
            <w:bottom w:val="none" w:sz="0" w:space="0" w:color="auto"/>
            <w:right w:val="none" w:sz="0" w:space="0" w:color="auto"/>
          </w:divBdr>
        </w:div>
      </w:divsChild>
    </w:div>
    <w:div w:id="1889300571">
      <w:bodyDiv w:val="1"/>
      <w:marLeft w:val="0"/>
      <w:marRight w:val="0"/>
      <w:marTop w:val="0"/>
      <w:marBottom w:val="0"/>
      <w:divBdr>
        <w:top w:val="none" w:sz="0" w:space="0" w:color="auto"/>
        <w:left w:val="none" w:sz="0" w:space="0" w:color="auto"/>
        <w:bottom w:val="none" w:sz="0" w:space="0" w:color="auto"/>
        <w:right w:val="none" w:sz="0" w:space="0" w:color="auto"/>
      </w:divBdr>
      <w:divsChild>
        <w:div w:id="582299367">
          <w:marLeft w:val="547"/>
          <w:marRight w:val="0"/>
          <w:marTop w:val="0"/>
          <w:marBottom w:val="0"/>
          <w:divBdr>
            <w:top w:val="none" w:sz="0" w:space="0" w:color="auto"/>
            <w:left w:val="none" w:sz="0" w:space="0" w:color="auto"/>
            <w:bottom w:val="none" w:sz="0" w:space="0" w:color="auto"/>
            <w:right w:val="none" w:sz="0" w:space="0" w:color="auto"/>
          </w:divBdr>
        </w:div>
      </w:divsChild>
    </w:div>
    <w:div w:id="2009559431">
      <w:bodyDiv w:val="1"/>
      <w:marLeft w:val="0"/>
      <w:marRight w:val="0"/>
      <w:marTop w:val="0"/>
      <w:marBottom w:val="0"/>
      <w:divBdr>
        <w:top w:val="none" w:sz="0" w:space="0" w:color="auto"/>
        <w:left w:val="none" w:sz="0" w:space="0" w:color="auto"/>
        <w:bottom w:val="none" w:sz="0" w:space="0" w:color="auto"/>
        <w:right w:val="none" w:sz="0" w:space="0" w:color="auto"/>
      </w:divBdr>
    </w:div>
    <w:div w:id="2062248191">
      <w:bodyDiv w:val="1"/>
      <w:marLeft w:val="0"/>
      <w:marRight w:val="0"/>
      <w:marTop w:val="0"/>
      <w:marBottom w:val="0"/>
      <w:divBdr>
        <w:top w:val="none" w:sz="0" w:space="0" w:color="auto"/>
        <w:left w:val="none" w:sz="0" w:space="0" w:color="auto"/>
        <w:bottom w:val="none" w:sz="0" w:space="0" w:color="auto"/>
        <w:right w:val="none" w:sz="0" w:space="0" w:color="auto"/>
      </w:divBdr>
      <w:divsChild>
        <w:div w:id="368838826">
          <w:marLeft w:val="547"/>
          <w:marRight w:val="0"/>
          <w:marTop w:val="0"/>
          <w:marBottom w:val="0"/>
          <w:divBdr>
            <w:top w:val="none" w:sz="0" w:space="0" w:color="auto"/>
            <w:left w:val="none" w:sz="0" w:space="0" w:color="auto"/>
            <w:bottom w:val="none" w:sz="0" w:space="0" w:color="auto"/>
            <w:right w:val="none" w:sz="0" w:space="0" w:color="auto"/>
          </w:divBdr>
        </w:div>
      </w:divsChild>
    </w:div>
    <w:div w:id="2108453037">
      <w:bodyDiv w:val="1"/>
      <w:marLeft w:val="0"/>
      <w:marRight w:val="0"/>
      <w:marTop w:val="0"/>
      <w:marBottom w:val="0"/>
      <w:divBdr>
        <w:top w:val="none" w:sz="0" w:space="0" w:color="auto"/>
        <w:left w:val="none" w:sz="0" w:space="0" w:color="auto"/>
        <w:bottom w:val="none" w:sz="0" w:space="0" w:color="auto"/>
        <w:right w:val="none" w:sz="0" w:space="0" w:color="auto"/>
      </w:divBdr>
      <w:divsChild>
        <w:div w:id="1951203718">
          <w:marLeft w:val="547"/>
          <w:marRight w:val="0"/>
          <w:marTop w:val="0"/>
          <w:marBottom w:val="0"/>
          <w:divBdr>
            <w:top w:val="none" w:sz="0" w:space="0" w:color="auto"/>
            <w:left w:val="none" w:sz="0" w:space="0" w:color="auto"/>
            <w:bottom w:val="none" w:sz="0" w:space="0" w:color="auto"/>
            <w:right w:val="none" w:sz="0" w:space="0" w:color="auto"/>
          </w:divBdr>
        </w:div>
      </w:divsChild>
    </w:div>
    <w:div w:id="211702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5.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6.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9.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2.0924944478094096E-2"/>
          <c:y val="3.0610728022583439E-2"/>
          <c:w val="0.95750978917269469"/>
          <c:h val="0.7336296774724631"/>
        </c:manualLayout>
      </c:layout>
      <c:barChart>
        <c:barDir val="col"/>
        <c:grouping val="stacked"/>
        <c:varyColors val="0"/>
        <c:ser>
          <c:idx val="1"/>
          <c:order val="0"/>
          <c:tx>
            <c:strRef>
              <c:f>Sheet1!$A$2</c:f>
              <c:strCache>
                <c:ptCount val="1"/>
                <c:pt idx="0">
                  <c:v>Uncovered</c:v>
                </c:pt>
              </c:strCache>
            </c:strRef>
          </c:tx>
          <c:spPr>
            <a:solidFill>
              <a:srgbClr val="008080"/>
            </a:solidFill>
            <a:ln>
              <a:solidFill>
                <a:srgbClr val="008080"/>
              </a:solidFill>
            </a:ln>
          </c:spPr>
          <c:invertIfNegative val="0"/>
          <c:dPt>
            <c:idx val="4"/>
            <c:invertIfNegative val="0"/>
            <c:bubble3D val="0"/>
            <c:spPr>
              <a:solidFill>
                <a:srgbClr val="FF7415"/>
              </a:solidFill>
              <a:ln>
                <a:solidFill>
                  <a:srgbClr val="FF7415"/>
                </a:solidFill>
              </a:ln>
            </c:spPr>
          </c:dPt>
          <c:dPt>
            <c:idx val="5"/>
            <c:invertIfNegative val="0"/>
            <c:bubble3D val="0"/>
            <c:spPr>
              <a:solidFill>
                <a:srgbClr val="FF7415"/>
              </a:solidFill>
              <a:ln>
                <a:solidFill>
                  <a:srgbClr val="FF7415"/>
                </a:solidFill>
              </a:ln>
            </c:spPr>
          </c:dPt>
          <c:dLbls>
            <c:dLbl>
              <c:idx val="0"/>
              <c:layout>
                <c:manualLayout>
                  <c:x val="-5.0000000000000018E-3"/>
                  <c:y val="-3.6457608496612462E-2"/>
                </c:manualLayout>
              </c:layout>
              <c:tx>
                <c:rich>
                  <a:bodyPr/>
                  <a:lstStyle/>
                  <a:p>
                    <a:r>
                      <a:rPr lang="en-US" sz="600" dirty="0" smtClean="0"/>
                      <a:t>101%</a:t>
                    </a:r>
                    <a:endParaRPr lang="en-US" dirty="0"/>
                  </a:p>
                </c:rich>
              </c:tx>
              <c:dLblPos val="ctr"/>
              <c:showLegendKey val="0"/>
              <c:showVal val="0"/>
              <c:showCatName val="0"/>
              <c:showSerName val="0"/>
              <c:showPercent val="0"/>
              <c:showBubbleSize val="0"/>
              <c:extLst>
                <c:ext xmlns:c15="http://schemas.microsoft.com/office/drawing/2012/chart" uri="{CE6537A1-D6FC-4f65-9D91-7224C49458BB}"/>
              </c:extLst>
            </c:dLbl>
            <c:dLbl>
              <c:idx val="1"/>
              <c:tx>
                <c:rich>
                  <a:bodyPr/>
                  <a:lstStyle/>
                  <a:p>
                    <a:r>
                      <a:rPr lang="en-US" sz="600" dirty="0" smtClean="0"/>
                      <a:t>110%</a:t>
                    </a:r>
                    <a:endParaRPr lang="en-US" dirty="0"/>
                  </a:p>
                </c:rich>
              </c:tx>
              <c:dLblPos val="inEnd"/>
              <c:showLegendKey val="0"/>
              <c:showVal val="0"/>
              <c:showCatName val="0"/>
              <c:showSerName val="0"/>
              <c:showPercent val="0"/>
              <c:showBubbleSize val="0"/>
              <c:extLst>
                <c:ext xmlns:c15="http://schemas.microsoft.com/office/drawing/2012/chart" uri="{CE6537A1-D6FC-4f65-9D91-7224C49458BB}"/>
              </c:extLst>
            </c:dLbl>
            <c:dLbl>
              <c:idx val="2"/>
              <c:tx>
                <c:rich>
                  <a:bodyPr/>
                  <a:lstStyle/>
                  <a:p>
                    <a:r>
                      <a:rPr lang="en-US" sz="600" dirty="0" smtClean="0"/>
                      <a:t>103%</a:t>
                    </a:r>
                    <a:endParaRPr lang="en-US" dirty="0"/>
                  </a:p>
                </c:rich>
              </c:tx>
              <c:dLblPos val="inEnd"/>
              <c:showLegendKey val="0"/>
              <c:showVal val="0"/>
              <c:showCatName val="0"/>
              <c:showSerName val="0"/>
              <c:showPercent val="0"/>
              <c:showBubbleSize val="0"/>
              <c:extLst>
                <c:ext xmlns:c15="http://schemas.microsoft.com/office/drawing/2012/chart" uri="{CE6537A1-D6FC-4f65-9D91-7224C49458BB}"/>
              </c:extLst>
            </c:dLbl>
            <c:dLbl>
              <c:idx val="3"/>
              <c:layout>
                <c:manualLayout>
                  <c:x val="-5.000000000000092E-3"/>
                  <c:y val="-1.3275956784471705E-2"/>
                </c:manualLayout>
              </c:layout>
              <c:tx>
                <c:rich>
                  <a:bodyPr/>
                  <a:lstStyle/>
                  <a:p>
                    <a:r>
                      <a:rPr lang="en-US" sz="600" dirty="0" smtClean="0"/>
                      <a:t>129%</a:t>
                    </a:r>
                    <a:endParaRPr lang="en-US" dirty="0"/>
                  </a:p>
                </c:rich>
              </c:tx>
              <c:dLblPos val="ctr"/>
              <c:showLegendKey val="0"/>
              <c:showVal val="0"/>
              <c:showCatName val="0"/>
              <c:showSerName val="0"/>
              <c:showPercent val="0"/>
              <c:showBubbleSize val="0"/>
              <c:extLst>
                <c:ext xmlns:c15="http://schemas.microsoft.com/office/drawing/2012/chart" uri="{CE6537A1-D6FC-4f65-9D91-7224C49458BB}"/>
              </c:extLst>
            </c:dLbl>
            <c:dLbl>
              <c:idx val="4"/>
              <c:layout>
                <c:manualLayout>
                  <c:x val="0"/>
                  <c:y val="-7.0402964335340434E-3"/>
                </c:manualLayout>
              </c:layout>
              <c:tx>
                <c:rich>
                  <a:bodyPr/>
                  <a:lstStyle/>
                  <a:p>
                    <a:pPr>
                      <a:defRPr lang="el-GR" sz="600" b="1"/>
                    </a:pPr>
                    <a:r>
                      <a:rPr lang="en-US" sz="600" b="1" dirty="0" smtClean="0"/>
                      <a:t>115,2%</a:t>
                    </a:r>
                    <a:endParaRPr lang="en-US" b="1" dirty="0"/>
                  </a:p>
                </c:rich>
              </c:tx>
              <c:numFmt formatCode="0.0%" sourceLinked="0"/>
              <c:spPr>
                <a:solidFill>
                  <a:schemeClr val="bg1"/>
                </a:solidFill>
                <a:ln>
                  <a:solidFill>
                    <a:srgbClr val="FF7415"/>
                  </a:solidFill>
                </a:ln>
              </c:spPr>
              <c:dLblPos val="ctr"/>
              <c:showLegendKey val="0"/>
              <c:showVal val="0"/>
              <c:showCatName val="0"/>
              <c:showSerName val="0"/>
              <c:showPercent val="0"/>
              <c:showBubbleSize val="0"/>
              <c:extLst>
                <c:ext xmlns:c15="http://schemas.microsoft.com/office/drawing/2012/chart" uri="{CE6537A1-D6FC-4f65-9D91-7224C49458BB}"/>
              </c:extLst>
            </c:dLbl>
            <c:dLbl>
              <c:idx val="5"/>
              <c:layout>
                <c:manualLayout>
                  <c:x val="0"/>
                  <c:y val="-2.2027444144695203E-3"/>
                </c:manualLayout>
              </c:layout>
              <c:tx>
                <c:rich>
                  <a:bodyPr wrap="square" lIns="38100" tIns="19050" rIns="38100" bIns="19050" anchor="ctr">
                    <a:spAutoFit/>
                  </a:bodyPr>
                  <a:lstStyle/>
                  <a:p>
                    <a:pPr>
                      <a:defRPr lang="el-GR" sz="600" b="1"/>
                    </a:pPr>
                    <a:r>
                      <a:rPr lang="en-US" sz="600" dirty="0" smtClean="0"/>
                      <a:t>114,3%</a:t>
                    </a:r>
                    <a:endParaRPr lang="en-US" dirty="0"/>
                  </a:p>
                </c:rich>
              </c:tx>
              <c:numFmt formatCode="0.0%" sourceLinked="0"/>
              <c:spPr>
                <a:solidFill>
                  <a:srgbClr val="FFFFFF"/>
                </a:solidFill>
                <a:ln>
                  <a:solidFill>
                    <a:srgbClr val="FF7415"/>
                  </a:solidFill>
                </a:ln>
                <a:effectLst/>
              </c:spPr>
              <c:dLblPos val="ctr"/>
              <c:showLegendKey val="0"/>
              <c:showVal val="1"/>
              <c:showCatName val="0"/>
              <c:showSerName val="0"/>
              <c:showPercent val="0"/>
              <c:showBubbleSize val="0"/>
              <c:extLst>
                <c:ext xmlns:c15="http://schemas.microsoft.com/office/drawing/2012/chart" uri="{CE6537A1-D6FC-4f65-9D91-7224C49458BB}"/>
              </c:extLst>
            </c:dLbl>
            <c:dLbl>
              <c:idx val="6"/>
              <c:tx>
                <c:rich>
                  <a:bodyPr/>
                  <a:lstStyle/>
                  <a:p>
                    <a:pPr>
                      <a:defRPr lang="el-GR" sz="600" b="1"/>
                    </a:pPr>
                    <a:r>
                      <a:rPr lang="en-US" sz="600" b="1" dirty="0" smtClean="0"/>
                      <a:t>53%</a:t>
                    </a:r>
                    <a:endParaRPr lang="en-US" b="1" dirty="0"/>
                  </a:p>
                </c:rich>
              </c:tx>
              <c:numFmt formatCode="0.0%" sourceLinked="0"/>
              <c:spPr>
                <a:solidFill>
                  <a:schemeClr val="bg1"/>
                </a:solidFill>
                <a:ln>
                  <a:solidFill>
                    <a:srgbClr val="008080"/>
                  </a:solidFill>
                </a:ln>
              </c:spPr>
              <c:dLblPos val="inEnd"/>
              <c:showLegendKey val="0"/>
              <c:showVal val="1"/>
              <c:showCatName val="0"/>
              <c:showSerName val="0"/>
              <c:showPercent val="0"/>
              <c:showBubbleSize val="0"/>
              <c:extLst>
                <c:ext xmlns:c15="http://schemas.microsoft.com/office/drawing/2012/chart" uri="{CE6537A1-D6FC-4f65-9D91-7224C49458BB}"/>
              </c:extLst>
            </c:dLbl>
            <c:numFmt formatCode="0.0%" sourceLinked="0"/>
            <c:spPr>
              <a:solidFill>
                <a:schemeClr val="bg1"/>
              </a:solidFill>
              <a:ln>
                <a:solidFill>
                  <a:srgbClr val="008080"/>
                </a:solidFill>
              </a:ln>
            </c:spPr>
            <c:txPr>
              <a:bodyPr/>
              <a:lstStyle/>
              <a:p>
                <a:pPr>
                  <a:defRPr lang="el-GR" sz="600"/>
                </a:pPr>
                <a:endParaRPr lang="el-G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Sheet1!$B$2:$G$2</c:f>
              <c:numCache>
                <c:formatCode>0.0%</c:formatCode>
                <c:ptCount val="6"/>
                <c:pt idx="0">
                  <c:v>6.4737562129625198E-2</c:v>
                </c:pt>
                <c:pt idx="1">
                  <c:v>0.1822992218256233</c:v>
                </c:pt>
                <c:pt idx="2">
                  <c:v>0.25030022070041902</c:v>
                </c:pt>
                <c:pt idx="3">
                  <c:v>7.2357086755688013E-2</c:v>
                </c:pt>
                <c:pt idx="4">
                  <c:v>8.4942021423594666E-2</c:v>
                </c:pt>
                <c:pt idx="5">
                  <c:v>8.4146237989069658E-2</c:v>
                </c:pt>
              </c:numCache>
            </c:numRef>
          </c:val>
        </c:ser>
        <c:ser>
          <c:idx val="0"/>
          <c:order val="1"/>
          <c:tx>
            <c:strRef>
              <c:f>Sheet1!$A$3</c:f>
              <c:strCache>
                <c:ptCount val="1"/>
                <c:pt idx="0">
                  <c:v>Covered</c:v>
                </c:pt>
              </c:strCache>
            </c:strRef>
          </c:tx>
          <c:spPr>
            <a:noFill/>
            <a:ln>
              <a:solidFill>
                <a:srgbClr val="008080"/>
              </a:solidFill>
            </a:ln>
          </c:spPr>
          <c:invertIfNegative val="0"/>
          <c:dPt>
            <c:idx val="4"/>
            <c:invertIfNegative val="0"/>
            <c:bubble3D val="0"/>
            <c:spPr>
              <a:noFill/>
              <a:ln>
                <a:solidFill>
                  <a:srgbClr val="FF7415"/>
                </a:solidFill>
              </a:ln>
            </c:spPr>
          </c:dPt>
          <c:dPt>
            <c:idx val="5"/>
            <c:invertIfNegative val="0"/>
            <c:bubble3D val="0"/>
            <c:spPr>
              <a:noFill/>
              <a:ln>
                <a:solidFill>
                  <a:srgbClr val="FF7415"/>
                </a:solidFill>
              </a:ln>
            </c:spPr>
          </c:dPt>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Sheet1!$B$3:$G$3</c:f>
              <c:numCache>
                <c:formatCode>0.0%</c:formatCode>
                <c:ptCount val="6"/>
                <c:pt idx="0">
                  <c:v>-4.7548816719317211E-4</c:v>
                </c:pt>
                <c:pt idx="1">
                  <c:v>-1.7321983700777477E-2</c:v>
                </c:pt>
                <c:pt idx="2">
                  <c:v>-6.7511486442972113E-3</c:v>
                </c:pt>
                <c:pt idx="3">
                  <c:v>-1.6070384506585725E-2</c:v>
                </c:pt>
                <c:pt idx="4">
                  <c:v>-1.1216468965000392E-2</c:v>
                </c:pt>
                <c:pt idx="5">
                  <c:v>-1.0537335294870637E-2</c:v>
                </c:pt>
              </c:numCache>
            </c:numRef>
          </c:val>
        </c:ser>
        <c:ser>
          <c:idx val="2"/>
          <c:order val="2"/>
          <c:tx>
            <c:strRef>
              <c:f>Sheet1!$A$4</c:f>
              <c:strCache>
                <c:ptCount val="1"/>
                <c:pt idx="0">
                  <c:v>NPLs</c:v>
                </c:pt>
              </c:strCache>
            </c:strRef>
          </c:tx>
          <c:spPr>
            <a:noFill/>
          </c:spPr>
          <c:invertIfNegative val="0"/>
          <c:dLbls>
            <c:dLbl>
              <c:idx val="1"/>
              <c:numFmt formatCode="0%" sourceLinked="0"/>
              <c:spPr/>
              <c:txPr>
                <a:bodyPr/>
                <a:lstStyle/>
                <a:p>
                  <a:pPr>
                    <a:defRPr lang="el-GR" sz="600">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dLbl>
            <c:dLbl>
              <c:idx val="4"/>
              <c:tx>
                <c:rich>
                  <a:bodyPr/>
                  <a:lstStyle/>
                  <a:p>
                    <a:pPr>
                      <a:defRPr lang="el-GR" sz="600" b="1">
                        <a:latin typeface="Segoe UI" pitchFamily="34" charset="0"/>
                        <a:ea typeface="Segoe UI" pitchFamily="34" charset="0"/>
                        <a:cs typeface="Segoe UI" pitchFamily="34" charset="0"/>
                      </a:defRPr>
                    </a:pPr>
                    <a:r>
                      <a:rPr lang="en-US"/>
                      <a:t>7,4%</a:t>
                    </a:r>
                    <a:endParaRPr lang="en-US" baseline="30000"/>
                  </a:p>
                </c:rich>
              </c:tx>
              <c:numFmt formatCode="0.0%" sourceLinked="0"/>
              <c:spPr/>
              <c:dLblPos val="inBase"/>
              <c:showLegendKey val="0"/>
              <c:showVal val="1"/>
              <c:showCatName val="0"/>
              <c:showSerName val="0"/>
              <c:showPercent val="0"/>
              <c:showBubbleSize val="0"/>
              <c:extLst>
                <c:ext xmlns:c15="http://schemas.microsoft.com/office/drawing/2012/chart" uri="{CE6537A1-D6FC-4f65-9D91-7224C49458BB}"/>
              </c:extLst>
            </c:dLbl>
            <c:dLbl>
              <c:idx val="5"/>
              <c:tx>
                <c:rich>
                  <a:bodyPr/>
                  <a:lstStyle/>
                  <a:p>
                    <a:pPr>
                      <a:defRPr lang="el-GR" sz="600" b="1">
                        <a:latin typeface="Segoe UI" pitchFamily="34" charset="0"/>
                        <a:ea typeface="Segoe UI" pitchFamily="34" charset="0"/>
                        <a:cs typeface="Segoe UI" pitchFamily="34" charset="0"/>
                      </a:defRPr>
                    </a:pPr>
                    <a:r>
                      <a:rPr lang="en-US"/>
                      <a:t>7,4%</a:t>
                    </a:r>
                    <a:endParaRPr lang="en-US" baseline="30000"/>
                  </a:p>
                </c:rich>
              </c:tx>
              <c:numFmt formatCode="0.0%" sourceLinked="0"/>
              <c:spPr>
                <a:noFill/>
                <a:ln>
                  <a:noFill/>
                </a:ln>
                <a:effectLst/>
              </c:spPr>
              <c:dLblPos val="inBase"/>
              <c:showLegendKey val="0"/>
              <c:showVal val="1"/>
              <c:showCatName val="0"/>
              <c:showSerName val="0"/>
              <c:showPercent val="0"/>
              <c:showBubbleSize val="0"/>
              <c:extLst>
                <c:ext xmlns:c15="http://schemas.microsoft.com/office/drawing/2012/chart" uri="{CE6537A1-D6FC-4f65-9D91-7224C49458BB}"/>
              </c:extLst>
            </c:dLbl>
            <c:dLbl>
              <c:idx val="6"/>
              <c:numFmt formatCode="0%" sourceLinked="0"/>
              <c:spPr>
                <a:noFill/>
                <a:ln>
                  <a:noFill/>
                </a:ln>
                <a:effectLst/>
              </c:spPr>
              <c:txPr>
                <a:bodyPr/>
                <a:lstStyle/>
                <a:p>
                  <a:pPr>
                    <a:defRPr lang="el-GR" sz="600" b="1">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dLbl>
            <c:numFmt formatCode="0%" sourceLinked="0"/>
            <c:spPr>
              <a:noFill/>
              <a:ln>
                <a:noFill/>
              </a:ln>
              <a:effectLst/>
            </c:spPr>
            <c:txPr>
              <a:bodyPr/>
              <a:lstStyle/>
              <a:p>
                <a:pPr>
                  <a:defRPr lang="el-GR" sz="600">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Sheet1!$B$4:$G$4</c:f>
              <c:numCache>
                <c:formatCode>0.0%</c:formatCode>
                <c:ptCount val="6"/>
                <c:pt idx="0">
                  <c:v>6.4262073962432026E-2</c:v>
                </c:pt>
                <c:pt idx="1">
                  <c:v>0.16497723812484583</c:v>
                </c:pt>
                <c:pt idx="2">
                  <c:v>0.24354907205612181</c:v>
                </c:pt>
                <c:pt idx="3">
                  <c:v>5.6286702249102288E-2</c:v>
                </c:pt>
                <c:pt idx="4">
                  <c:v>7.3725552458594273E-2</c:v>
                </c:pt>
                <c:pt idx="5">
                  <c:v>7.3608902694199022E-2</c:v>
                </c:pt>
              </c:numCache>
            </c:numRef>
          </c:val>
        </c:ser>
        <c:dLbls>
          <c:showLegendKey val="0"/>
          <c:showVal val="0"/>
          <c:showCatName val="0"/>
          <c:showSerName val="0"/>
          <c:showPercent val="0"/>
          <c:showBubbleSize val="0"/>
        </c:dLbls>
        <c:gapWidth val="500"/>
        <c:overlap val="100"/>
        <c:axId val="373829584"/>
        <c:axId val="373830144"/>
      </c:barChart>
      <c:catAx>
        <c:axId val="373829584"/>
        <c:scaling>
          <c:orientation val="minMax"/>
        </c:scaling>
        <c:delete val="0"/>
        <c:axPos val="b"/>
        <c:numFmt formatCode="General" sourceLinked="1"/>
        <c:majorTickMark val="none"/>
        <c:minorTickMark val="none"/>
        <c:tickLblPos val="nextTo"/>
        <c:spPr>
          <a:ln>
            <a:solidFill>
              <a:schemeClr val="bg1">
                <a:lumMod val="75000"/>
              </a:schemeClr>
            </a:solidFill>
          </a:ln>
        </c:spPr>
        <c:txPr>
          <a:bodyPr/>
          <a:lstStyle/>
          <a:p>
            <a:pPr>
              <a:defRPr lang="el-GR" sz="500"/>
            </a:pPr>
            <a:endParaRPr lang="el-GR"/>
          </a:p>
        </c:txPr>
        <c:crossAx val="373830144"/>
        <c:crosses val="autoZero"/>
        <c:auto val="1"/>
        <c:lblAlgn val="ctr"/>
        <c:lblOffset val="100"/>
        <c:noMultiLvlLbl val="0"/>
      </c:catAx>
      <c:valAx>
        <c:axId val="373830144"/>
        <c:scaling>
          <c:orientation val="minMax"/>
          <c:max val="0.4"/>
          <c:min val="0"/>
        </c:scaling>
        <c:delete val="1"/>
        <c:axPos val="l"/>
        <c:numFmt formatCode="0.0%" sourceLinked="1"/>
        <c:majorTickMark val="out"/>
        <c:minorTickMark val="none"/>
        <c:tickLblPos val="nextTo"/>
        <c:crossAx val="373829584"/>
        <c:crosses val="autoZero"/>
        <c:crossBetween val="between"/>
        <c:majorUnit val="2"/>
        <c:minorUnit val="2"/>
      </c:valAx>
      <c:spPr>
        <a:noFill/>
        <a:ln w="25400">
          <a:noFill/>
        </a:ln>
      </c:spPr>
    </c:plotArea>
    <c:plotVisOnly val="1"/>
    <c:dispBlanksAs val="gap"/>
    <c:showDLblsOverMax val="0"/>
  </c:chart>
  <c:spPr>
    <a:ln>
      <a:solidFill>
        <a:sysClr val="window" lastClr="FFFFFF">
          <a:lumMod val="75000"/>
        </a:sysClr>
      </a:solidFill>
    </a:ln>
  </c:spPr>
  <c:txPr>
    <a:bodyPr/>
    <a:lstStyle/>
    <a:p>
      <a:pPr>
        <a:defRPr sz="1797"/>
      </a:pPr>
      <a:endParaRPr lang="el-G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2.0924944478094096E-2"/>
          <c:y val="3.0610728022583439E-2"/>
          <c:w val="0.9640196799265135"/>
          <c:h val="0.7251075313091897"/>
        </c:manualLayout>
      </c:layout>
      <c:barChart>
        <c:barDir val="col"/>
        <c:grouping val="stacked"/>
        <c:varyColors val="0"/>
        <c:ser>
          <c:idx val="1"/>
          <c:order val="0"/>
          <c:tx>
            <c:strRef>
              <c:f>Sheet1!$A$2</c:f>
              <c:strCache>
                <c:ptCount val="1"/>
                <c:pt idx="0">
                  <c:v>Uncovered</c:v>
                </c:pt>
              </c:strCache>
            </c:strRef>
          </c:tx>
          <c:spPr>
            <a:solidFill>
              <a:srgbClr val="008080"/>
            </a:solidFill>
            <a:ln>
              <a:solidFill>
                <a:srgbClr val="008080"/>
              </a:solidFill>
            </a:ln>
          </c:spPr>
          <c:invertIfNegative val="0"/>
          <c:dPt>
            <c:idx val="4"/>
            <c:invertIfNegative val="0"/>
            <c:bubble3D val="0"/>
            <c:spPr>
              <a:solidFill>
                <a:srgbClr val="FF7415"/>
              </a:solidFill>
              <a:ln>
                <a:solidFill>
                  <a:srgbClr val="FF7415"/>
                </a:solidFill>
              </a:ln>
            </c:spPr>
          </c:dPt>
          <c:dPt>
            <c:idx val="5"/>
            <c:invertIfNegative val="0"/>
            <c:bubble3D val="0"/>
            <c:spPr>
              <a:solidFill>
                <a:srgbClr val="FF7415"/>
              </a:solidFill>
              <a:ln>
                <a:solidFill>
                  <a:srgbClr val="FF7415"/>
                </a:solidFill>
              </a:ln>
            </c:spPr>
          </c:dPt>
          <c:dLbls>
            <c:dLbl>
              <c:idx val="0"/>
              <c:layout>
                <c:manualLayout>
                  <c:x val="-5.0000000000000018E-3"/>
                  <c:y val="-3.6457608496612462E-2"/>
                </c:manualLayout>
              </c:layout>
              <c:tx>
                <c:rich>
                  <a:bodyPr/>
                  <a:lstStyle/>
                  <a:p>
                    <a:r>
                      <a:rPr lang="en-US" sz="600" dirty="0" smtClean="0"/>
                      <a:t>45%</a:t>
                    </a:r>
                    <a:endParaRPr lang="en-US" dirty="0"/>
                  </a:p>
                </c:rich>
              </c:tx>
              <c:dLblPos val="ctr"/>
              <c:showLegendKey val="0"/>
              <c:showVal val="0"/>
              <c:showCatName val="0"/>
              <c:showSerName val="0"/>
              <c:showPercent val="0"/>
              <c:showBubbleSize val="0"/>
              <c:extLst>
                <c:ext xmlns:c15="http://schemas.microsoft.com/office/drawing/2012/chart" uri="{CE6537A1-D6FC-4f65-9D91-7224C49458BB}"/>
              </c:extLst>
            </c:dLbl>
            <c:dLbl>
              <c:idx val="1"/>
              <c:tx>
                <c:rich>
                  <a:bodyPr/>
                  <a:lstStyle/>
                  <a:p>
                    <a:r>
                      <a:rPr lang="en-US" sz="600" dirty="0" smtClean="0"/>
                      <a:t>89%</a:t>
                    </a:r>
                    <a:endParaRPr lang="en-US" dirty="0"/>
                  </a:p>
                </c:rich>
              </c:tx>
              <c:dLblPos val="inEnd"/>
              <c:showLegendKey val="0"/>
              <c:showVal val="0"/>
              <c:showCatName val="0"/>
              <c:showSerName val="0"/>
              <c:showPercent val="0"/>
              <c:showBubbleSize val="0"/>
              <c:extLst>
                <c:ext xmlns:c15="http://schemas.microsoft.com/office/drawing/2012/chart" uri="{CE6537A1-D6FC-4f65-9D91-7224C49458BB}"/>
              </c:extLst>
            </c:dLbl>
            <c:dLbl>
              <c:idx val="2"/>
              <c:tx>
                <c:rich>
                  <a:bodyPr/>
                  <a:lstStyle/>
                  <a:p>
                    <a:r>
                      <a:rPr lang="en-US" sz="600" dirty="0" smtClean="0"/>
                      <a:t>85%</a:t>
                    </a:r>
                    <a:endParaRPr lang="en-US" dirty="0"/>
                  </a:p>
                </c:rich>
              </c:tx>
              <c:dLblPos val="inEnd"/>
              <c:showLegendKey val="0"/>
              <c:showVal val="0"/>
              <c:showCatName val="0"/>
              <c:showSerName val="0"/>
              <c:showPercent val="0"/>
              <c:showBubbleSize val="0"/>
              <c:extLst>
                <c:ext xmlns:c15="http://schemas.microsoft.com/office/drawing/2012/chart" uri="{CE6537A1-D6FC-4f65-9D91-7224C49458BB}"/>
              </c:extLst>
            </c:dLbl>
            <c:dLbl>
              <c:idx val="3"/>
              <c:layout>
                <c:manualLayout>
                  <c:x val="-5.000000000000092E-3"/>
                  <c:y val="-1.3275956784471705E-2"/>
                </c:manualLayout>
              </c:layout>
              <c:tx>
                <c:rich>
                  <a:bodyPr/>
                  <a:lstStyle/>
                  <a:p>
                    <a:r>
                      <a:rPr lang="en-US" sz="600" dirty="0" smtClean="0"/>
                      <a:t>72%</a:t>
                    </a:r>
                    <a:endParaRPr lang="en-US" dirty="0"/>
                  </a:p>
                </c:rich>
              </c:tx>
              <c:dLblPos val="ctr"/>
              <c:showLegendKey val="0"/>
              <c:showVal val="0"/>
              <c:showCatName val="0"/>
              <c:showSerName val="0"/>
              <c:showPercent val="0"/>
              <c:showBubbleSize val="0"/>
              <c:extLst>
                <c:ext xmlns:c15="http://schemas.microsoft.com/office/drawing/2012/chart" uri="{CE6537A1-D6FC-4f65-9D91-7224C49458BB}"/>
              </c:extLst>
            </c:dLbl>
            <c:dLbl>
              <c:idx val="4"/>
              <c:layout>
                <c:manualLayout>
                  <c:x val="0"/>
                  <c:y val="-7.0402964335340434E-3"/>
                </c:manualLayout>
              </c:layout>
              <c:tx>
                <c:rich>
                  <a:bodyPr/>
                  <a:lstStyle/>
                  <a:p>
                    <a:pPr>
                      <a:defRPr lang="el-GR" sz="600" b="1"/>
                    </a:pPr>
                    <a:r>
                      <a:rPr lang="en-US" sz="600" b="1" dirty="0" smtClean="0"/>
                      <a:t>66,4%</a:t>
                    </a:r>
                    <a:endParaRPr lang="en-US" b="1" dirty="0"/>
                  </a:p>
                </c:rich>
              </c:tx>
              <c:numFmt formatCode="0.0%" sourceLinked="0"/>
              <c:spPr>
                <a:solidFill>
                  <a:schemeClr val="bg1"/>
                </a:solidFill>
                <a:ln>
                  <a:solidFill>
                    <a:srgbClr val="FF7415"/>
                  </a:solidFill>
                </a:ln>
              </c:spPr>
              <c:dLblPos val="ctr"/>
              <c:showLegendKey val="0"/>
              <c:showVal val="0"/>
              <c:showCatName val="0"/>
              <c:showSerName val="0"/>
              <c:showPercent val="0"/>
              <c:showBubbleSize val="0"/>
              <c:extLst>
                <c:ext xmlns:c15="http://schemas.microsoft.com/office/drawing/2012/chart" uri="{CE6537A1-D6FC-4f65-9D91-7224C49458BB}"/>
              </c:extLst>
            </c:dLbl>
            <c:dLbl>
              <c:idx val="5"/>
              <c:layout>
                <c:manualLayout>
                  <c:x val="0"/>
                  <c:y val="-1.118343592771604E-2"/>
                </c:manualLayout>
              </c:layout>
              <c:tx>
                <c:rich>
                  <a:bodyPr wrap="square" lIns="38100" tIns="19050" rIns="38100" bIns="19050" anchor="ctr">
                    <a:spAutoFit/>
                  </a:bodyPr>
                  <a:lstStyle/>
                  <a:p>
                    <a:pPr>
                      <a:defRPr lang="el-GR" sz="600" b="1"/>
                    </a:pPr>
                    <a:r>
                      <a:rPr lang="en-US" sz="600" dirty="0" smtClean="0"/>
                      <a:t>66,8%</a:t>
                    </a:r>
                    <a:endParaRPr lang="en-US" dirty="0"/>
                  </a:p>
                </c:rich>
              </c:tx>
              <c:numFmt formatCode="0.0%" sourceLinked="0"/>
              <c:spPr>
                <a:solidFill>
                  <a:srgbClr val="FFFFFF"/>
                </a:solidFill>
                <a:ln>
                  <a:solidFill>
                    <a:srgbClr val="FF7415"/>
                  </a:solidFill>
                </a:ln>
                <a:effectLst/>
              </c:spPr>
              <c:dLblPos val="ctr"/>
              <c:showLegendKey val="0"/>
              <c:showVal val="1"/>
              <c:showCatName val="0"/>
              <c:showSerName val="0"/>
              <c:showPercent val="0"/>
              <c:showBubbleSize val="0"/>
              <c:extLst>
                <c:ext xmlns:c15="http://schemas.microsoft.com/office/drawing/2012/chart" uri="{CE6537A1-D6FC-4f65-9D91-7224C49458BB}"/>
              </c:extLst>
            </c:dLbl>
            <c:dLbl>
              <c:idx val="6"/>
              <c:tx>
                <c:rich>
                  <a:bodyPr/>
                  <a:lstStyle/>
                  <a:p>
                    <a:pPr>
                      <a:defRPr lang="el-GR" sz="600" b="1"/>
                    </a:pPr>
                    <a:r>
                      <a:rPr lang="en-US" sz="600" b="1" dirty="0" smtClean="0"/>
                      <a:t>53%</a:t>
                    </a:r>
                    <a:endParaRPr lang="en-US" b="1" dirty="0"/>
                  </a:p>
                </c:rich>
              </c:tx>
              <c:numFmt formatCode="0.0%" sourceLinked="0"/>
              <c:spPr>
                <a:solidFill>
                  <a:schemeClr val="bg1"/>
                </a:solidFill>
                <a:ln>
                  <a:solidFill>
                    <a:srgbClr val="008080"/>
                  </a:solidFill>
                </a:ln>
              </c:spPr>
              <c:dLblPos val="inEnd"/>
              <c:showLegendKey val="0"/>
              <c:showVal val="1"/>
              <c:showCatName val="0"/>
              <c:showSerName val="0"/>
              <c:showPercent val="0"/>
              <c:showBubbleSize val="0"/>
              <c:extLst>
                <c:ext xmlns:c15="http://schemas.microsoft.com/office/drawing/2012/chart" uri="{CE6537A1-D6FC-4f65-9D91-7224C49458BB}"/>
              </c:extLst>
            </c:dLbl>
            <c:numFmt formatCode="0.0%" sourceLinked="0"/>
            <c:spPr>
              <a:solidFill>
                <a:schemeClr val="bg1"/>
              </a:solidFill>
              <a:ln>
                <a:solidFill>
                  <a:srgbClr val="008080"/>
                </a:solidFill>
              </a:ln>
            </c:spPr>
            <c:txPr>
              <a:bodyPr/>
              <a:lstStyle/>
              <a:p>
                <a:pPr>
                  <a:defRPr lang="el-GR" sz="600"/>
                </a:pPr>
                <a:endParaRPr lang="el-G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Sheet1!$B$2:$G$2</c:f>
              <c:numCache>
                <c:formatCode>0.0%</c:formatCode>
                <c:ptCount val="6"/>
                <c:pt idx="0">
                  <c:v>6.4737562129625212E-2</c:v>
                </c:pt>
                <c:pt idx="1">
                  <c:v>0.18229922182562328</c:v>
                </c:pt>
                <c:pt idx="2">
                  <c:v>0.25030022070041902</c:v>
                </c:pt>
                <c:pt idx="3">
                  <c:v>7.2997075217724972E-2</c:v>
                </c:pt>
                <c:pt idx="4">
                  <c:v>8.5331976043314037E-2</c:v>
                </c:pt>
                <c:pt idx="5">
                  <c:v>8.4531439629738067E-2</c:v>
                </c:pt>
              </c:numCache>
            </c:numRef>
          </c:val>
        </c:ser>
        <c:ser>
          <c:idx val="0"/>
          <c:order val="1"/>
          <c:tx>
            <c:strRef>
              <c:f>Sheet1!$A$3</c:f>
              <c:strCache>
                <c:ptCount val="1"/>
                <c:pt idx="0">
                  <c:v>Covered</c:v>
                </c:pt>
              </c:strCache>
            </c:strRef>
          </c:tx>
          <c:spPr>
            <a:noFill/>
            <a:ln>
              <a:solidFill>
                <a:srgbClr val="008080"/>
              </a:solidFill>
            </a:ln>
          </c:spPr>
          <c:invertIfNegative val="0"/>
          <c:dPt>
            <c:idx val="4"/>
            <c:invertIfNegative val="0"/>
            <c:bubble3D val="0"/>
            <c:spPr>
              <a:noFill/>
              <a:ln>
                <a:solidFill>
                  <a:srgbClr val="FF7415"/>
                </a:solidFill>
              </a:ln>
            </c:spPr>
          </c:dPt>
          <c:dPt>
            <c:idx val="5"/>
            <c:invertIfNegative val="0"/>
            <c:bubble3D val="0"/>
            <c:spPr>
              <a:noFill/>
              <a:ln>
                <a:solidFill>
                  <a:srgbClr val="FF7415"/>
                </a:solidFill>
              </a:ln>
            </c:spPr>
          </c:dPt>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Sheet1!$B$3:$G$3</c:f>
              <c:numCache>
                <c:formatCode>0.0%</c:formatCode>
                <c:ptCount val="6"/>
                <c:pt idx="0">
                  <c:v>7.8905354922180163E-2</c:v>
                </c:pt>
                <c:pt idx="1">
                  <c:v>2.333189167472205E-2</c:v>
                </c:pt>
                <c:pt idx="2">
                  <c:v>4.3342812904903216E-2</c:v>
                </c:pt>
                <c:pt idx="3">
                  <c:v>2.8449766256254977E-2</c:v>
                </c:pt>
                <c:pt idx="4">
                  <c:v>4.3109515203261298E-2</c:v>
                </c:pt>
                <c:pt idx="5">
                  <c:v>4.2004394090600791E-2</c:v>
                </c:pt>
              </c:numCache>
            </c:numRef>
          </c:val>
        </c:ser>
        <c:ser>
          <c:idx val="2"/>
          <c:order val="2"/>
          <c:tx>
            <c:strRef>
              <c:f>Sheet1!$A$4</c:f>
              <c:strCache>
                <c:ptCount val="1"/>
                <c:pt idx="0">
                  <c:v>NPEs</c:v>
                </c:pt>
              </c:strCache>
            </c:strRef>
          </c:tx>
          <c:spPr>
            <a:noFill/>
          </c:spPr>
          <c:invertIfNegative val="0"/>
          <c:dLbls>
            <c:dLbl>
              <c:idx val="1"/>
              <c:numFmt formatCode="0%" sourceLinked="0"/>
              <c:spPr/>
              <c:txPr>
                <a:bodyPr/>
                <a:lstStyle/>
                <a:p>
                  <a:pPr>
                    <a:defRPr lang="el-GR" sz="600">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dLbl>
            <c:dLbl>
              <c:idx val="4"/>
              <c:tx>
                <c:rich>
                  <a:bodyPr/>
                  <a:lstStyle/>
                  <a:p>
                    <a:pPr>
                      <a:defRPr lang="el-GR" sz="600" b="1">
                        <a:latin typeface="Segoe UI" pitchFamily="34" charset="0"/>
                        <a:ea typeface="Segoe UI" pitchFamily="34" charset="0"/>
                        <a:cs typeface="Segoe UI" pitchFamily="34" charset="0"/>
                      </a:defRPr>
                    </a:pPr>
                    <a:r>
                      <a:rPr lang="en-US"/>
                      <a:t>12,8%</a:t>
                    </a:r>
                    <a:endParaRPr lang="en-US" baseline="30000"/>
                  </a:p>
                </c:rich>
              </c:tx>
              <c:numFmt formatCode="0.0%" sourceLinked="0"/>
              <c:spPr/>
              <c:dLblPos val="inBase"/>
              <c:showLegendKey val="0"/>
              <c:showVal val="1"/>
              <c:showCatName val="0"/>
              <c:showSerName val="0"/>
              <c:showPercent val="0"/>
              <c:showBubbleSize val="0"/>
              <c:extLst>
                <c:ext xmlns:c15="http://schemas.microsoft.com/office/drawing/2012/chart" uri="{CE6537A1-D6FC-4f65-9D91-7224C49458BB}"/>
              </c:extLst>
            </c:dLbl>
            <c:dLbl>
              <c:idx val="5"/>
              <c:tx>
                <c:rich>
                  <a:bodyPr/>
                  <a:lstStyle/>
                  <a:p>
                    <a:pPr>
                      <a:defRPr lang="el-GR" sz="600" b="1">
                        <a:latin typeface="Segoe UI" pitchFamily="34" charset="0"/>
                        <a:ea typeface="Segoe UI" pitchFamily="34" charset="0"/>
                        <a:cs typeface="Segoe UI" pitchFamily="34" charset="0"/>
                      </a:defRPr>
                    </a:pPr>
                    <a:r>
                      <a:rPr lang="en-US"/>
                      <a:t>12,7%</a:t>
                    </a:r>
                    <a:endParaRPr lang="en-US" baseline="30000"/>
                  </a:p>
                </c:rich>
              </c:tx>
              <c:numFmt formatCode="0.0%" sourceLinked="0"/>
              <c:spPr>
                <a:noFill/>
                <a:ln>
                  <a:noFill/>
                </a:ln>
                <a:effectLst/>
              </c:spPr>
              <c:dLblPos val="inBase"/>
              <c:showLegendKey val="0"/>
              <c:showVal val="1"/>
              <c:showCatName val="0"/>
              <c:showSerName val="0"/>
              <c:showPercent val="0"/>
              <c:showBubbleSize val="0"/>
              <c:extLst>
                <c:ext xmlns:c15="http://schemas.microsoft.com/office/drawing/2012/chart" uri="{CE6537A1-D6FC-4f65-9D91-7224C49458BB}"/>
              </c:extLst>
            </c:dLbl>
            <c:dLbl>
              <c:idx val="6"/>
              <c:numFmt formatCode="0%" sourceLinked="0"/>
              <c:spPr>
                <a:noFill/>
                <a:ln>
                  <a:noFill/>
                </a:ln>
                <a:effectLst/>
              </c:spPr>
              <c:txPr>
                <a:bodyPr/>
                <a:lstStyle/>
                <a:p>
                  <a:pPr>
                    <a:defRPr lang="el-GR" sz="600" b="1">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dLbl>
            <c:numFmt formatCode="0%" sourceLinked="0"/>
            <c:spPr>
              <a:noFill/>
              <a:ln>
                <a:noFill/>
              </a:ln>
              <a:effectLst/>
            </c:spPr>
            <c:txPr>
              <a:bodyPr/>
              <a:lstStyle/>
              <a:p>
                <a:pPr>
                  <a:defRPr lang="el-GR" sz="600">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Sheet1!$B$4:$G$4</c:f>
              <c:numCache>
                <c:formatCode>0.0%</c:formatCode>
                <c:ptCount val="6"/>
                <c:pt idx="0">
                  <c:v>0.14364291705180537</c:v>
                </c:pt>
                <c:pt idx="1">
                  <c:v>0.20563111350034532</c:v>
                </c:pt>
                <c:pt idx="2">
                  <c:v>0.29364303360532223</c:v>
                </c:pt>
                <c:pt idx="3">
                  <c:v>0.10144684147397995</c:v>
                </c:pt>
                <c:pt idx="4">
                  <c:v>0.12844149124657533</c:v>
                </c:pt>
                <c:pt idx="5">
                  <c:v>0.12653583372033886</c:v>
                </c:pt>
              </c:numCache>
            </c:numRef>
          </c:val>
        </c:ser>
        <c:dLbls>
          <c:showLegendKey val="0"/>
          <c:showVal val="0"/>
          <c:showCatName val="0"/>
          <c:showSerName val="0"/>
          <c:showPercent val="0"/>
          <c:showBubbleSize val="0"/>
        </c:dLbls>
        <c:gapWidth val="500"/>
        <c:overlap val="100"/>
        <c:axId val="419908320"/>
        <c:axId val="419908880"/>
      </c:barChart>
      <c:catAx>
        <c:axId val="419908320"/>
        <c:scaling>
          <c:orientation val="minMax"/>
        </c:scaling>
        <c:delete val="0"/>
        <c:axPos val="b"/>
        <c:numFmt formatCode="General" sourceLinked="1"/>
        <c:majorTickMark val="none"/>
        <c:minorTickMark val="none"/>
        <c:tickLblPos val="nextTo"/>
        <c:spPr>
          <a:ln>
            <a:solidFill>
              <a:schemeClr val="bg1">
                <a:lumMod val="75000"/>
              </a:schemeClr>
            </a:solidFill>
          </a:ln>
        </c:spPr>
        <c:txPr>
          <a:bodyPr/>
          <a:lstStyle/>
          <a:p>
            <a:pPr>
              <a:defRPr lang="el-GR" sz="500"/>
            </a:pPr>
            <a:endParaRPr lang="el-GR"/>
          </a:p>
        </c:txPr>
        <c:crossAx val="419908880"/>
        <c:crosses val="autoZero"/>
        <c:auto val="1"/>
        <c:lblAlgn val="ctr"/>
        <c:lblOffset val="100"/>
        <c:noMultiLvlLbl val="0"/>
      </c:catAx>
      <c:valAx>
        <c:axId val="419908880"/>
        <c:scaling>
          <c:orientation val="minMax"/>
          <c:max val="0.4"/>
          <c:min val="0"/>
        </c:scaling>
        <c:delete val="1"/>
        <c:axPos val="l"/>
        <c:numFmt formatCode="0.0%" sourceLinked="1"/>
        <c:majorTickMark val="out"/>
        <c:minorTickMark val="none"/>
        <c:tickLblPos val="nextTo"/>
        <c:crossAx val="419908320"/>
        <c:crosses val="autoZero"/>
        <c:crossBetween val="between"/>
        <c:majorUnit val="2"/>
        <c:minorUnit val="2"/>
      </c:valAx>
      <c:spPr>
        <a:noFill/>
        <a:ln w="25400">
          <a:noFill/>
        </a:ln>
      </c:spPr>
    </c:plotArea>
    <c:plotVisOnly val="1"/>
    <c:dispBlanksAs val="gap"/>
    <c:showDLblsOverMax val="0"/>
  </c:chart>
  <c:spPr>
    <a:ln>
      <a:solidFill>
        <a:sysClr val="window" lastClr="FFFFFF">
          <a:lumMod val="75000"/>
        </a:sysClr>
      </a:solidFill>
    </a:ln>
  </c:spPr>
  <c:txPr>
    <a:bodyPr/>
    <a:lstStyle/>
    <a:p>
      <a:pPr>
        <a:defRPr sz="1797"/>
      </a:pPr>
      <a:endParaRPr lang="el-G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1199230954097569E-2"/>
          <c:y val="3.9845955404248165E-2"/>
          <c:w val="0.97111309175754579"/>
          <c:h val="0.53172073859512092"/>
        </c:manualLayout>
      </c:layout>
      <c:barChart>
        <c:barDir val="col"/>
        <c:grouping val="stacked"/>
        <c:varyColors val="0"/>
        <c:ser>
          <c:idx val="0"/>
          <c:order val="0"/>
          <c:tx>
            <c:strRef>
              <c:f>Sheet1!$B$1</c:f>
              <c:strCache>
                <c:ptCount val="1"/>
                <c:pt idx="0">
                  <c:v>Series 1</c:v>
                </c:pt>
              </c:strCache>
            </c:strRef>
          </c:tx>
          <c:spPr>
            <a:noFill/>
            <a:ln>
              <a:noFill/>
            </a:ln>
            <a:effectLst/>
          </c:spPr>
          <c:invertIfNegative val="0"/>
          <c:cat>
            <c:strRef>
              <c:f>Sheet1!$A$2:$A$28</c:f>
              <c:strCache>
                <c:ptCount val="26"/>
                <c:pt idx="0">
                  <c:v>ΜΕΑ 2015</c:v>
                </c:pt>
                <c:pt idx="1">
                  <c:v>Οργανική μείωση ΜΕΑ</c:v>
                </c:pt>
                <c:pt idx="2">
                  <c:v>Λογιστικές διαγραφές</c:v>
                </c:pt>
                <c:pt idx="3">
                  <c:v>ΜΕΑ 2016</c:v>
                </c:pt>
                <c:pt idx="4">
                  <c:v>Οργανική μείωση ΜΕΑ</c:v>
                </c:pt>
                <c:pt idx="5">
                  <c:v>Λογιστικές διαγραφές</c:v>
                </c:pt>
                <c:pt idx="6">
                  <c:v>ΜΕΑ 2017</c:v>
                </c:pt>
                <c:pt idx="7">
                  <c:v>Οργανική μείωση ΜΕΑ</c:v>
                </c:pt>
                <c:pt idx="8">
                  <c:v>Πωλήσεις</c:v>
                </c:pt>
                <c:pt idx="9">
                  <c:v>Λογιστικές διαγραφές</c:v>
                </c:pt>
                <c:pt idx="10">
                  <c:v>ΜΕΑ 2018</c:v>
                </c:pt>
                <c:pt idx="11">
                  <c:v>Οργανική μείωση ΜΕΑ</c:v>
                </c:pt>
                <c:pt idx="12">
                  <c:v>Πωλήσεις</c:v>
                </c:pt>
                <c:pt idx="13">
                  <c:v>Λογιστικές διαγραφές</c:v>
                </c:pt>
                <c:pt idx="14">
                  <c:v>ΜΕΑ 2019 </c:v>
                </c:pt>
                <c:pt idx="15">
                  <c:v>Οργανική μείωση ΜΕΑ</c:v>
                </c:pt>
                <c:pt idx="16">
                  <c:v>Πωλήσεις / Τιτλοποιήσεις</c:v>
                </c:pt>
                <c:pt idx="17">
                  <c:v>Λογιστικές διαγραφές</c:v>
                </c:pt>
                <c:pt idx="18">
                  <c:v>ΜΕΑ 2020</c:v>
                </c:pt>
                <c:pt idx="19">
                  <c:v>Οργανική μείωση ΜΕΑ</c:v>
                </c:pt>
                <c:pt idx="20">
                  <c:v>Πωλήσεις</c:v>
                </c:pt>
                <c:pt idx="21">
                  <c:v>Λογιστικές διαγραφές</c:v>
                </c:pt>
                <c:pt idx="22">
                  <c:v>ΜΕΑ Α' τρίμηνο 2021</c:v>
                </c:pt>
                <c:pt idx="23">
                  <c:v>Οργανική μείωση ΜΕΑ</c:v>
                </c:pt>
                <c:pt idx="24">
                  <c:v>Λογιστικές διαγραφές</c:v>
                </c:pt>
                <c:pt idx="25">
                  <c:v>ΜΕΑ B' τρίμηνο 2021</c:v>
                </c:pt>
              </c:strCache>
            </c:strRef>
          </c:cat>
          <c:val>
            <c:numRef>
              <c:f>Sheet1!$B$2:$B$28</c:f>
              <c:numCache>
                <c:formatCode>0.000</c:formatCode>
                <c:ptCount val="26"/>
                <c:pt idx="1">
                  <c:v>20.348000000000003</c:v>
                </c:pt>
                <c:pt idx="2">
                  <c:v>19.147000000000002</c:v>
                </c:pt>
                <c:pt idx="4">
                  <c:v>18.952999999999999</c:v>
                </c:pt>
                <c:pt idx="5">
                  <c:v>17.696999999999996</c:v>
                </c:pt>
                <c:pt idx="7">
                  <c:v>17.073999999999995</c:v>
                </c:pt>
                <c:pt idx="8">
                  <c:v>16.266999999999996</c:v>
                </c:pt>
                <c:pt idx="9" formatCode="0.00">
                  <c:v>15.554999999999994</c:v>
                </c:pt>
                <c:pt idx="11">
                  <c:v>14.151999999999994</c:v>
                </c:pt>
                <c:pt idx="12">
                  <c:v>11.075999999999993</c:v>
                </c:pt>
                <c:pt idx="13">
                  <c:v>10.809999999999993</c:v>
                </c:pt>
                <c:pt idx="15">
                  <c:v>10.125999999999994</c:v>
                </c:pt>
                <c:pt idx="16">
                  <c:v>4.3979999999999935</c:v>
                </c:pt>
                <c:pt idx="17">
                  <c:v>4.3099999999999934</c:v>
                </c:pt>
                <c:pt idx="19">
                  <c:v>4.1834999999999933</c:v>
                </c:pt>
                <c:pt idx="20">
                  <c:v>4.1409999999999929</c:v>
                </c:pt>
                <c:pt idx="21">
                  <c:v>4.1369999999999933</c:v>
                </c:pt>
                <c:pt idx="23">
                  <c:v>4.0369999999999937</c:v>
                </c:pt>
                <c:pt idx="24">
                  <c:v>4.0029999999999939</c:v>
                </c:pt>
              </c:numCache>
            </c:numRef>
          </c:val>
        </c:ser>
        <c:ser>
          <c:idx val="1"/>
          <c:order val="1"/>
          <c:tx>
            <c:strRef>
              <c:f>Sheet1!$C$1</c:f>
              <c:strCache>
                <c:ptCount val="1"/>
                <c:pt idx="0">
                  <c:v>Series 2</c:v>
                </c:pt>
              </c:strCache>
            </c:strRef>
          </c:tx>
          <c:spPr>
            <a:noFill/>
            <a:ln>
              <a:solidFill>
                <a:srgbClr val="008080"/>
              </a:solidFill>
            </a:ln>
            <a:effectLst/>
          </c:spPr>
          <c:invertIfNegative val="0"/>
          <c:dPt>
            <c:idx val="0"/>
            <c:invertIfNegative val="0"/>
            <c:bubble3D val="0"/>
            <c:spPr>
              <a:solidFill>
                <a:srgbClr val="008080"/>
              </a:solidFill>
              <a:ln>
                <a:solidFill>
                  <a:srgbClr val="008080"/>
                </a:solidFill>
              </a:ln>
              <a:effectLst/>
            </c:spPr>
          </c:dPt>
          <c:dPt>
            <c:idx val="3"/>
            <c:invertIfNegative val="0"/>
            <c:bubble3D val="0"/>
            <c:spPr>
              <a:solidFill>
                <a:srgbClr val="008080"/>
              </a:solidFill>
              <a:ln>
                <a:solidFill>
                  <a:srgbClr val="008080"/>
                </a:solidFill>
              </a:ln>
              <a:effectLst/>
            </c:spPr>
          </c:dPt>
          <c:dPt>
            <c:idx val="6"/>
            <c:invertIfNegative val="0"/>
            <c:bubble3D val="0"/>
            <c:spPr>
              <a:solidFill>
                <a:srgbClr val="008080"/>
              </a:solidFill>
              <a:ln>
                <a:solidFill>
                  <a:srgbClr val="008080"/>
                </a:solidFill>
              </a:ln>
              <a:effectLst/>
            </c:spPr>
          </c:dPt>
          <c:dPt>
            <c:idx val="10"/>
            <c:invertIfNegative val="0"/>
            <c:bubble3D val="0"/>
            <c:spPr>
              <a:solidFill>
                <a:srgbClr val="008080"/>
              </a:solidFill>
              <a:ln>
                <a:solidFill>
                  <a:srgbClr val="008080"/>
                </a:solidFill>
              </a:ln>
              <a:effectLst/>
            </c:spPr>
          </c:dPt>
          <c:dPt>
            <c:idx val="14"/>
            <c:invertIfNegative val="0"/>
            <c:bubble3D val="0"/>
            <c:spPr>
              <a:solidFill>
                <a:srgbClr val="008080"/>
              </a:solidFill>
              <a:ln>
                <a:solidFill>
                  <a:srgbClr val="008080"/>
                </a:solidFill>
              </a:ln>
              <a:effectLst/>
            </c:spPr>
          </c:dPt>
          <c:dPt>
            <c:idx val="18"/>
            <c:invertIfNegative val="0"/>
            <c:bubble3D val="0"/>
            <c:spPr>
              <a:solidFill>
                <a:srgbClr val="008080"/>
              </a:solidFill>
              <a:ln>
                <a:solidFill>
                  <a:srgbClr val="008080"/>
                </a:solidFill>
              </a:ln>
              <a:effectLst/>
            </c:spPr>
          </c:dPt>
          <c:dPt>
            <c:idx val="19"/>
            <c:invertIfNegative val="0"/>
            <c:bubble3D val="0"/>
            <c:spPr>
              <a:solidFill>
                <a:srgbClr val="008080"/>
              </a:solidFill>
              <a:ln>
                <a:solidFill>
                  <a:srgbClr val="008080"/>
                </a:solidFill>
              </a:ln>
              <a:effectLst/>
            </c:spPr>
          </c:dPt>
          <c:dPt>
            <c:idx val="22"/>
            <c:invertIfNegative val="0"/>
            <c:bubble3D val="0"/>
            <c:spPr>
              <a:solidFill>
                <a:srgbClr val="008080"/>
              </a:solidFill>
              <a:ln>
                <a:noFill/>
              </a:ln>
              <a:effectLst/>
            </c:spPr>
          </c:dPt>
          <c:dPt>
            <c:idx val="25"/>
            <c:invertIfNegative val="0"/>
            <c:bubble3D val="0"/>
            <c:spPr>
              <a:solidFill>
                <a:srgbClr val="008080"/>
              </a:solidFill>
              <a:ln>
                <a:solidFill>
                  <a:srgbClr val="008080"/>
                </a:solidFill>
              </a:ln>
              <a:effectLst/>
            </c:spPr>
          </c:dPt>
          <c:dPt>
            <c:idx val="26"/>
            <c:invertIfNegative val="0"/>
            <c:bubble3D val="0"/>
            <c:spPr>
              <a:solidFill>
                <a:srgbClr val="008080"/>
              </a:solidFill>
              <a:ln>
                <a:solidFill>
                  <a:srgbClr val="008080"/>
                </a:solidFill>
              </a:ln>
              <a:effectLst/>
            </c:spPr>
          </c:dPt>
          <c:dPt>
            <c:idx val="29"/>
            <c:invertIfNegative val="0"/>
            <c:bubble3D val="0"/>
            <c:spPr>
              <a:solidFill>
                <a:srgbClr val="008080"/>
              </a:solidFill>
              <a:ln>
                <a:solidFill>
                  <a:srgbClr val="008080"/>
                </a:solidFill>
              </a:ln>
              <a:effectLst/>
            </c:spPr>
          </c:dPt>
          <c:dLbls>
            <c:dLbl>
              <c:idx val="0"/>
              <c:layout>
                <c:manualLayout>
                  <c:x val="2.4032684450853172E-3"/>
                  <c:y val="-0.27067669172932346"/>
                </c:manualLayout>
              </c:layout>
              <c:tx>
                <c:rich>
                  <a:bodyPr/>
                  <a:lstStyle/>
                  <a:p>
                    <a:r>
                      <a:rPr lang="en-US"/>
                      <a:t>22,0</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1"/>
              <c:layout>
                <c:manualLayout>
                  <c:x val="-1.1009802903834937E-17"/>
                  <c:y val="6.7845383753790706E-2"/>
                </c:manualLayout>
              </c:layout>
              <c:tx>
                <c:rich>
                  <a:bodyPr/>
                  <a:lstStyle/>
                  <a:p>
                    <a:r>
                      <a:rPr lang="en-US"/>
                      <a:t>-1,6</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2"/>
              <c:layout>
                <c:manualLayout>
                  <c:x val="-2.4021665650947417E-3"/>
                  <c:y val="6.0307007781147316E-2"/>
                </c:manualLayout>
              </c:layout>
              <c:tx>
                <c:rich>
                  <a:bodyPr/>
                  <a:lstStyle/>
                  <a:p>
                    <a:r>
                      <a:rPr lang="en-US"/>
                      <a:t>-1,2</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3"/>
              <c:layout>
                <c:manualLayout>
                  <c:x val="-2.4021665650947642E-3"/>
                  <c:y val="-0.24122803112458921"/>
                </c:manualLayout>
              </c:layout>
              <c:tx>
                <c:rich>
                  <a:bodyPr/>
                  <a:lstStyle/>
                  <a:p>
                    <a:r>
                      <a:rPr lang="en-US"/>
                      <a:t>19,2</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4"/>
              <c:layout>
                <c:manualLayout>
                  <c:x val="0"/>
                  <c:y val="4.5230255835860482E-2"/>
                </c:manualLayout>
              </c:layout>
              <c:tx>
                <c:rich>
                  <a:bodyPr/>
                  <a:lstStyle/>
                  <a:p>
                    <a:r>
                      <a:rPr lang="en-US"/>
                      <a:t>-0,2</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5"/>
              <c:layout>
                <c:manualLayout>
                  <c:x val="0"/>
                  <c:y val="4.5230255835860482E-2"/>
                </c:manualLayout>
              </c:layout>
              <c:tx>
                <c:rich>
                  <a:bodyPr/>
                  <a:lstStyle/>
                  <a:p>
                    <a:r>
                      <a:rPr lang="en-US"/>
                      <a:t>-1,3</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6"/>
              <c:layout>
                <c:manualLayout>
                  <c:x val="-2.4021665650947417E-3"/>
                  <c:y val="-0.22615127917930233"/>
                </c:manualLayout>
              </c:layout>
              <c:tx>
                <c:rich>
                  <a:bodyPr/>
                  <a:lstStyle/>
                  <a:p>
                    <a:r>
                      <a:rPr lang="en-US"/>
                      <a:t>17,7</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7"/>
              <c:layout>
                <c:manualLayout>
                  <c:x val="-4.4039211615339774E-17"/>
                  <c:y val="4.5230255835860482E-2"/>
                </c:manualLayout>
              </c:layout>
              <c:tx>
                <c:rich>
                  <a:bodyPr/>
                  <a:lstStyle/>
                  <a:p>
                    <a:r>
                      <a:rPr lang="en-US"/>
                      <a:t>-0,6</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8"/>
              <c:layout>
                <c:manualLayout>
                  <c:x val="4.4039211615339774E-17"/>
                  <c:y val="6.0307007781147316E-2"/>
                </c:manualLayout>
              </c:layout>
              <c:tx>
                <c:rich>
                  <a:bodyPr/>
                  <a:lstStyle/>
                  <a:p>
                    <a:r>
                      <a:rPr lang="en-US"/>
                      <a:t>-0,8</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9"/>
              <c:layout>
                <c:manualLayout>
                  <c:x val="0"/>
                  <c:y val="5.2768631808503934E-2"/>
                </c:manualLayout>
              </c:layout>
              <c:tx>
                <c:rich>
                  <a:bodyPr/>
                  <a:lstStyle/>
                  <a:p>
                    <a:r>
                      <a:rPr lang="en-US"/>
                      <a:t>-0,7</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10"/>
              <c:layout>
                <c:manualLayout>
                  <c:x val="0"/>
                  <c:y val="-0.2110745272340154"/>
                </c:manualLayout>
              </c:layout>
              <c:tx>
                <c:rich>
                  <a:bodyPr/>
                  <a:lstStyle/>
                  <a:p>
                    <a:r>
                      <a:rPr lang="en-US"/>
                      <a:t>15,6</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11"/>
              <c:layout>
                <c:manualLayout>
                  <c:x val="0"/>
                  <c:y val="5.2768631808503934E-2"/>
                </c:manualLayout>
              </c:layout>
              <c:tx>
                <c:rich>
                  <a:bodyPr/>
                  <a:lstStyle/>
                  <a:p>
                    <a:r>
                      <a:rPr lang="en-US"/>
                      <a:t>-1,4</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12"/>
              <c:layout>
                <c:manualLayout>
                  <c:x val="0"/>
                  <c:y val="6.7791968590283122E-2"/>
                </c:manualLayout>
              </c:layout>
              <c:tx>
                <c:rich>
                  <a:bodyPr/>
                  <a:lstStyle/>
                  <a:p>
                    <a:r>
                      <a:rPr lang="en-US"/>
                      <a:t>-3,1</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13"/>
              <c:layout>
                <c:manualLayout>
                  <c:x val="0"/>
                  <c:y val="4.5230255835860496E-2"/>
                </c:manualLayout>
              </c:layout>
              <c:tx>
                <c:rich>
                  <a:bodyPr/>
                  <a:lstStyle/>
                  <a:p>
                    <a:r>
                      <a:rPr lang="en-US"/>
                      <a:t>-0,3</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14"/>
              <c:layout>
                <c:manualLayout>
                  <c:x val="-1.9723865877712033E-3"/>
                  <c:y val="-0.17277000414624352"/>
                </c:manualLayout>
              </c:layout>
              <c:tx>
                <c:rich>
                  <a:bodyPr/>
                  <a:lstStyle/>
                  <a:p>
                    <a:r>
                      <a:rPr lang="en-US"/>
                      <a:t>10,8</a:t>
                    </a:r>
                  </a:p>
                </c:rich>
              </c:tx>
              <c:showLegendKey val="0"/>
              <c:showVal val="1"/>
              <c:showCatName val="0"/>
              <c:showSerName val="0"/>
              <c:showPercent val="0"/>
              <c:showBubbleSize val="0"/>
              <c:extLst>
                <c:ext xmlns:c15="http://schemas.microsoft.com/office/drawing/2012/chart" uri="{CE6537A1-D6FC-4f65-9D91-7224C49458BB}"/>
              </c:extLst>
            </c:dLbl>
            <c:dLbl>
              <c:idx val="15"/>
              <c:layout>
                <c:manualLayout>
                  <c:x val="0"/>
                  <c:y val="4.5230255835860482E-2"/>
                </c:manualLayout>
              </c:layout>
              <c:tx>
                <c:rich>
                  <a:bodyPr/>
                  <a:lstStyle/>
                  <a:p>
                    <a:r>
                      <a:rPr lang="en-US"/>
                      <a:t>-0,7</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16"/>
              <c:layout>
                <c:manualLayout>
                  <c:x val="0"/>
                  <c:y val="9.0250412592877666E-2"/>
                </c:manualLayout>
              </c:layout>
              <c:tx>
                <c:rich>
                  <a:bodyPr/>
                  <a:lstStyle/>
                  <a:p>
                    <a:r>
                      <a:rPr lang="en-US"/>
                      <a:t>-5,7</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17"/>
              <c:layout>
                <c:manualLayout>
                  <c:x val="0"/>
                  <c:y val="4.5230255835860482E-2"/>
                </c:manualLayout>
              </c:layout>
              <c:tx>
                <c:rich>
                  <a:bodyPr/>
                  <a:lstStyle/>
                  <a:p>
                    <a:r>
                      <a:rPr lang="en-US"/>
                      <a:t>-0,1</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18"/>
              <c:layout>
                <c:manualLayout>
                  <c:x val="0"/>
                  <c:y val="-9.8462132355545268E-2"/>
                </c:manualLayout>
              </c:layout>
              <c:tx>
                <c:rich>
                  <a:bodyPr/>
                  <a:lstStyle/>
                  <a:p>
                    <a:pPr>
                      <a:defRPr lang="el-GR" sz="600" b="0"/>
                    </a:pPr>
                    <a:r>
                      <a:rPr lang="en-US" b="0"/>
                      <a:t>4,3</a:t>
                    </a:r>
                  </a:p>
                </c:rich>
              </c:tx>
              <c:numFmt formatCode="#,##0.00" sourceLinked="0"/>
              <c:spPr>
                <a:noFill/>
                <a:ln>
                  <a:noFill/>
                </a:ln>
                <a:effectLst/>
              </c:spPr>
              <c:showLegendKey val="0"/>
              <c:showVal val="1"/>
              <c:showCatName val="0"/>
              <c:showSerName val="0"/>
              <c:showPercent val="0"/>
              <c:showBubbleSize val="0"/>
              <c:separator>. </c:separator>
              <c:extLst>
                <c:ext xmlns:c15="http://schemas.microsoft.com/office/drawing/2012/chart" uri="{CE6537A1-D6FC-4f65-9D91-7224C49458BB}"/>
              </c:extLst>
            </c:dLbl>
            <c:dLbl>
              <c:idx val="19"/>
              <c:layout>
                <c:manualLayout>
                  <c:x val="0"/>
                  <c:y val="4.5230255835860496E-2"/>
                </c:manualLayout>
              </c:layout>
              <c:tx>
                <c:rich>
                  <a:bodyPr/>
                  <a:lstStyle/>
                  <a:p>
                    <a:r>
                      <a:rPr lang="en-US"/>
                      <a:t>-0,1</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20"/>
              <c:layout>
                <c:manualLayout>
                  <c:x val="0"/>
                  <c:y val="4.5230255835860482E-2"/>
                </c:manualLayout>
              </c:layout>
              <c:tx>
                <c:rich>
                  <a:bodyPr/>
                  <a:lstStyle/>
                  <a:p>
                    <a:r>
                      <a:rPr lang="en-US"/>
                      <a:t>-0,04</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21"/>
              <c:layout>
                <c:manualLayout>
                  <c:x val="0"/>
                  <c:y val="4.5230255835860482E-2"/>
                </c:manualLayout>
              </c:layout>
              <c:tx>
                <c:rich>
                  <a:bodyPr/>
                  <a:lstStyle/>
                  <a:p>
                    <a:r>
                      <a:rPr lang="en-US"/>
                      <a:t>-0,0</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22"/>
              <c:layout>
                <c:manualLayout>
                  <c:x val="-8.5803639435731889E-4"/>
                  <c:y val="-9.8400154884651078E-2"/>
                </c:manualLayout>
              </c:layout>
              <c:tx>
                <c:rich>
                  <a:bodyPr wrap="square" lIns="38100" tIns="19050" rIns="38100" bIns="19050" anchor="ctr">
                    <a:noAutofit/>
                  </a:bodyPr>
                  <a:lstStyle/>
                  <a:p>
                    <a:pPr>
                      <a:defRPr lang="el-GR" sz="600" b="0"/>
                    </a:pPr>
                    <a:r>
                      <a:rPr lang="en-US" sz="600" b="0"/>
                      <a:t>4,1</a:t>
                    </a:r>
                  </a:p>
                </c:rich>
              </c:tx>
              <c:numFmt formatCode="#,##0.0" sourceLinked="0"/>
              <c:spPr>
                <a:noFill/>
                <a:ln>
                  <a:noFill/>
                </a:ln>
                <a:effectLst/>
              </c:spPr>
              <c:showLegendKey val="0"/>
              <c:showVal val="1"/>
              <c:showCatName val="0"/>
              <c:showSerName val="0"/>
              <c:showPercent val="0"/>
              <c:showBubbleSize val="0"/>
              <c:separator>. </c:separator>
              <c:extLst>
                <c:ext xmlns:c15="http://schemas.microsoft.com/office/drawing/2012/chart" uri="{CE6537A1-D6FC-4f65-9D91-7224C49458BB}">
                  <c15:layout>
                    <c:manualLayout>
                      <c:w val="4.5388259583858614E-2"/>
                      <c:h val="9.6655392709507709E-2"/>
                    </c:manualLayout>
                  </c15:layout>
                </c:ext>
              </c:extLst>
            </c:dLbl>
            <c:dLbl>
              <c:idx val="23"/>
              <c:layout>
                <c:manualLayout>
                  <c:x val="0"/>
                  <c:y val="4.5230255835860482E-2"/>
                </c:manualLayout>
              </c:layout>
              <c:tx>
                <c:rich>
                  <a:bodyPr/>
                  <a:lstStyle/>
                  <a:p>
                    <a:r>
                      <a:rPr lang="en-US"/>
                      <a:t>-0,1</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24"/>
              <c:layout>
                <c:manualLayout>
                  <c:x val="0"/>
                  <c:y val="5.2768631808503934E-2"/>
                </c:manualLayout>
              </c:layout>
              <c:tx>
                <c:rich>
                  <a:bodyPr/>
                  <a:lstStyle/>
                  <a:p>
                    <a:r>
                      <a:rPr lang="en-US"/>
                      <a:t>-0,03</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25"/>
              <c:layout>
                <c:manualLayout>
                  <c:x val="-1.5444965924874181E-3"/>
                  <c:y val="-9.7730207937366156E-2"/>
                </c:manualLayout>
              </c:layout>
              <c:tx>
                <c:rich>
                  <a:bodyPr/>
                  <a:lstStyle/>
                  <a:p>
                    <a:pPr>
                      <a:defRPr lang="el-GR" sz="700" b="1"/>
                    </a:pPr>
                    <a:r>
                      <a:rPr lang="en-US" sz="700" b="1"/>
                      <a:t>4,0</a:t>
                    </a:r>
                  </a:p>
                </c:rich>
              </c:tx>
              <c:numFmt formatCode="#,##0.00" sourceLinked="0"/>
              <c:spPr>
                <a:noFill/>
                <a:ln>
                  <a:noFill/>
                </a:ln>
                <a:effectLst/>
              </c:spPr>
              <c:showLegendKey val="0"/>
              <c:showVal val="1"/>
              <c:showCatName val="0"/>
              <c:showSerName val="0"/>
              <c:showPercent val="0"/>
              <c:showBubbleSize val="0"/>
              <c:separator>. </c:separator>
              <c:extLst>
                <c:ext xmlns:c15="http://schemas.microsoft.com/office/drawing/2012/chart" uri="{CE6537A1-D6FC-4f65-9D91-7224C49458BB}"/>
              </c:extLst>
            </c:dLbl>
            <c:dLbl>
              <c:idx val="26"/>
              <c:layout>
                <c:manualLayout>
                  <c:x val="0"/>
                  <c:y val="-9.7804580902439126E-2"/>
                </c:manualLayout>
              </c:layout>
              <c:tx>
                <c:rich>
                  <a:bodyPr wrap="square" lIns="38100" tIns="19050" rIns="38100" bIns="19050" anchor="ctr">
                    <a:spAutoFit/>
                  </a:bodyPr>
                  <a:lstStyle/>
                  <a:p>
                    <a:pPr>
                      <a:defRPr lang="el-GR" sz="700" b="1"/>
                    </a:pPr>
                    <a:r>
                      <a:rPr lang="en-US" sz="700" b="1"/>
                      <a:t>3,9</a:t>
                    </a:r>
                  </a:p>
                </c:rich>
              </c:tx>
              <c:numFmt formatCode="#,##0.0" sourceLinked="0"/>
              <c:spPr>
                <a:noFill/>
                <a:ln>
                  <a:noFill/>
                </a:ln>
                <a:effectLst/>
              </c:spPr>
              <c:showLegendKey val="0"/>
              <c:showVal val="1"/>
              <c:showCatName val="0"/>
              <c:showSerName val="0"/>
              <c:showPercent val="0"/>
              <c:showBubbleSize val="0"/>
              <c:separator>. </c:separator>
              <c:extLst>
                <c:ext xmlns:c15="http://schemas.microsoft.com/office/drawing/2012/chart" uri="{CE6537A1-D6FC-4f65-9D91-7224C49458BB}"/>
              </c:extLst>
            </c:dLbl>
            <c:dLbl>
              <c:idx val="27"/>
              <c:layout>
                <c:manualLayout>
                  <c:x val="-1.4468281777684751E-16"/>
                  <c:y val="9.0191657271702294E-2"/>
                </c:manualLayout>
              </c:layout>
              <c:tx>
                <c:rich>
                  <a:bodyPr/>
                  <a:lstStyle/>
                  <a:p>
                    <a:r>
                      <a:rPr lang="en-US"/>
                      <a:t>-5,7</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28"/>
              <c:layout>
                <c:manualLayout>
                  <c:x val="0"/>
                  <c:y val="4.5095828635851112E-2"/>
                </c:manualLayout>
              </c:layout>
              <c:tx>
                <c:rich>
                  <a:bodyPr/>
                  <a:lstStyle/>
                  <a:p>
                    <a:r>
                      <a:rPr lang="en-US"/>
                      <a:t>-0,01</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29"/>
              <c:layout>
                <c:manualLayout>
                  <c:x val="0"/>
                  <c:y val="-8.2675685832393903E-2"/>
                </c:manualLayout>
              </c:layout>
              <c:tx>
                <c:rich>
                  <a:bodyPr/>
                  <a:lstStyle/>
                  <a:p>
                    <a:pPr>
                      <a:defRPr lang="el-GR" sz="600" b="1"/>
                    </a:pPr>
                    <a:r>
                      <a:rPr lang="en-US" b="1"/>
                      <a:t>4,3</a:t>
                    </a:r>
                  </a:p>
                </c:rich>
              </c:tx>
              <c:numFmt formatCode="#,##0.0" sourceLinked="0"/>
              <c:spPr>
                <a:noFill/>
                <a:ln>
                  <a:noFill/>
                </a:ln>
                <a:effectLst/>
              </c:spPr>
              <c:showLegendKey val="0"/>
              <c:showVal val="1"/>
              <c:showCatName val="0"/>
              <c:showSerName val="0"/>
              <c:showPercent val="0"/>
              <c:showBubbleSize val="0"/>
              <c:separator>. </c:separator>
              <c:extLst>
                <c:ext xmlns:c15="http://schemas.microsoft.com/office/drawing/2012/chart" uri="{CE6537A1-D6FC-4f65-9D91-7224C49458BB}"/>
              </c:extLst>
            </c:dLbl>
            <c:numFmt formatCode="#,##0.00" sourceLinked="0"/>
            <c:spPr>
              <a:noFill/>
              <a:ln>
                <a:noFill/>
              </a:ln>
              <a:effectLst/>
            </c:spPr>
            <c:txPr>
              <a:bodyPr/>
              <a:lstStyle/>
              <a:p>
                <a:pPr>
                  <a:defRPr lang="el-GR" sz="600"/>
                </a:pPr>
                <a:endParaRPr lang="el-GR"/>
              </a:p>
            </c:txP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ext>
            </c:extLst>
          </c:dLbls>
          <c:cat>
            <c:strRef>
              <c:f>Sheet1!$A$2:$A$28</c:f>
              <c:strCache>
                <c:ptCount val="26"/>
                <c:pt idx="0">
                  <c:v>ΜΕΑ 2015</c:v>
                </c:pt>
                <c:pt idx="1">
                  <c:v>Οργανική μείωση ΜΕΑ</c:v>
                </c:pt>
                <c:pt idx="2">
                  <c:v>Λογιστικές διαγραφές</c:v>
                </c:pt>
                <c:pt idx="3">
                  <c:v>ΜΕΑ 2016</c:v>
                </c:pt>
                <c:pt idx="4">
                  <c:v>Οργανική μείωση ΜΕΑ</c:v>
                </c:pt>
                <c:pt idx="5">
                  <c:v>Λογιστικές διαγραφές</c:v>
                </c:pt>
                <c:pt idx="6">
                  <c:v>ΜΕΑ 2017</c:v>
                </c:pt>
                <c:pt idx="7">
                  <c:v>Οργανική μείωση ΜΕΑ</c:v>
                </c:pt>
                <c:pt idx="8">
                  <c:v>Πωλήσεις</c:v>
                </c:pt>
                <c:pt idx="9">
                  <c:v>Λογιστικές διαγραφές</c:v>
                </c:pt>
                <c:pt idx="10">
                  <c:v>ΜΕΑ 2018</c:v>
                </c:pt>
                <c:pt idx="11">
                  <c:v>Οργανική μείωση ΜΕΑ</c:v>
                </c:pt>
                <c:pt idx="12">
                  <c:v>Πωλήσεις</c:v>
                </c:pt>
                <c:pt idx="13">
                  <c:v>Λογιστικές διαγραφές</c:v>
                </c:pt>
                <c:pt idx="14">
                  <c:v>ΜΕΑ 2019 </c:v>
                </c:pt>
                <c:pt idx="15">
                  <c:v>Οργανική μείωση ΜΕΑ</c:v>
                </c:pt>
                <c:pt idx="16">
                  <c:v>Πωλήσεις / Τιτλοποιήσεις</c:v>
                </c:pt>
                <c:pt idx="17">
                  <c:v>Λογιστικές διαγραφές</c:v>
                </c:pt>
                <c:pt idx="18">
                  <c:v>ΜΕΑ 2020</c:v>
                </c:pt>
                <c:pt idx="19">
                  <c:v>Οργανική μείωση ΜΕΑ</c:v>
                </c:pt>
                <c:pt idx="20">
                  <c:v>Πωλήσεις</c:v>
                </c:pt>
                <c:pt idx="21">
                  <c:v>Λογιστικές διαγραφές</c:v>
                </c:pt>
                <c:pt idx="22">
                  <c:v>ΜΕΑ Α' τρίμηνο 2021</c:v>
                </c:pt>
                <c:pt idx="23">
                  <c:v>Οργανική μείωση ΜΕΑ</c:v>
                </c:pt>
                <c:pt idx="24">
                  <c:v>Λογιστικές διαγραφές</c:v>
                </c:pt>
                <c:pt idx="25">
                  <c:v>ΜΕΑ B' τρίμηνο 2021</c:v>
                </c:pt>
              </c:strCache>
            </c:strRef>
          </c:cat>
          <c:val>
            <c:numRef>
              <c:f>Sheet1!$C$2:$C$28</c:f>
              <c:numCache>
                <c:formatCode>0.000</c:formatCode>
                <c:ptCount val="26"/>
                <c:pt idx="0">
                  <c:v>21.981000000000002</c:v>
                </c:pt>
                <c:pt idx="1">
                  <c:v>1.633</c:v>
                </c:pt>
                <c:pt idx="2">
                  <c:v>1.2010000000000001</c:v>
                </c:pt>
                <c:pt idx="3">
                  <c:v>19.189</c:v>
                </c:pt>
                <c:pt idx="4">
                  <c:v>0.23600000000000002</c:v>
                </c:pt>
                <c:pt idx="5" formatCode="0.00">
                  <c:v>1.2560000000000029</c:v>
                </c:pt>
                <c:pt idx="6">
                  <c:v>17.696999999999996</c:v>
                </c:pt>
                <c:pt idx="7">
                  <c:v>0.623</c:v>
                </c:pt>
                <c:pt idx="8">
                  <c:v>0.80699999999999994</c:v>
                </c:pt>
                <c:pt idx="9">
                  <c:v>0.70699999999999996</c:v>
                </c:pt>
                <c:pt idx="10">
                  <c:v>15.554999999999994</c:v>
                </c:pt>
                <c:pt idx="11">
                  <c:v>1.403</c:v>
                </c:pt>
                <c:pt idx="12">
                  <c:v>3.0759999999999996</c:v>
                </c:pt>
                <c:pt idx="13">
                  <c:v>0.26700000000000002</c:v>
                </c:pt>
                <c:pt idx="14">
                  <c:v>10.809999999999993</c:v>
                </c:pt>
                <c:pt idx="15">
                  <c:v>0.68399999999999994</c:v>
                </c:pt>
                <c:pt idx="16">
                  <c:v>5.7280000000000006</c:v>
                </c:pt>
                <c:pt idx="17">
                  <c:v>8.7999999999999995E-2</c:v>
                </c:pt>
                <c:pt idx="18">
                  <c:v>4.3099999999999934</c:v>
                </c:pt>
                <c:pt idx="19">
                  <c:v>0.1265</c:v>
                </c:pt>
                <c:pt idx="20">
                  <c:v>4.2500000000000003E-2</c:v>
                </c:pt>
                <c:pt idx="21">
                  <c:v>4.0000000000000001E-3</c:v>
                </c:pt>
                <c:pt idx="22">
                  <c:v>4.1369999999999933</c:v>
                </c:pt>
                <c:pt idx="23">
                  <c:v>0.1</c:v>
                </c:pt>
                <c:pt idx="24">
                  <c:v>3.4000000000000002E-2</c:v>
                </c:pt>
                <c:pt idx="25">
                  <c:v>4.0029999999999939</c:v>
                </c:pt>
              </c:numCache>
            </c:numRef>
          </c:val>
        </c:ser>
        <c:dLbls>
          <c:showLegendKey val="0"/>
          <c:showVal val="0"/>
          <c:showCatName val="0"/>
          <c:showSerName val="0"/>
          <c:showPercent val="0"/>
          <c:showBubbleSize val="0"/>
        </c:dLbls>
        <c:gapWidth val="150"/>
        <c:overlap val="100"/>
        <c:axId val="270250160"/>
        <c:axId val="270250720"/>
      </c:barChart>
      <c:catAx>
        <c:axId val="27025016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l-GR" sz="5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l-GR"/>
          </a:p>
        </c:txPr>
        <c:crossAx val="270250720"/>
        <c:crosses val="autoZero"/>
        <c:auto val="1"/>
        <c:lblAlgn val="ctr"/>
        <c:lblOffset val="100"/>
        <c:noMultiLvlLbl val="0"/>
      </c:catAx>
      <c:valAx>
        <c:axId val="270250720"/>
        <c:scaling>
          <c:orientation val="minMax"/>
          <c:min val="0"/>
        </c:scaling>
        <c:delete val="1"/>
        <c:axPos val="l"/>
        <c:numFmt formatCode="0.000" sourceLinked="1"/>
        <c:majorTickMark val="out"/>
        <c:minorTickMark val="none"/>
        <c:tickLblPos val="nextTo"/>
        <c:crossAx val="270250160"/>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 lastClr="FFFFFF">
          <a:lumMod val="75000"/>
        </a:sysClr>
      </a:solidFill>
      <a:round/>
    </a:ln>
    <a:effectLst/>
  </c:spPr>
  <c:txPr>
    <a:bodyPr/>
    <a:lstStyle/>
    <a:p>
      <a:pPr>
        <a:defRPr>
          <a:latin typeface="Segoe UI" panose="020B0502040204020203" pitchFamily="34" charset="0"/>
          <a:cs typeface="Segoe UI" panose="020B0502040204020203" pitchFamily="34" charset="0"/>
        </a:defRPr>
      </a:pPr>
      <a:endParaRPr lang="el-GR"/>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163248564397045E-3"/>
          <c:y val="0.10898724016418038"/>
          <c:w val="0.95108342356615394"/>
          <c:h val="0.70470117458952197"/>
        </c:manualLayout>
      </c:layout>
      <c:barChart>
        <c:barDir val="col"/>
        <c:grouping val="stacked"/>
        <c:varyColors val="0"/>
        <c:ser>
          <c:idx val="0"/>
          <c:order val="0"/>
          <c:tx>
            <c:strRef>
              <c:f>Sheet1!$B$1</c:f>
              <c:strCache>
                <c:ptCount val="1"/>
                <c:pt idx="0">
                  <c:v>Column1</c:v>
                </c:pt>
              </c:strCache>
            </c:strRef>
          </c:tx>
          <c:spPr>
            <a:noFill/>
            <a:ln>
              <a:noFill/>
            </a:ln>
            <a:effectLst/>
          </c:spPr>
          <c:invertIfNegative val="0"/>
          <c:cat>
            <c:strRef>
              <c:f>Sheet1!$A$2:$A$6</c:f>
              <c:strCache>
                <c:ptCount val="5"/>
                <c:pt idx="0">
                  <c:v>Δάνεια σε καθυστέρηση &gt;90 ημερών</c:v>
                </c:pt>
                <c:pt idx="1">
                  <c:v>Ρυθμισμένα ΜΕΑ (FNPE) &lt;30 ημερών</c:v>
                </c:pt>
                <c:pt idx="2">
                  <c:v>Ρυθμισμένα ΜΕΑ (FNPE) 31-90 ημερών</c:v>
                </c:pt>
                <c:pt idx="3">
                  <c:v>Λοιπά απομειωμένα δάνεια</c:v>
                </c:pt>
                <c:pt idx="4">
                  <c:v>ΜΕΑ</c:v>
                </c:pt>
              </c:strCache>
            </c:strRef>
          </c:cat>
          <c:val>
            <c:numRef>
              <c:f>Sheet1!$B$2:$B$6</c:f>
              <c:numCache>
                <c:formatCode>0.00</c:formatCode>
                <c:ptCount val="5"/>
                <c:pt idx="1">
                  <c:v>2.2999999999999998</c:v>
                </c:pt>
                <c:pt idx="2">
                  <c:v>3.6999999999999997</c:v>
                </c:pt>
                <c:pt idx="3">
                  <c:v>3.78</c:v>
                </c:pt>
              </c:numCache>
            </c:numRef>
          </c:val>
          <c:extLst xmlns:c16r2="http://schemas.microsoft.com/office/drawing/2015/06/chart">
            <c:ext xmlns:c16="http://schemas.microsoft.com/office/drawing/2014/chart" uri="{C3380CC4-5D6E-409C-BE32-E72D297353CC}">
              <c16:uniqueId val="{00000000-0F21-4B50-8201-2D3A6CFA03CA}"/>
            </c:ext>
          </c:extLst>
        </c:ser>
        <c:ser>
          <c:idx val="1"/>
          <c:order val="1"/>
          <c:tx>
            <c:strRef>
              <c:f>Sheet1!$C$1</c:f>
              <c:strCache>
                <c:ptCount val="1"/>
                <c:pt idx="0">
                  <c:v>Column2</c:v>
                </c:pt>
              </c:strCache>
            </c:strRef>
          </c:tx>
          <c:spPr>
            <a:noFill/>
            <a:ln>
              <a:solidFill>
                <a:srgbClr val="008080"/>
              </a:solidFill>
            </a:ln>
            <a:effectLst/>
          </c:spPr>
          <c:invertIfNegative val="0"/>
          <c:dPt>
            <c:idx val="0"/>
            <c:invertIfNegative val="0"/>
            <c:bubble3D val="0"/>
            <c:spPr>
              <a:solidFill>
                <a:srgbClr val="008080"/>
              </a:solidFill>
              <a:ln>
                <a:solidFill>
                  <a:srgbClr val="008080"/>
                </a:solidFill>
              </a:ln>
              <a:effectLst/>
            </c:spPr>
            <c:extLst xmlns:c16r2="http://schemas.microsoft.com/office/drawing/2015/06/chart">
              <c:ext xmlns:c16="http://schemas.microsoft.com/office/drawing/2014/chart" uri="{C3380CC4-5D6E-409C-BE32-E72D297353CC}">
                <c16:uniqueId val="{00000002-0F21-4B50-8201-2D3A6CFA03CA}"/>
              </c:ext>
            </c:extLst>
          </c:dPt>
          <c:dPt>
            <c:idx val="4"/>
            <c:invertIfNegative val="0"/>
            <c:bubble3D val="0"/>
            <c:spPr>
              <a:solidFill>
                <a:srgbClr val="A6A6A6"/>
              </a:solidFill>
              <a:ln>
                <a:solidFill>
                  <a:srgbClr val="A6A6A6"/>
                </a:solidFill>
              </a:ln>
              <a:effectLst/>
            </c:spPr>
            <c:extLst xmlns:c16r2="http://schemas.microsoft.com/office/drawing/2015/06/chart">
              <c:ext xmlns:c16="http://schemas.microsoft.com/office/drawing/2014/chart" uri="{C3380CC4-5D6E-409C-BE32-E72D297353CC}">
                <c16:uniqueId val="{00000004-0F21-4B50-8201-2D3A6CFA03CA}"/>
              </c:ext>
            </c:extLst>
          </c:dPt>
          <c:dPt>
            <c:idx val="5"/>
            <c:invertIfNegative val="0"/>
            <c:bubble3D val="0"/>
            <c:extLst xmlns:c16r2="http://schemas.microsoft.com/office/drawing/2015/06/chart">
              <c:ext xmlns:c16="http://schemas.microsoft.com/office/drawing/2014/chart" uri="{C3380CC4-5D6E-409C-BE32-E72D297353CC}">
                <c16:uniqueId val="{00000005-0F21-4B50-8201-2D3A6CFA03CA}"/>
              </c:ext>
            </c:extLst>
          </c:dPt>
          <c:dPt>
            <c:idx val="6"/>
            <c:invertIfNegative val="0"/>
            <c:bubble3D val="0"/>
            <c:spPr>
              <a:solidFill>
                <a:srgbClr val="FF7415"/>
              </a:solidFill>
              <a:ln>
                <a:solidFill>
                  <a:srgbClr val="FF7415"/>
                </a:solidFill>
              </a:ln>
              <a:effectLst/>
            </c:spPr>
            <c:extLst xmlns:c16r2="http://schemas.microsoft.com/office/drawing/2015/06/chart">
              <c:ext xmlns:c16="http://schemas.microsoft.com/office/drawing/2014/chart" uri="{C3380CC4-5D6E-409C-BE32-E72D297353CC}">
                <c16:uniqueId val="{00000007-0F21-4B50-8201-2D3A6CFA03CA}"/>
              </c:ext>
            </c:extLst>
          </c:dPt>
          <c:dLbls>
            <c:dLbl>
              <c:idx val="0"/>
              <c:layout>
                <c:manualLayout>
                  <c:x val="-1.6095804694950649E-17"/>
                  <c:y val="-0.13757527371521486"/>
                </c:manualLayout>
              </c:layout>
              <c:tx>
                <c:rich>
                  <a:bodyPr/>
                  <a:lstStyle/>
                  <a:p>
                    <a:r>
                      <a:rPr lang="en-US"/>
                      <a:t>2,3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F21-4B50-8201-2D3A6CFA03CA}"/>
                </c:ext>
                <c:ext xmlns:c15="http://schemas.microsoft.com/office/drawing/2012/chart" uri="{CE6537A1-D6FC-4f65-9D91-7224C49458BB}"/>
              </c:extLst>
            </c:dLbl>
            <c:dLbl>
              <c:idx val="1"/>
              <c:layout>
                <c:manualLayout>
                  <c:x val="-3.229328503119047E-7"/>
                  <c:y val="-0.15293668027916424"/>
                </c:manualLayout>
              </c:layout>
              <c:tx>
                <c:rich>
                  <a:bodyPr rot="0" spcFirstLastPara="1" vertOverflow="ellipsis" vert="horz" wrap="square" lIns="38100" tIns="19050" rIns="38100" bIns="19050" anchor="ctr" anchorCtr="1">
                    <a:spAutoFit/>
                  </a:bodyPr>
                  <a:lstStyle/>
                  <a:p>
                    <a:pPr>
                      <a:defRPr sz="600" b="0" i="0" u="none" strike="noStrike" kern="1200" baseline="0">
                        <a:solidFill>
                          <a:srgbClr val="595959"/>
                        </a:solidFill>
                        <a:latin typeface="Segoe UI" pitchFamily="34" charset="0"/>
                        <a:ea typeface="Segoe UI" pitchFamily="34" charset="0"/>
                        <a:cs typeface="Segoe UI" pitchFamily="34" charset="0"/>
                      </a:defRPr>
                    </a:pPr>
                    <a:r>
                      <a:rPr lang="en-US" sz="600"/>
                      <a:t>+1,4</a:t>
                    </a:r>
                  </a:p>
                </c:rich>
              </c:tx>
              <c:numFmt formatCode="#,##0.0" sourceLinked="0"/>
              <c:spPr>
                <a:noFill/>
                <a:ln>
                  <a:solidFill>
                    <a:srgbClr val="C00000"/>
                  </a:solidFill>
                </a:ln>
                <a:effectLst/>
              </c:sp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32BF-42B5-A9D8-8347C72AF80B}"/>
                </c:ext>
                <c:ext xmlns:c15="http://schemas.microsoft.com/office/drawing/2012/chart" uri="{CE6537A1-D6FC-4f65-9D91-7224C49458BB}"/>
              </c:extLst>
            </c:dLbl>
            <c:dLbl>
              <c:idx val="2"/>
              <c:layout>
                <c:manualLayout>
                  <c:x val="3.5118525021948436E-3"/>
                  <c:y val="-6.1908873171846686E-2"/>
                </c:manualLayout>
              </c:layout>
              <c:tx>
                <c:rich>
                  <a:bodyPr/>
                  <a:lstStyle/>
                  <a:p>
                    <a:r>
                      <a:rPr lang="en-US"/>
                      <a:t>+0,1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0F21-4B50-8201-2D3A6CFA03CA}"/>
                </c:ext>
                <c:ext xmlns:c15="http://schemas.microsoft.com/office/drawing/2012/chart" uri="{CE6537A1-D6FC-4f65-9D91-7224C49458BB}"/>
              </c:extLst>
            </c:dLbl>
            <c:dLbl>
              <c:idx val="3"/>
              <c:layout>
                <c:manualLayout>
                  <c:x val="3.5118525021949078E-3"/>
                  <c:y val="-6.8787636857607456E-2"/>
                </c:manualLayout>
              </c:layout>
              <c:tx>
                <c:rich>
                  <a:bodyPr/>
                  <a:lstStyle/>
                  <a:p>
                    <a:r>
                      <a:rPr lang="en-US"/>
                      <a:t>+0,2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0F21-4B50-8201-2D3A6CFA03CA}"/>
                </c:ext>
                <c:ext xmlns:c15="http://schemas.microsoft.com/office/drawing/2012/chart" uri="{CE6537A1-D6FC-4f65-9D91-7224C49458BB}"/>
              </c:extLst>
            </c:dLbl>
            <c:dLbl>
              <c:idx val="4"/>
              <c:layout>
                <c:manualLayout>
                  <c:x val="-4.1012471989611892E-3"/>
                  <c:y val="-0.25254018927853761"/>
                </c:manualLayout>
              </c:layout>
              <c:tx>
                <c:rich>
                  <a:bodyPr rot="0" spcFirstLastPara="1" vertOverflow="ellipsis" vert="horz" wrap="square" lIns="38100" tIns="19050" rIns="38100" bIns="19050" anchor="ctr" anchorCtr="1">
                    <a:spAutoFit/>
                  </a:bodyPr>
                  <a:lstStyle/>
                  <a:p>
                    <a:pPr>
                      <a:defRPr sz="600" b="1" i="0" u="none" strike="noStrike" kern="1200" baseline="0">
                        <a:solidFill>
                          <a:srgbClr val="595959"/>
                        </a:solidFill>
                        <a:latin typeface="Segoe UI" pitchFamily="34" charset="0"/>
                        <a:ea typeface="Segoe UI" pitchFamily="34" charset="0"/>
                        <a:cs typeface="Segoe UI" pitchFamily="34" charset="0"/>
                      </a:defRPr>
                    </a:pPr>
                    <a:r>
                      <a:rPr lang="en-US" sz="600"/>
                      <a:t>4,0</a:t>
                    </a:r>
                  </a:p>
                </c:rich>
              </c:tx>
              <c:numFmt formatCode="#,##0.0" sourceLinked="0"/>
              <c:spPr>
                <a:noFill/>
                <a:ln>
                  <a:solidFill>
                    <a:srgbClr val="C00000"/>
                  </a:solidFill>
                </a:ln>
                <a:effectLst/>
              </c:sp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F21-4B50-8201-2D3A6CFA03CA}"/>
                </c:ext>
                <c:ext xmlns:c15="http://schemas.microsoft.com/office/drawing/2012/chart" uri="{CE6537A1-D6FC-4f65-9D91-7224C49458BB}"/>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rgbClr val="595959"/>
                    </a:solidFill>
                    <a:latin typeface="Segoe UI" pitchFamily="34" charset="0"/>
                    <a:ea typeface="Segoe UI" pitchFamily="34" charset="0"/>
                    <a:cs typeface="Segoe UI" pitchFamily="34" charset="0"/>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Δάνεια σε καθυστέρηση &gt;90 ημερών</c:v>
                </c:pt>
                <c:pt idx="1">
                  <c:v>Ρυθμισμένα ΜΕΑ (FNPE) &lt;30 ημερών</c:v>
                </c:pt>
                <c:pt idx="2">
                  <c:v>Ρυθμισμένα ΜΕΑ (FNPE) 31-90 ημερών</c:v>
                </c:pt>
                <c:pt idx="3">
                  <c:v>Λοιπά απομειωμένα δάνεια</c:v>
                </c:pt>
                <c:pt idx="4">
                  <c:v>ΜΕΑ</c:v>
                </c:pt>
              </c:strCache>
            </c:strRef>
          </c:cat>
          <c:val>
            <c:numRef>
              <c:f>Sheet1!$C$2:$C$6</c:f>
              <c:numCache>
                <c:formatCode>#,##0.00</c:formatCode>
                <c:ptCount val="5"/>
                <c:pt idx="0">
                  <c:v>2.2999999999999998</c:v>
                </c:pt>
                <c:pt idx="1">
                  <c:v>1.4</c:v>
                </c:pt>
                <c:pt idx="2">
                  <c:v>0.08</c:v>
                </c:pt>
                <c:pt idx="3">
                  <c:v>0.22</c:v>
                </c:pt>
                <c:pt idx="4" formatCode="0.00">
                  <c:v>4</c:v>
                </c:pt>
              </c:numCache>
            </c:numRef>
          </c:val>
          <c:extLst xmlns:c16r2="http://schemas.microsoft.com/office/drawing/2015/06/chart">
            <c:ext xmlns:c16="http://schemas.microsoft.com/office/drawing/2014/chart" uri="{C3380CC4-5D6E-409C-BE32-E72D297353CC}">
              <c16:uniqueId val="{0000000B-0F21-4B50-8201-2D3A6CFA03CA}"/>
            </c:ext>
          </c:extLst>
        </c:ser>
        <c:ser>
          <c:idx val="2"/>
          <c:order val="2"/>
          <c:tx>
            <c:strRef>
              <c:f>Sheet1!#REF!</c:f>
              <c:strCache>
                <c:ptCount val="1"/>
                <c:pt idx="0">
                  <c:v>#REF!</c:v>
                </c:pt>
              </c:strCache>
            </c:strRef>
          </c:tx>
          <c:spPr>
            <a:noFill/>
            <a:ln>
              <a:noFill/>
            </a:ln>
            <a:effectLst/>
          </c:spPr>
          <c:invertIfNegative val="0"/>
          <c:cat>
            <c:strRef>
              <c:f>Sheet1!$A$2:$A$6</c:f>
              <c:strCache>
                <c:ptCount val="5"/>
                <c:pt idx="0">
                  <c:v>Δάνεια σε καθυστέρηση &gt;90 ημερών</c:v>
                </c:pt>
                <c:pt idx="1">
                  <c:v>Ρυθμισμένα ΜΕΑ (FNPE) &lt;30 ημερών</c:v>
                </c:pt>
                <c:pt idx="2">
                  <c:v>Ρυθμισμένα ΜΕΑ (FNPE) 31-90 ημερών</c:v>
                </c:pt>
                <c:pt idx="3">
                  <c:v>Λοιπά απομειωμένα δάνεια</c:v>
                </c:pt>
                <c:pt idx="4">
                  <c:v>ΜΕΑ</c:v>
                </c:pt>
              </c:strCache>
            </c:strRef>
          </c:cat>
          <c:val>
            <c:numRef>
              <c:f>Sheet1!#REF!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C-0F21-4B50-8201-2D3A6CFA03CA}"/>
            </c:ext>
          </c:extLst>
        </c:ser>
        <c:dLbls>
          <c:showLegendKey val="0"/>
          <c:showVal val="0"/>
          <c:showCatName val="0"/>
          <c:showSerName val="0"/>
          <c:showPercent val="0"/>
          <c:showBubbleSize val="0"/>
        </c:dLbls>
        <c:gapWidth val="150"/>
        <c:overlap val="100"/>
        <c:axId val="412142416"/>
        <c:axId val="412142976"/>
      </c:barChart>
      <c:catAx>
        <c:axId val="412142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ysClr val="windowText" lastClr="000000"/>
                </a:solidFill>
                <a:latin typeface="Segoe UI" pitchFamily="34" charset="0"/>
                <a:ea typeface="Segoe UI" pitchFamily="34" charset="0"/>
                <a:cs typeface="Segoe UI" pitchFamily="34" charset="0"/>
              </a:defRPr>
            </a:pPr>
            <a:endParaRPr lang="el-GR"/>
          </a:p>
        </c:txPr>
        <c:crossAx val="412142976"/>
        <c:crosses val="autoZero"/>
        <c:auto val="1"/>
        <c:lblAlgn val="ctr"/>
        <c:lblOffset val="100"/>
        <c:noMultiLvlLbl val="0"/>
      </c:catAx>
      <c:valAx>
        <c:axId val="412142976"/>
        <c:scaling>
          <c:orientation val="minMax"/>
          <c:max val="8"/>
          <c:min val="0"/>
        </c:scaling>
        <c:delete val="1"/>
        <c:axPos val="l"/>
        <c:numFmt formatCode="0.00" sourceLinked="1"/>
        <c:majorTickMark val="out"/>
        <c:minorTickMark val="none"/>
        <c:tickLblPos val="nextTo"/>
        <c:crossAx val="412142416"/>
        <c:crosses val="autoZero"/>
        <c:crossBetween val="between"/>
      </c:valAx>
      <c:spPr>
        <a:noFill/>
        <a:ln>
          <a:noFill/>
        </a:ln>
        <a:effectLst/>
      </c:spPr>
    </c:plotArea>
    <c:plotVisOnly val="1"/>
    <c:dispBlanksAs val="gap"/>
    <c:showDLblsOverMax val="0"/>
  </c:chart>
  <c:spPr>
    <a:noFill/>
    <a:ln w="9525">
      <a:solidFill>
        <a:srgbClr val="BFBFBF"/>
      </a:solidFill>
    </a:ln>
    <a:effectLst/>
  </c:spPr>
  <c:txPr>
    <a:bodyPr/>
    <a:lstStyle/>
    <a:p>
      <a:pPr>
        <a:defRPr/>
      </a:pPr>
      <a:endParaRPr lang="el-G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028700631901701"/>
          <c:y val="8.8317283667157395E-2"/>
          <c:w val="0.36363828681825677"/>
          <c:h val="0.78933833956861743"/>
        </c:manualLayout>
      </c:layout>
      <c:doughnutChart>
        <c:varyColors val="1"/>
        <c:ser>
          <c:idx val="0"/>
          <c:order val="0"/>
          <c:tx>
            <c:strRef>
              <c:f>Sheet1!$B$1</c:f>
              <c:strCache>
                <c:ptCount val="1"/>
                <c:pt idx="0">
                  <c:v>Stock</c:v>
                </c:pt>
              </c:strCache>
            </c:strRef>
          </c:tx>
          <c:dPt>
            <c:idx val="0"/>
            <c:bubble3D val="0"/>
            <c:spPr>
              <a:solidFill>
                <a:srgbClr val="008080"/>
              </a:solidFill>
              <a:ln w="19050">
                <a:solidFill>
                  <a:schemeClr val="lt1"/>
                </a:solidFill>
              </a:ln>
              <a:effectLst/>
            </c:spPr>
            <c:extLst xmlns:c16r2="http://schemas.microsoft.com/office/drawing/2015/06/chart">
              <c:ext xmlns:c16="http://schemas.microsoft.com/office/drawing/2014/chart" uri="{C3380CC4-5D6E-409C-BE32-E72D297353CC}">
                <c16:uniqueId val="{00000001-B13F-4517-BC68-827A63785A1C}"/>
              </c:ext>
            </c:extLst>
          </c:dPt>
          <c:dPt>
            <c:idx val="1"/>
            <c:bubble3D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3-B13F-4517-BC68-827A63785A1C}"/>
              </c:ext>
            </c:extLst>
          </c:dPt>
          <c:dPt>
            <c:idx val="2"/>
            <c:bubble3D val="0"/>
            <c:spPr>
              <a:solidFill>
                <a:srgbClr val="FF0000"/>
              </a:solidFill>
              <a:ln w="19050">
                <a:solidFill>
                  <a:schemeClr val="lt1"/>
                </a:solidFill>
              </a:ln>
              <a:effectLst/>
            </c:spPr>
            <c:extLst xmlns:c16r2="http://schemas.microsoft.com/office/drawing/2015/06/chart">
              <c:ext xmlns:c16="http://schemas.microsoft.com/office/drawing/2014/chart" uri="{C3380CC4-5D6E-409C-BE32-E72D297353CC}">
                <c16:uniqueId val="{00000005-B13F-4517-BC68-827A63785A1C}"/>
              </c:ext>
            </c:extLst>
          </c:dPt>
          <c:dPt>
            <c:idx val="3"/>
            <c:bubble3D val="0"/>
            <c:spPr>
              <a:solidFill>
                <a:srgbClr val="00B8B4"/>
              </a:solidFill>
              <a:ln w="19050">
                <a:solidFill>
                  <a:schemeClr val="lt1"/>
                </a:solidFill>
              </a:ln>
              <a:effectLst/>
            </c:spPr>
            <c:extLst xmlns:c16r2="http://schemas.microsoft.com/office/drawing/2015/06/chart">
              <c:ext xmlns:c16="http://schemas.microsoft.com/office/drawing/2014/chart" uri="{C3380CC4-5D6E-409C-BE32-E72D297353CC}">
                <c16:uniqueId val="{00000007-B13F-4517-BC68-827A63785A1C}"/>
              </c:ext>
            </c:extLst>
          </c:dPt>
          <c:dLbls>
            <c:dLbl>
              <c:idx val="0"/>
              <c:layout>
                <c:manualLayout>
                  <c:x val="0.11634309557927291"/>
                  <c:y val="-0.111757674801799"/>
                </c:manualLayout>
              </c:layout>
              <c:tx>
                <c:rich>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Segoe UI" pitchFamily="34" charset="0"/>
                        <a:ea typeface="Segoe UI" pitchFamily="34" charset="0"/>
                        <a:cs typeface="Segoe UI" pitchFamily="34" charset="0"/>
                      </a:defRPr>
                    </a:pPr>
                    <a:fld id="{079F1788-43D5-44FB-8E99-677AF4E7F270}" type="CATEGORYNAME">
                      <a:rPr lang="el-GR"/>
                      <a:pPr>
                        <a:defRPr sz="500" b="0" i="0" u="none" strike="noStrike" kern="1200" baseline="0">
                          <a:solidFill>
                            <a:schemeClr val="tx1">
                              <a:lumMod val="75000"/>
                              <a:lumOff val="25000"/>
                            </a:schemeClr>
                          </a:solidFill>
                          <a:latin typeface="Segoe UI" pitchFamily="34" charset="0"/>
                          <a:ea typeface="Segoe UI" pitchFamily="34" charset="0"/>
                          <a:cs typeface="Segoe UI" pitchFamily="34" charset="0"/>
                        </a:defRPr>
                      </a:pPr>
                      <a:t>[CATEGORY NAME]</a:t>
                    </a:fld>
                    <a:r>
                      <a:rPr lang="el-GR" baseline="0"/>
                      <a:t> 1,4</a:t>
                    </a:r>
                  </a:p>
                </c:rich>
              </c:tx>
              <c:numFmt formatCode="#,##0.0" sourceLinked="0"/>
              <c:spPr>
                <a:noFill/>
                <a:ln>
                  <a:noFill/>
                </a:ln>
                <a:effectLst/>
              </c:spPr>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1-B13F-4517-BC68-827A63785A1C}"/>
                </c:ext>
                <c:ext xmlns:c15="http://schemas.microsoft.com/office/drawing/2012/chart" uri="{CE6537A1-D6FC-4f65-9D91-7224C49458BB}">
                  <c15:dlblFieldTable/>
                  <c15:showDataLabelsRange val="0"/>
                </c:ext>
              </c:extLst>
            </c:dLbl>
            <c:dLbl>
              <c:idx val="1"/>
              <c:layout>
                <c:manualLayout>
                  <c:x val="0.16265697311268842"/>
                  <c:y val="5.9416404424575651E-2"/>
                </c:manualLayout>
              </c:layout>
              <c:tx>
                <c:rich>
                  <a:bodyPr rot="0" spcFirstLastPara="1" vertOverflow="ellipsis" vert="horz" wrap="square" lIns="38100" tIns="19050" rIns="38100" bIns="19050" anchor="ctr" anchorCtr="1">
                    <a:noAutofit/>
                  </a:bodyPr>
                  <a:lstStyle/>
                  <a:p>
                    <a:pPr>
                      <a:defRPr sz="500" b="0" i="0" u="none" strike="noStrike" kern="1200" baseline="0">
                        <a:solidFill>
                          <a:sysClr val="windowText" lastClr="000000"/>
                        </a:solidFill>
                        <a:latin typeface="Segoe UI" pitchFamily="34" charset="0"/>
                        <a:ea typeface="Segoe UI" pitchFamily="34" charset="0"/>
                        <a:cs typeface="Segoe UI" pitchFamily="34" charset="0"/>
                      </a:defRPr>
                    </a:pPr>
                    <a:fld id="{98A965B6-F2BF-434C-B2CB-8E4FD184CDB3}" type="CATEGORYNAME">
                      <a:rPr lang="el-GR">
                        <a:solidFill>
                          <a:sysClr val="windowText" lastClr="000000"/>
                        </a:solidFill>
                      </a:rPr>
                      <a:pPr>
                        <a:defRPr sz="500" b="0" i="0" u="none" strike="noStrike" kern="1200" baseline="0">
                          <a:solidFill>
                            <a:sysClr val="windowText" lastClr="000000"/>
                          </a:solidFill>
                          <a:latin typeface="Segoe UI" pitchFamily="34" charset="0"/>
                          <a:ea typeface="Segoe UI" pitchFamily="34" charset="0"/>
                          <a:cs typeface="Segoe UI" pitchFamily="34" charset="0"/>
                        </a:defRPr>
                      </a:pPr>
                      <a:t>[CATEGORY NAME]</a:t>
                    </a:fld>
                    <a:r>
                      <a:rPr lang="el-GR" baseline="0">
                        <a:solidFill>
                          <a:sysClr val="windowText" lastClr="000000"/>
                        </a:solidFill>
                      </a:rPr>
                      <a:t> 0,1</a:t>
                    </a:r>
                  </a:p>
                </c:rich>
              </c:tx>
              <c:numFmt formatCode="#,##0.0" sourceLinked="0"/>
              <c:spPr>
                <a:noFill/>
                <a:ln>
                  <a:noFill/>
                </a:ln>
                <a:effectLst/>
              </c:spPr>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3-B13F-4517-BC68-827A63785A1C}"/>
                </c:ext>
                <c:ext xmlns:c15="http://schemas.microsoft.com/office/drawing/2012/chart" uri="{CE6537A1-D6FC-4f65-9D91-7224C49458BB}">
                  <c15:layout>
                    <c:manualLayout>
                      <c:w val="0.30294209267663813"/>
                      <c:h val="0.15850879917883334"/>
                    </c:manualLayout>
                  </c15:layout>
                  <c15:dlblFieldTable/>
                  <c15:showDataLabelsRange val="0"/>
                </c:ext>
              </c:extLst>
            </c:dLbl>
            <c:dLbl>
              <c:idx val="2"/>
              <c:layout>
                <c:manualLayout>
                  <c:x val="0.12053122848384054"/>
                  <c:y val="0.12122742804662266"/>
                </c:manualLayout>
              </c:layout>
              <c:tx>
                <c:rich>
                  <a:bodyPr rot="0" spcFirstLastPara="1" vertOverflow="ellipsis" vert="horz" wrap="square" lIns="38100" tIns="19050" rIns="38100" bIns="19050" anchor="ctr" anchorCtr="1">
                    <a:noAutofit/>
                  </a:bodyPr>
                  <a:lstStyle/>
                  <a:p>
                    <a:pPr>
                      <a:defRPr sz="500" b="0" i="0" u="none" strike="noStrike" kern="1200" baseline="0">
                        <a:solidFill>
                          <a:schemeClr val="tx1">
                            <a:lumMod val="75000"/>
                            <a:lumOff val="25000"/>
                          </a:schemeClr>
                        </a:solidFill>
                        <a:latin typeface="Segoe UI" pitchFamily="34" charset="0"/>
                        <a:ea typeface="Segoe UI" pitchFamily="34" charset="0"/>
                        <a:cs typeface="Segoe UI" pitchFamily="34" charset="0"/>
                      </a:defRPr>
                    </a:pPr>
                    <a:fld id="{3857FB36-45A8-4A58-A61B-E7A2785D8F3B}" type="CATEGORYNAME">
                      <a:rPr lang="el-GR"/>
                      <a:pPr>
                        <a:defRPr sz="500" b="0" i="0" u="none" strike="noStrike" kern="1200" baseline="0">
                          <a:solidFill>
                            <a:schemeClr val="tx1">
                              <a:lumMod val="75000"/>
                              <a:lumOff val="25000"/>
                            </a:schemeClr>
                          </a:solidFill>
                          <a:latin typeface="Segoe UI" pitchFamily="34" charset="0"/>
                          <a:ea typeface="Segoe UI" pitchFamily="34" charset="0"/>
                          <a:cs typeface="Segoe UI" pitchFamily="34" charset="0"/>
                        </a:defRPr>
                      </a:pPr>
                      <a:t>[CATEGORY NAME]</a:t>
                    </a:fld>
                    <a:r>
                      <a:rPr lang="el-GR" baseline="0"/>
                      <a:t> 0,4</a:t>
                    </a:r>
                  </a:p>
                </c:rich>
              </c:tx>
              <c:numFmt formatCode="#,##0.0" sourceLinked="0"/>
              <c:spPr>
                <a:noFill/>
                <a:ln>
                  <a:noFill/>
                </a:ln>
                <a:effectLst/>
              </c:spPr>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5-B13F-4517-BC68-827A63785A1C}"/>
                </c:ext>
                <c:ext xmlns:c15="http://schemas.microsoft.com/office/drawing/2012/chart" uri="{CE6537A1-D6FC-4f65-9D91-7224C49458BB}">
                  <c15:layout>
                    <c:manualLayout>
                      <c:w val="0.30424021099614518"/>
                      <c:h val="0.17109777015437394"/>
                    </c:manualLayout>
                  </c15:layout>
                  <c15:dlblFieldTable/>
                  <c15:showDataLabelsRange val="0"/>
                </c:ext>
              </c:extLst>
            </c:dLbl>
            <c:dLbl>
              <c:idx val="3"/>
              <c:layout>
                <c:manualLayout>
                  <c:x val="-0.16105389443483289"/>
                  <c:y val="-0.12980308207614696"/>
                </c:manualLayout>
              </c:layout>
              <c:tx>
                <c:rich>
                  <a:bodyPr rot="0" spcFirstLastPara="1" vertOverflow="ellipsis" vert="horz" wrap="square" lIns="38100" tIns="19050" rIns="38100" bIns="19050" anchor="ctr" anchorCtr="1">
                    <a:noAutofit/>
                  </a:bodyPr>
                  <a:lstStyle/>
                  <a:p>
                    <a:pPr>
                      <a:defRPr sz="500" b="0" i="0" u="none" strike="noStrike" kern="1200" baseline="0">
                        <a:solidFill>
                          <a:schemeClr val="tx1">
                            <a:lumMod val="75000"/>
                            <a:lumOff val="25000"/>
                          </a:schemeClr>
                        </a:solidFill>
                        <a:latin typeface="Segoe UI" pitchFamily="34" charset="0"/>
                        <a:ea typeface="Segoe UI" pitchFamily="34" charset="0"/>
                        <a:cs typeface="Segoe UI" pitchFamily="34" charset="0"/>
                      </a:defRPr>
                    </a:pPr>
                    <a:fld id="{4B0A5448-4624-4736-916F-D3DFC1E34127}" type="CATEGORYNAME">
                      <a:rPr lang="el-GR"/>
                      <a:pPr>
                        <a:defRPr sz="500" b="0" i="0" u="none" strike="noStrike" kern="1200" baseline="0">
                          <a:solidFill>
                            <a:schemeClr val="tx1">
                              <a:lumMod val="75000"/>
                              <a:lumOff val="25000"/>
                            </a:schemeClr>
                          </a:solidFill>
                          <a:latin typeface="Segoe UI" pitchFamily="34" charset="0"/>
                          <a:ea typeface="Segoe UI" pitchFamily="34" charset="0"/>
                          <a:cs typeface="Segoe UI" pitchFamily="34" charset="0"/>
                        </a:defRPr>
                      </a:pPr>
                      <a:t>[CATEGORY NAME]</a:t>
                    </a:fld>
                    <a:r>
                      <a:rPr lang="en-US" baseline="0"/>
                      <a:t> 2,4</a:t>
                    </a:r>
                  </a:p>
                </c:rich>
              </c:tx>
              <c:numFmt formatCode="#,##0.0" sourceLinked="0"/>
              <c:spPr>
                <a:noFill/>
                <a:ln>
                  <a:noFill/>
                </a:ln>
                <a:effectLst/>
              </c:spPr>
              <c:showLegendKey val="0"/>
              <c:showVal val="1"/>
              <c:showCatName val="1"/>
              <c:showSerName val="0"/>
              <c:showPercent val="0"/>
              <c:showBubbleSize val="0"/>
              <c:separator> </c:separator>
              <c:extLst>
                <c:ext xmlns:c15="http://schemas.microsoft.com/office/drawing/2012/chart" uri="{CE6537A1-D6FC-4f65-9D91-7224C49458BB}">
                  <c15:layout>
                    <c:manualLayout>
                      <c:w val="0.24838693702544637"/>
                      <c:h val="0.27958833619210977"/>
                    </c:manualLayout>
                  </c15:layout>
                  <c15:dlblFieldTable/>
                  <c15:showDataLabelsRange val="0"/>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Segoe UI" pitchFamily="34" charset="0"/>
                    <a:ea typeface="Segoe UI" pitchFamily="34" charset="0"/>
                    <a:cs typeface="Segoe UI" pitchFamily="34" charset="0"/>
                  </a:defRPr>
                </a:pPr>
                <a:endParaRPr lang="el-GR"/>
              </a:p>
            </c:txPr>
            <c:showLegendKey val="0"/>
            <c:showVal val="1"/>
            <c:showCatName val="1"/>
            <c:showSerName val="0"/>
            <c:showPercent val="0"/>
            <c:showBubbleSize val="0"/>
            <c:separator> </c:separator>
            <c:showLeaderLines val="0"/>
            <c:extLst xmlns:c16r2="http://schemas.microsoft.com/office/drawing/2015/06/chart">
              <c:ext xmlns:c15="http://schemas.microsoft.com/office/drawing/2012/chart" uri="{CE6537A1-D6FC-4f65-9D91-7224C49458BB}"/>
            </c:extLst>
          </c:dLbls>
          <c:cat>
            <c:strRef>
              <c:f>Sheet1!$A$2:$A$5</c:f>
              <c:strCache>
                <c:ptCount val="4"/>
                <c:pt idx="0">
                  <c:v>Ρυθμισμένα ΜΕΑ (FNPE) &lt;30 ημερών</c:v>
                </c:pt>
                <c:pt idx="1">
                  <c:v>Ρυθμισμένα ΜΕΑ (FNPE) 31-90 ημερών</c:v>
                </c:pt>
                <c:pt idx="2">
                  <c:v>Ρυθμισμένα ΜΕΑ (FNPE) &gt;90 ημερών</c:v>
                </c:pt>
                <c:pt idx="3">
                  <c:v>Ρυθμισμένα εξυπηρετούμενα ανοίγματα (FPE)</c:v>
                </c:pt>
              </c:strCache>
            </c:strRef>
          </c:cat>
          <c:val>
            <c:numRef>
              <c:f>Sheet1!$B$2:$B$5</c:f>
              <c:numCache>
                <c:formatCode>0.000</c:formatCode>
                <c:ptCount val="4"/>
                <c:pt idx="0">
                  <c:v>1.4039999999999999</c:v>
                </c:pt>
                <c:pt idx="1">
                  <c:v>7.8E-2</c:v>
                </c:pt>
                <c:pt idx="2">
                  <c:v>0.437</c:v>
                </c:pt>
                <c:pt idx="3">
                  <c:v>2.4340000000000002</c:v>
                </c:pt>
              </c:numCache>
            </c:numRef>
          </c:val>
          <c:extLst xmlns:c16r2="http://schemas.microsoft.com/office/drawing/2015/06/chart">
            <c:ext xmlns:c16="http://schemas.microsoft.com/office/drawing/2014/chart" uri="{C3380CC4-5D6E-409C-BE32-E72D297353CC}">
              <c16:uniqueId val="{00000008-B13F-4517-BC68-827A63785A1C}"/>
            </c:ext>
          </c:extLst>
        </c:ser>
        <c:dLbls>
          <c:showLegendKey val="0"/>
          <c:showVal val="0"/>
          <c:showCatName val="0"/>
          <c:showSerName val="0"/>
          <c:showPercent val="0"/>
          <c:showBubbleSize val="0"/>
          <c:showLeaderLines val="0"/>
        </c:dLbls>
        <c:firstSliceAng val="0"/>
        <c:holeSize val="75"/>
      </c:doughnutChart>
      <c:spPr>
        <a:noFill/>
        <a:ln>
          <a:noFill/>
        </a:ln>
        <a:effectLst/>
      </c:spPr>
    </c:plotArea>
    <c:plotVisOnly val="1"/>
    <c:dispBlanksAs val="gap"/>
    <c:showDLblsOverMax val="0"/>
  </c:chart>
  <c:spPr>
    <a:noFill/>
    <a:ln w="9525">
      <a:solidFill>
        <a:srgbClr val="BFBFBF"/>
      </a:solidFill>
    </a:ln>
    <a:effectLst/>
  </c:spPr>
  <c:txPr>
    <a:bodyPr/>
    <a:lstStyle/>
    <a:p>
      <a:pPr>
        <a:defRPr/>
      </a:pPr>
      <a:endParaRPr lang="el-GR"/>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732631427552933E-2"/>
          <c:y val="0.1404235193266257"/>
          <c:w val="0.84241266708989271"/>
          <c:h val="0.70086758277692995"/>
        </c:manualLayout>
      </c:layout>
      <c:barChart>
        <c:barDir val="col"/>
        <c:grouping val="stacked"/>
        <c:varyColors val="0"/>
        <c:ser>
          <c:idx val="0"/>
          <c:order val="0"/>
          <c:tx>
            <c:strRef>
              <c:f>Sheet1!$B$1</c:f>
              <c:strCache>
                <c:ptCount val="1"/>
                <c:pt idx="0">
                  <c:v>Series 1</c:v>
                </c:pt>
              </c:strCache>
            </c:strRef>
          </c:tx>
          <c:spPr>
            <a:noFill/>
            <a:ln>
              <a:solidFill>
                <a:srgbClr val="008080"/>
              </a:solidFill>
            </a:ln>
            <a:effectLst/>
          </c:spPr>
          <c:invertIfNegative val="0"/>
          <c:dPt>
            <c:idx val="0"/>
            <c:invertIfNegative val="0"/>
            <c:bubble3D val="0"/>
            <c:spPr>
              <a:solidFill>
                <a:srgbClr val="008080"/>
              </a:solidFill>
              <a:ln w="3175">
                <a:solidFill>
                  <a:srgbClr val="008080"/>
                </a:solidFill>
              </a:ln>
              <a:effectLst/>
            </c:spPr>
          </c:dPt>
          <c:dPt>
            <c:idx val="1"/>
            <c:invertIfNegative val="0"/>
            <c:bubble3D val="0"/>
            <c:spPr>
              <a:noFill/>
              <a:ln>
                <a:noFill/>
              </a:ln>
              <a:effectLst/>
            </c:spPr>
          </c:dPt>
          <c:dPt>
            <c:idx val="2"/>
            <c:invertIfNegative val="0"/>
            <c:bubble3D val="0"/>
            <c:spPr>
              <a:noFill/>
              <a:ln>
                <a:noFill/>
              </a:ln>
              <a:effectLst/>
            </c:spPr>
          </c:dPt>
          <c:dPt>
            <c:idx val="3"/>
            <c:invertIfNegative val="0"/>
            <c:bubble3D val="0"/>
            <c:spPr>
              <a:noFill/>
              <a:ln>
                <a:noFill/>
              </a:ln>
              <a:effectLst/>
            </c:spPr>
          </c:dPt>
          <c:dPt>
            <c:idx val="4"/>
            <c:invertIfNegative val="0"/>
            <c:bubble3D val="0"/>
            <c:spPr>
              <a:solidFill>
                <a:srgbClr val="008080"/>
              </a:solidFill>
              <a:ln>
                <a:solidFill>
                  <a:srgbClr val="008080"/>
                </a:solidFill>
              </a:ln>
              <a:effectLst/>
            </c:spPr>
          </c:dPt>
          <c:dPt>
            <c:idx val="5"/>
            <c:invertIfNegative val="0"/>
            <c:bubble3D val="0"/>
            <c:spPr>
              <a:noFill/>
              <a:ln>
                <a:noFill/>
              </a:ln>
              <a:effectLst/>
            </c:spPr>
          </c:dPt>
          <c:dPt>
            <c:idx val="6"/>
            <c:invertIfNegative val="0"/>
            <c:bubble3D val="0"/>
            <c:spPr>
              <a:noFill/>
              <a:ln>
                <a:noFill/>
              </a:ln>
              <a:effectLst/>
            </c:spPr>
          </c:dPt>
          <c:dPt>
            <c:idx val="7"/>
            <c:invertIfNegative val="0"/>
            <c:bubble3D val="0"/>
            <c:spPr>
              <a:solidFill>
                <a:srgbClr val="FF7415"/>
              </a:solidFill>
              <a:ln>
                <a:solidFill>
                  <a:srgbClr val="FF7415"/>
                </a:solidFill>
              </a:ln>
              <a:effectLst/>
            </c:spPr>
          </c:dPt>
          <c:dPt>
            <c:idx val="9"/>
            <c:invertIfNegative val="0"/>
            <c:bubble3D val="0"/>
            <c:spPr>
              <a:solidFill>
                <a:srgbClr val="FF7415"/>
              </a:solidFill>
              <a:ln>
                <a:solidFill>
                  <a:srgbClr val="FF7415"/>
                </a:solidFill>
              </a:ln>
              <a:effectLst/>
            </c:spPr>
          </c:dPt>
          <c:dLbls>
            <c:dLbl>
              <c:idx val="0"/>
              <c:layout>
                <c:manualLayout>
                  <c:x val="1.9652707261009926E-3"/>
                  <c:y val="-2.3498875199509151E-2"/>
                </c:manualLayout>
              </c:layout>
              <c:tx>
                <c:rich>
                  <a:bodyPr/>
                  <a:lstStyle/>
                  <a:p>
                    <a:r>
                      <a:rPr lang="en-US" b="1"/>
                      <a:t>15,7%</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16,0%</a:t>
                    </a:r>
                  </a:p>
                </c:rich>
              </c:tx>
              <c:showLegendKey val="0"/>
              <c:showVal val="1"/>
              <c:showCatName val="0"/>
              <c:showSerName val="0"/>
              <c:showPercent val="0"/>
              <c:showBubbleSize val="0"/>
              <c:extLst>
                <c:ext xmlns:c15="http://schemas.microsoft.com/office/drawing/2012/chart" uri="{CE6537A1-D6FC-4f65-9D91-7224C49458BB}"/>
              </c:extLst>
            </c:dLbl>
            <c:dLbl>
              <c:idx val="7"/>
              <c:tx>
                <c:rich>
                  <a:bodyPr/>
                  <a:lstStyle/>
                  <a:p>
                    <a:pPr>
                      <a:defRPr sz="600" b="1">
                        <a:latin typeface="Segoe UI" panose="020B0502040204020203" pitchFamily="34" charset="0"/>
                        <a:cs typeface="Segoe UI" panose="020B0502040204020203" pitchFamily="34" charset="0"/>
                      </a:defRPr>
                    </a:pPr>
                    <a:r>
                      <a:rPr lang="en-US"/>
                      <a:t>6,19%</a:t>
                    </a:r>
                    <a:r>
                      <a:rPr lang="en-US" baseline="30000"/>
                      <a:t>4</a:t>
                    </a:r>
                  </a:p>
                </c:rich>
              </c:tx>
              <c:numFmt formatCode="0.00%" sourceLinked="0"/>
              <c:spPr>
                <a:solidFill>
                  <a:sysClr val="window" lastClr="FFFFFF"/>
                </a:solidFill>
                <a:ln>
                  <a:solidFill>
                    <a:srgbClr val="FF7415"/>
                  </a:solidFill>
                </a:ln>
              </c:spPr>
              <c:showLegendKey val="0"/>
              <c:showVal val="1"/>
              <c:showCatName val="0"/>
              <c:showSerName val="0"/>
              <c:showPercent val="0"/>
              <c:showBubbleSize val="0"/>
              <c:extLst>
                <c:ext xmlns:c15="http://schemas.microsoft.com/office/drawing/2012/chart" uri="{CE6537A1-D6FC-4f65-9D91-7224C49458BB}"/>
              </c:extLst>
            </c:dLbl>
            <c:dLbl>
              <c:idx val="9"/>
              <c:tx>
                <c:rich>
                  <a:bodyPr/>
                  <a:lstStyle/>
                  <a:p>
                    <a:pPr>
                      <a:defRPr sz="600" b="1">
                        <a:latin typeface="Segoe UI" panose="020B0502040204020203" pitchFamily="34" charset="0"/>
                        <a:cs typeface="Segoe UI" panose="020B0502040204020203" pitchFamily="34" charset="0"/>
                      </a:defRPr>
                    </a:pPr>
                    <a:r>
                      <a:rPr lang="en-US" sz="600" b="1">
                        <a:latin typeface="Segoe UI" panose="020B0502040204020203" pitchFamily="34" charset="0"/>
                        <a:cs typeface="Segoe UI" panose="020B0502040204020203" pitchFamily="34" charset="0"/>
                      </a:rPr>
                      <a:t>6.19%</a:t>
                    </a:r>
                    <a:r>
                      <a:rPr lang="en-US" sz="600" b="1" baseline="30000">
                        <a:latin typeface="Segoe UI" panose="020B0502040204020203" pitchFamily="34" charset="0"/>
                        <a:cs typeface="Segoe UI" panose="020B0502040204020203" pitchFamily="34" charset="0"/>
                      </a:rPr>
                      <a:t>4</a:t>
                    </a:r>
                    <a:endParaRPr lang="en-US" sz="600" baseline="30000">
                      <a:latin typeface="Segoe UI" panose="020B0502040204020203" pitchFamily="34" charset="0"/>
                      <a:cs typeface="Segoe UI" panose="020B0502040204020203" pitchFamily="34" charset="0"/>
                    </a:endParaRPr>
                  </a:p>
                </c:rich>
              </c:tx>
              <c:numFmt formatCode="0.00%" sourceLinked="0"/>
              <c:spPr>
                <a:solidFill>
                  <a:sysClr val="window" lastClr="FFFFFF"/>
                </a:solidFill>
                <a:ln>
                  <a:solidFill>
                    <a:srgbClr val="FF7415"/>
                  </a:solidFill>
                </a:ln>
              </c:spPr>
              <c:showLegendKey val="0"/>
              <c:showVal val="1"/>
              <c:showCatName val="0"/>
              <c:showSerName val="0"/>
              <c:showPercent val="0"/>
              <c:showBubbleSize val="0"/>
              <c:extLst>
                <c:ext xmlns:c15="http://schemas.microsoft.com/office/drawing/2012/chart" uri="{CE6537A1-D6FC-4f65-9D91-7224C49458BB}"/>
              </c:extLst>
            </c:dLbl>
            <c:numFmt formatCode="0.00%" sourceLinked="0"/>
            <c:spPr>
              <a:solidFill>
                <a:sysClr val="window" lastClr="FFFFFF"/>
              </a:solidFill>
              <a:ln>
                <a:solidFill>
                  <a:srgbClr val="008080"/>
                </a:solidFill>
              </a:ln>
            </c:spPr>
            <c:txPr>
              <a:bodyPr/>
              <a:lstStyle/>
              <a:p>
                <a:pPr>
                  <a:defRPr sz="600" b="1">
                    <a:latin typeface="Segoe UI" panose="020B0502040204020203" pitchFamily="34" charset="0"/>
                    <a:cs typeface="Segoe UI" panose="020B0502040204020203" pitchFamily="34" charset="0"/>
                  </a:defRPr>
                </a:pPr>
                <a:endParaRPr lang="el-GR"/>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Sheet1!$A$2:$A$9</c:f>
              <c:strCache>
                <c:ptCount val="8"/>
                <c:pt idx="0">
                  <c:v>Δείκτης CET1 Δ' τριμήνου 2020</c:v>
                </c:pt>
                <c:pt idx="1">
                  <c:v>Αποτέλεσμα μετά φόρων Α' εξαμήνου 2021 εξαιρουμένου του αποτελέσματος αποτίμησης ομολόγων (FVTOCI)</c:v>
                </c:pt>
                <c:pt idx="2">
                  <c:v>Φορολογικές απαιτήσεις (DTC)</c:v>
                </c:pt>
                <c:pt idx="3">
                  <c:v>ΣτΕ, ΔΠΧΑ 9 &amp; λοιπά</c:v>
                </c:pt>
                <c:pt idx="4">
                  <c:v>Δείκτης CET1 Α' εξαμήνου 2021</c:v>
                </c:pt>
                <c:pt idx="5">
                  <c:v>Ολοκλήρωση συναλλαγών Frontier &amp; Εθνικής Ασφαλιστικής</c:v>
                </c:pt>
                <c:pt idx="7">
                  <c:v>Κεφαλαικές απαιτήσεις 2021 </c:v>
                </c:pt>
              </c:strCache>
            </c:strRef>
          </c:cat>
          <c:val>
            <c:numRef>
              <c:f>Sheet1!$B$2:$B$9</c:f>
              <c:numCache>
                <c:formatCode>0.00%</c:formatCode>
                <c:ptCount val="8"/>
                <c:pt idx="0">
                  <c:v>0.157</c:v>
                </c:pt>
                <c:pt idx="1">
                  <c:v>0.157</c:v>
                </c:pt>
                <c:pt idx="2">
                  <c:v>0.16599999999999998</c:v>
                </c:pt>
                <c:pt idx="3">
                  <c:v>0.15999999999999998</c:v>
                </c:pt>
                <c:pt idx="4">
                  <c:v>0.15999999999999998</c:v>
                </c:pt>
                <c:pt idx="5">
                  <c:v>0.17</c:v>
                </c:pt>
                <c:pt idx="7">
                  <c:v>6.1899999999999997E-2</c:v>
                </c:pt>
              </c:numCache>
            </c:numRef>
          </c:val>
        </c:ser>
        <c:ser>
          <c:idx val="1"/>
          <c:order val="1"/>
          <c:tx>
            <c:strRef>
              <c:f>Sheet1!$C$1</c:f>
              <c:strCache>
                <c:ptCount val="1"/>
                <c:pt idx="0">
                  <c:v>Series 2</c:v>
                </c:pt>
              </c:strCache>
            </c:strRef>
          </c:tx>
          <c:spPr>
            <a:noFill/>
            <a:ln w="9525">
              <a:solidFill>
                <a:srgbClr val="008080"/>
              </a:solidFill>
            </a:ln>
            <a:effectLst/>
          </c:spPr>
          <c:invertIfNegative val="0"/>
          <c:dPt>
            <c:idx val="0"/>
            <c:invertIfNegative val="0"/>
            <c:bubble3D val="0"/>
            <c:spPr>
              <a:noFill/>
              <a:ln w="9525">
                <a:solidFill>
                  <a:srgbClr val="008080"/>
                </a:solidFill>
                <a:prstDash val="dash"/>
              </a:ln>
              <a:effectLst/>
            </c:spPr>
          </c:dPt>
          <c:dPt>
            <c:idx val="1"/>
            <c:invertIfNegative val="0"/>
            <c:bubble3D val="0"/>
          </c:dPt>
          <c:dPt>
            <c:idx val="2"/>
            <c:invertIfNegative val="0"/>
            <c:bubble3D val="0"/>
            <c:spPr>
              <a:noFill/>
              <a:ln w="9525">
                <a:solidFill>
                  <a:srgbClr val="FF0000"/>
                </a:solidFill>
              </a:ln>
              <a:effectLst/>
            </c:spPr>
          </c:dPt>
          <c:dPt>
            <c:idx val="3"/>
            <c:invertIfNegative val="0"/>
            <c:bubble3D val="0"/>
            <c:spPr>
              <a:noFill/>
              <a:ln w="9525">
                <a:solidFill>
                  <a:srgbClr val="FF0000"/>
                </a:solidFill>
              </a:ln>
              <a:effectLst/>
            </c:spPr>
          </c:dPt>
          <c:dPt>
            <c:idx val="4"/>
            <c:invertIfNegative val="0"/>
            <c:bubble3D val="0"/>
            <c:spPr>
              <a:noFill/>
              <a:ln w="9525">
                <a:solidFill>
                  <a:srgbClr val="008080"/>
                </a:solidFill>
                <a:prstDash val="dash"/>
              </a:ln>
              <a:effectLst/>
            </c:spPr>
          </c:dPt>
          <c:dPt>
            <c:idx val="5"/>
            <c:invertIfNegative val="0"/>
            <c:bubble3D val="0"/>
            <c:spPr>
              <a:noFill/>
              <a:ln w="9525">
                <a:solidFill>
                  <a:srgbClr val="008080"/>
                </a:solidFill>
                <a:prstDash val="solid"/>
              </a:ln>
              <a:effectLst/>
            </c:spPr>
          </c:dPt>
          <c:dPt>
            <c:idx val="6"/>
            <c:invertIfNegative val="0"/>
            <c:bubble3D val="0"/>
          </c:dPt>
          <c:dPt>
            <c:idx val="7"/>
            <c:invertIfNegative val="0"/>
            <c:bubble3D val="0"/>
            <c:spPr>
              <a:noFill/>
              <a:ln w="9525">
                <a:solidFill>
                  <a:srgbClr val="FF7415"/>
                </a:solidFill>
                <a:prstDash val="dash"/>
              </a:ln>
              <a:effectLst/>
            </c:spPr>
          </c:dPt>
          <c:dPt>
            <c:idx val="8"/>
            <c:invertIfNegative val="0"/>
            <c:bubble3D val="0"/>
          </c:dPt>
          <c:dPt>
            <c:idx val="9"/>
            <c:invertIfNegative val="0"/>
            <c:bubble3D val="0"/>
            <c:spPr>
              <a:noFill/>
              <a:ln w="9525">
                <a:solidFill>
                  <a:srgbClr val="FF7415"/>
                </a:solidFill>
                <a:prstDash val="dash"/>
              </a:ln>
              <a:effectLst/>
            </c:spPr>
          </c:dPt>
          <c:dPt>
            <c:idx val="10"/>
            <c:invertIfNegative val="0"/>
            <c:bubble3D val="0"/>
            <c:spPr>
              <a:noFill/>
              <a:ln w="9525">
                <a:solidFill>
                  <a:srgbClr val="FF7419"/>
                </a:solidFill>
              </a:ln>
              <a:effectLst/>
            </c:spPr>
          </c:dPt>
          <c:dPt>
            <c:idx val="11"/>
            <c:invertIfNegative val="0"/>
            <c:bubble3D val="0"/>
            <c:spPr>
              <a:noFill/>
              <a:ln w="9525">
                <a:solidFill>
                  <a:srgbClr val="FF7415"/>
                </a:solidFill>
              </a:ln>
              <a:effectLst/>
            </c:spPr>
          </c:dPt>
          <c:dLbls>
            <c:dLbl>
              <c:idx val="0"/>
              <c:layout>
                <c:manualLayout>
                  <c:x val="-1.2379658117171608E-6"/>
                  <c:y val="-6.8804361984948867E-2"/>
                </c:manualLayout>
              </c:layout>
              <c:tx>
                <c:rich>
                  <a:bodyPr/>
                  <a:lstStyle/>
                  <a:p>
                    <a:pPr>
                      <a:defRPr lang="el-GR" sz="600" b="1"/>
                    </a:pPr>
                    <a:r>
                      <a:rPr lang="en-US" sz="600" b="1"/>
                      <a:t>16,7%</a:t>
                    </a:r>
                  </a:p>
                </c:rich>
              </c:tx>
              <c:numFmt formatCode="0.0%" sourceLinked="0"/>
              <c:spPr>
                <a:ln>
                  <a:solidFill>
                    <a:srgbClr val="008080"/>
                  </a:solidFill>
                </a:ln>
              </c:spPr>
              <c:showLegendKey val="0"/>
              <c:showVal val="1"/>
              <c:showCatName val="0"/>
              <c:showSerName val="0"/>
              <c:showPercent val="0"/>
              <c:showBubbleSize val="0"/>
              <c:extLst>
                <c:ext xmlns:c15="http://schemas.microsoft.com/office/drawing/2012/chart" uri="{CE6537A1-D6FC-4f65-9D91-7224C49458BB}"/>
              </c:extLst>
            </c:dLbl>
            <c:dLbl>
              <c:idx val="1"/>
              <c:layout>
                <c:manualLayout>
                  <c:x val="-1.5469753769476227E-7"/>
                  <c:y val="-4.2207877389743041E-2"/>
                </c:manualLayout>
              </c:layout>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2.3197532401153379E-6"/>
                  <c:y val="2.832872075880238E-2"/>
                </c:manualLayout>
              </c:layout>
              <c:tx>
                <c:rich>
                  <a:bodyPr/>
                  <a:lstStyle/>
                  <a:p>
                    <a:r>
                      <a:rPr lang="en-US"/>
                      <a:t> -0,2%</a:t>
                    </a:r>
                  </a:p>
                </c:rich>
              </c:tx>
              <c:showLegendKey val="0"/>
              <c:showVal val="1"/>
              <c:showCatName val="0"/>
              <c:showSerName val="0"/>
              <c:showPercent val="0"/>
              <c:showBubbleSize val="0"/>
              <c:extLst>
                <c:ext xmlns:c15="http://schemas.microsoft.com/office/drawing/2012/chart" uri="{CE6537A1-D6FC-4f65-9D91-7224C49458BB}"/>
              </c:extLst>
            </c:dLbl>
            <c:dLbl>
              <c:idx val="3"/>
              <c:layout>
                <c:manualLayout>
                  <c:x val="-7.2014618668560507E-17"/>
                  <c:y val="3.7508544655756607E-2"/>
                </c:manualLayout>
              </c:layout>
              <c:tx>
                <c:rich>
                  <a:bodyPr wrap="square" lIns="38100" tIns="19050" rIns="38100" bIns="19050" anchor="ctr">
                    <a:spAutoFit/>
                  </a:bodyPr>
                  <a:lstStyle/>
                  <a:p>
                    <a:pPr>
                      <a:defRPr lang="el-GR" sz="600"/>
                    </a:pPr>
                    <a:r>
                      <a:rPr lang="en-US" sz="600"/>
                      <a:t>-0,6%</a:t>
                    </a:r>
                  </a:p>
                </c:rich>
              </c:tx>
              <c:numFmt formatCode="0.0%" sourceLinked="0"/>
              <c:spPr>
                <a:noFill/>
                <a:ln>
                  <a:noFill/>
                </a:ln>
                <a:effectLst/>
              </c:spPr>
              <c:showLegendKey val="0"/>
              <c:showVal val="1"/>
              <c:showCatName val="0"/>
              <c:showSerName val="0"/>
              <c:showPercent val="0"/>
              <c:showBubbleSize val="0"/>
              <c:extLst>
                <c:ext xmlns:c15="http://schemas.microsoft.com/office/drawing/2012/chart" uri="{CE6537A1-D6FC-4f65-9D91-7224C49458BB}"/>
              </c:extLst>
            </c:dLbl>
            <c:dLbl>
              <c:idx val="4"/>
              <c:layout>
                <c:manualLayout>
                  <c:x val="1.237201727989499E-6"/>
                  <c:y val="-6.3625446631465785E-2"/>
                </c:manualLayout>
              </c:layout>
              <c:tx>
                <c:rich>
                  <a:bodyPr wrap="square" lIns="38100" tIns="19050" rIns="38100" bIns="19050" anchor="ctr">
                    <a:spAutoFit/>
                  </a:bodyPr>
                  <a:lstStyle/>
                  <a:p>
                    <a:pPr>
                      <a:defRPr lang="el-GR" sz="700" b="1"/>
                    </a:pPr>
                    <a:r>
                      <a:rPr lang="en-US" sz="700" b="1"/>
                      <a:t>17,0%</a:t>
                    </a:r>
                  </a:p>
                </c:rich>
              </c:tx>
              <c:numFmt formatCode="0.0%" sourceLinked="0"/>
              <c:spPr>
                <a:noFill/>
                <a:ln>
                  <a:solidFill>
                    <a:srgbClr val="008080"/>
                  </a:solidFill>
                </a:ln>
                <a:effectLst/>
              </c:spPr>
              <c:showLegendKey val="0"/>
              <c:showVal val="1"/>
              <c:showCatName val="0"/>
              <c:showSerName val="0"/>
              <c:showPercent val="0"/>
              <c:showBubbleSize val="0"/>
              <c:extLst>
                <c:ext xmlns:c15="http://schemas.microsoft.com/office/drawing/2012/chart" uri="{CE6537A1-D6FC-4f65-9D91-7224C49458BB}"/>
              </c:extLst>
            </c:dLbl>
            <c:dLbl>
              <c:idx val="5"/>
              <c:layout>
                <c:manualLayout>
                  <c:x val="-1.5465021600048776E-6"/>
                  <c:y val="5.5259258711853887E-2"/>
                </c:manualLayout>
              </c:layout>
              <c:tx>
                <c:rich>
                  <a:bodyPr wrap="square" lIns="38100" tIns="19050" rIns="38100" bIns="19050" anchor="ctr">
                    <a:spAutoFit/>
                  </a:bodyPr>
                  <a:lstStyle/>
                  <a:p>
                    <a:pPr>
                      <a:defRPr lang="el-GR" sz="600" b="0"/>
                    </a:pPr>
                    <a:r>
                      <a:rPr lang="en-US" sz="600" b="0"/>
                      <a:t>+1,7%</a:t>
                    </a:r>
                  </a:p>
                </c:rich>
              </c:tx>
              <c:numFmt formatCode="0.0%" sourceLinked="0"/>
              <c:spPr>
                <a:noFill/>
                <a:ln>
                  <a:noFill/>
                  <a:prstDash val="dash"/>
                </a:ln>
                <a:effectLst/>
              </c:spPr>
              <c:showLegendKey val="0"/>
              <c:showVal val="1"/>
              <c:showCatName val="0"/>
              <c:showSerName val="0"/>
              <c:showPercent val="0"/>
              <c:showBubbleSize val="0"/>
              <c:extLst>
                <c:ext xmlns:c15="http://schemas.microsoft.com/office/drawing/2012/chart" uri="{CE6537A1-D6FC-4f65-9D91-7224C49458BB}"/>
              </c:extLst>
            </c:dLbl>
            <c:dLbl>
              <c:idx val="6"/>
              <c:layout>
                <c:manualLayout>
                  <c:x val="-9.2790129619016449E-7"/>
                  <c:y val="-6.3540831445811186E-2"/>
                </c:manualLayout>
              </c:layout>
              <c:tx>
                <c:rich>
                  <a:bodyPr wrap="square" lIns="38100" tIns="19050" rIns="38100" bIns="19050" anchor="ctr">
                    <a:spAutoFit/>
                  </a:bodyPr>
                  <a:lstStyle/>
                  <a:p>
                    <a:pPr>
                      <a:defRPr lang="el-GR" sz="600" b="0"/>
                    </a:pPr>
                    <a:r>
                      <a:rPr lang="en-US" sz="600" b="1"/>
                      <a:t>+1,5%</a:t>
                    </a:r>
                  </a:p>
                </c:rich>
              </c:tx>
              <c:numFmt formatCode="0.0%" sourceLinked="0"/>
              <c:spPr>
                <a:noFill/>
                <a:ln>
                  <a:solidFill>
                    <a:srgbClr val="008080"/>
                  </a:solidFill>
                  <a:prstDash val="dash"/>
                </a:ln>
                <a:effectLst/>
              </c:spPr>
              <c:showLegendKey val="0"/>
              <c:showVal val="1"/>
              <c:showCatName val="0"/>
              <c:showSerName val="0"/>
              <c:showPercent val="0"/>
              <c:showBubbleSize val="0"/>
              <c:extLst>
                <c:ext xmlns:c15="http://schemas.microsoft.com/office/drawing/2012/chart" uri="{CE6537A1-D6FC-4f65-9D91-7224C49458BB}"/>
              </c:extLst>
            </c:dLbl>
            <c:dLbl>
              <c:idx val="7"/>
              <c:layout>
                <c:manualLayout>
                  <c:x val="-1.4402923733712101E-16"/>
                  <c:y val="-0.12678680298702691"/>
                </c:manualLayout>
              </c:layout>
              <c:tx>
                <c:rich>
                  <a:bodyPr/>
                  <a:lstStyle/>
                  <a:p>
                    <a:pPr>
                      <a:defRPr lang="el-GR" sz="600" b="1"/>
                    </a:pPr>
                    <a:r>
                      <a:rPr lang="en-US" b="1"/>
                      <a:t>11,0%</a:t>
                    </a:r>
                    <a:r>
                      <a:rPr lang="en-US" b="1" baseline="30000"/>
                      <a:t>4</a:t>
                    </a:r>
                  </a:p>
                </c:rich>
              </c:tx>
              <c:numFmt formatCode="0.0%" sourceLinked="0"/>
              <c:spPr>
                <a:noFill/>
                <a:ln>
                  <a:solidFill>
                    <a:srgbClr val="FF7415"/>
                  </a:solidFill>
                </a:ln>
                <a:effectLst/>
              </c:spPr>
              <c:showLegendKey val="0"/>
              <c:showVal val="1"/>
              <c:showCatName val="0"/>
              <c:showSerName val="0"/>
              <c:showPercent val="0"/>
              <c:showBubbleSize val="0"/>
              <c:extLst>
                <c:ext xmlns:c15="http://schemas.microsoft.com/office/drawing/2012/chart" uri="{CE6537A1-D6FC-4f65-9D91-7224C49458BB}"/>
              </c:extLst>
            </c:dLbl>
            <c:dLbl>
              <c:idx val="8"/>
              <c:layout>
                <c:manualLayout>
                  <c:x val="0"/>
                  <c:y val="-0.3036779893362696"/>
                </c:manualLayout>
              </c:layout>
              <c:numFmt formatCode="0.0%" sourceLinked="0"/>
              <c:spPr>
                <a:noFill/>
                <a:ln>
                  <a:noFill/>
                </a:ln>
                <a:effectLst/>
              </c:spPr>
              <c:txPr>
                <a:bodyPr/>
                <a:lstStyle/>
                <a:p>
                  <a:pPr>
                    <a:defRPr lang="el-GR" sz="600" b="1"/>
                  </a:pPr>
                  <a:endParaRPr lang="el-GR"/>
                </a:p>
              </c:txPr>
              <c:showLegendKey val="0"/>
              <c:showVal val="1"/>
              <c:showCatName val="0"/>
              <c:showSerName val="0"/>
              <c:showPercent val="0"/>
              <c:showBubbleSize val="0"/>
              <c:extLst>
                <c:ext xmlns:c15="http://schemas.microsoft.com/office/drawing/2012/chart" uri="{CE6537A1-D6FC-4f65-9D91-7224C49458BB}"/>
              </c:extLst>
            </c:dLbl>
            <c:dLbl>
              <c:idx val="9"/>
              <c:layout>
                <c:manualLayout>
                  <c:x val="3.9305414522019851E-3"/>
                  <c:y val="-0.11245159599978684"/>
                </c:manualLayout>
              </c:layout>
              <c:tx>
                <c:rich>
                  <a:bodyPr/>
                  <a:lstStyle/>
                  <a:p>
                    <a:pPr>
                      <a:defRPr lang="el-GR" sz="600" b="1"/>
                    </a:pPr>
                    <a:r>
                      <a:rPr lang="en-US" sz="600" b="1"/>
                      <a:t>11.0%</a:t>
                    </a:r>
                    <a:r>
                      <a:rPr lang="en-US" sz="600" b="1" baseline="30000"/>
                      <a:t>4</a:t>
                    </a:r>
                  </a:p>
                </c:rich>
              </c:tx>
              <c:numFmt formatCode="0.0%" sourceLinked="0"/>
              <c:spPr>
                <a:noFill/>
                <a:ln>
                  <a:noFill/>
                </a:ln>
                <a:effectLst/>
              </c:spPr>
              <c:showLegendKey val="0"/>
              <c:showVal val="1"/>
              <c:showCatName val="0"/>
              <c:showSerName val="0"/>
              <c:showPercent val="0"/>
              <c:showBubbleSize val="0"/>
              <c:extLst>
                <c:ext xmlns:c15="http://schemas.microsoft.com/office/drawing/2012/chart" uri="{CE6537A1-D6FC-4f65-9D91-7224C49458BB}"/>
              </c:extLst>
            </c:dLbl>
            <c:dLbl>
              <c:idx val="10"/>
              <c:layout>
                <c:manualLayout>
                  <c:x val="0"/>
                  <c:y val="-0.12670107930549038"/>
                </c:manualLayout>
              </c:layout>
              <c:numFmt formatCode="0.0%" sourceLinked="0"/>
              <c:spPr>
                <a:noFill/>
                <a:ln>
                  <a:noFill/>
                </a:ln>
                <a:effectLst/>
              </c:spPr>
              <c:txPr>
                <a:bodyPr/>
                <a:lstStyle/>
                <a:p>
                  <a:pPr>
                    <a:defRPr lang="el-GR" sz="600" b="1"/>
                  </a:pPr>
                  <a:endParaRPr lang="el-GR"/>
                </a:p>
              </c:txPr>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a:noFill/>
              </a:ln>
              <a:effectLst/>
            </c:spPr>
            <c:txPr>
              <a:bodyPr/>
              <a:lstStyle/>
              <a:p>
                <a:pPr>
                  <a:defRPr lang="el-GR" sz="600"/>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Δείκτης CET1 Δ' τριμήνου 2020</c:v>
                </c:pt>
                <c:pt idx="1">
                  <c:v>Αποτέλεσμα μετά φόρων Α' εξαμήνου 2021 εξαιρουμένου του αποτελέσματος αποτίμησης ομολόγων (FVTOCI)</c:v>
                </c:pt>
                <c:pt idx="2">
                  <c:v>Φορολογικές απαιτήσεις (DTC)</c:v>
                </c:pt>
                <c:pt idx="3">
                  <c:v>ΣτΕ, ΔΠΧΑ 9 &amp; λοιπά</c:v>
                </c:pt>
                <c:pt idx="4">
                  <c:v>Δείκτης CET1 Α' εξαμήνου 2021</c:v>
                </c:pt>
                <c:pt idx="5">
                  <c:v>Ολοκλήρωση συναλλαγών Frontier &amp; Εθνικής Ασφαλιστικής</c:v>
                </c:pt>
                <c:pt idx="7">
                  <c:v>Κεφαλαικές απαιτήσεις 2021 </c:v>
                </c:pt>
              </c:strCache>
            </c:strRef>
          </c:cat>
          <c:val>
            <c:numRef>
              <c:f>Sheet1!$C$2:$C$9</c:f>
              <c:numCache>
                <c:formatCode>0.00%</c:formatCode>
                <c:ptCount val="8"/>
                <c:pt idx="0">
                  <c:v>9.9999999999999811E-3</c:v>
                </c:pt>
                <c:pt idx="1">
                  <c:v>1.12E-2</c:v>
                </c:pt>
                <c:pt idx="2">
                  <c:v>2.2000000000000001E-3</c:v>
                </c:pt>
                <c:pt idx="3">
                  <c:v>6.0000000000000001E-3</c:v>
                </c:pt>
                <c:pt idx="4">
                  <c:v>1.0000000000000037E-2</c:v>
                </c:pt>
                <c:pt idx="5">
                  <c:v>1.7000000000000001E-2</c:v>
                </c:pt>
                <c:pt idx="7">
                  <c:v>4.8100000000000004E-2</c:v>
                </c:pt>
              </c:numCache>
            </c:numRef>
          </c:val>
        </c:ser>
        <c:ser>
          <c:idx val="2"/>
          <c:order val="2"/>
          <c:tx>
            <c:strRef>
              <c:f>Sheet1!$D$1</c:f>
              <c:strCache>
                <c:ptCount val="1"/>
                <c:pt idx="0">
                  <c:v>Column1</c:v>
                </c:pt>
              </c:strCache>
            </c:strRef>
          </c:tx>
          <c:invertIfNegative val="0"/>
          <c:cat>
            <c:strRef>
              <c:f>Sheet1!$A$2:$A$9</c:f>
              <c:strCache>
                <c:ptCount val="8"/>
                <c:pt idx="0">
                  <c:v>Δείκτης CET1 Δ' τριμήνου 2020</c:v>
                </c:pt>
                <c:pt idx="1">
                  <c:v>Αποτέλεσμα μετά φόρων Α' εξαμήνου 2021 εξαιρουμένου του αποτελέσματος αποτίμησης ομολόγων (FVTOCI)</c:v>
                </c:pt>
                <c:pt idx="2">
                  <c:v>Φορολογικές απαιτήσεις (DTC)</c:v>
                </c:pt>
                <c:pt idx="3">
                  <c:v>ΣτΕ, ΔΠΧΑ 9 &amp; λοιπά</c:v>
                </c:pt>
                <c:pt idx="4">
                  <c:v>Δείκτης CET1 Α' εξαμήνου 2021</c:v>
                </c:pt>
                <c:pt idx="5">
                  <c:v>Ολοκλήρωση συναλλαγών Frontier &amp; Εθνικής Ασφαλιστικής</c:v>
                </c:pt>
                <c:pt idx="7">
                  <c:v>Κεφαλαικές απαιτήσεις 2021 </c:v>
                </c:pt>
              </c:strCache>
            </c:strRef>
          </c:cat>
          <c:val>
            <c:numRef>
              <c:f>Sheet1!$D$2:$D$9</c:f>
              <c:numCache>
                <c:formatCode>General</c:formatCode>
                <c:ptCount val="8"/>
              </c:numCache>
            </c:numRef>
          </c:val>
        </c:ser>
        <c:dLbls>
          <c:showLegendKey val="0"/>
          <c:showVal val="0"/>
          <c:showCatName val="0"/>
          <c:showSerName val="0"/>
          <c:showPercent val="0"/>
          <c:showBubbleSize val="0"/>
        </c:dLbls>
        <c:gapWidth val="317"/>
        <c:overlap val="100"/>
        <c:axId val="415376416"/>
        <c:axId val="415376976"/>
      </c:barChart>
      <c:catAx>
        <c:axId val="415376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l-GR" sz="4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l-GR"/>
          </a:p>
        </c:txPr>
        <c:crossAx val="415376976"/>
        <c:crosses val="autoZero"/>
        <c:auto val="1"/>
        <c:lblAlgn val="ctr"/>
        <c:lblOffset val="100"/>
        <c:noMultiLvlLbl val="0"/>
      </c:catAx>
      <c:valAx>
        <c:axId val="415376976"/>
        <c:scaling>
          <c:orientation val="minMax"/>
        </c:scaling>
        <c:delete val="1"/>
        <c:axPos val="l"/>
        <c:numFmt formatCode="0.00%" sourceLinked="1"/>
        <c:majorTickMark val="out"/>
        <c:minorTickMark val="none"/>
        <c:tickLblPos val="nextTo"/>
        <c:crossAx val="415376416"/>
        <c:crosses val="autoZero"/>
        <c:crossBetween val="between"/>
      </c:valAx>
      <c:spPr>
        <a:noFill/>
        <a:ln w="25400">
          <a:noFill/>
        </a:ln>
        <a:effectLst/>
      </c:spPr>
    </c:plotArea>
    <c:plotVisOnly val="1"/>
    <c:dispBlanksAs val="gap"/>
    <c:showDLblsOverMax val="0"/>
  </c:chart>
  <c:spPr>
    <a:solidFill>
      <a:sysClr val="window" lastClr="FFFFFF"/>
    </a:solidFill>
    <a:ln w="9525" cap="flat" cmpd="sng" algn="ctr">
      <a:solidFill>
        <a:schemeClr val="tx1">
          <a:lumMod val="15000"/>
          <a:lumOff val="85000"/>
        </a:schemeClr>
      </a:solidFill>
      <a:round/>
    </a:ln>
    <a:effectLst/>
  </c:spPr>
  <c:txPr>
    <a:bodyPr/>
    <a:lstStyle/>
    <a:p>
      <a:pPr>
        <a:defRPr sz="500">
          <a:latin typeface="Segoe UI" panose="020B0502040204020203" pitchFamily="34" charset="0"/>
          <a:cs typeface="Segoe UI" panose="020B0502040204020203" pitchFamily="34" charset="0"/>
        </a:defRPr>
      </a:pPr>
      <a:endParaRPr lang="el-GR"/>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3829273440210294E-2"/>
          <c:y val="1.8661049468644303E-2"/>
          <c:w val="0.90161406359420004"/>
          <c:h val="0.86227112151521601"/>
        </c:manualLayout>
      </c:layout>
      <c:barChart>
        <c:barDir val="col"/>
        <c:grouping val="stacked"/>
        <c:varyColors val="0"/>
        <c:ser>
          <c:idx val="4"/>
          <c:order val="0"/>
          <c:tx>
            <c:strRef>
              <c:f>Sheet1!$A$2</c:f>
              <c:strCache>
                <c:ptCount val="1"/>
                <c:pt idx="0">
                  <c:v>ECB</c:v>
                </c:pt>
              </c:strCache>
            </c:strRef>
          </c:tx>
          <c:spPr>
            <a:solidFill>
              <a:srgbClr val="008080"/>
            </a:solidFill>
            <a:ln w="3175">
              <a:solidFill>
                <a:srgbClr val="008080"/>
              </a:solidFill>
              <a:prstDash val="solid"/>
            </a:ln>
          </c:spPr>
          <c:invertIfNegative val="1"/>
          <c:dPt>
            <c:idx val="0"/>
            <c:invertIfNegative val="1"/>
            <c:bubble3D val="0"/>
          </c:dPt>
          <c:dPt>
            <c:idx val="1"/>
            <c:invertIfNegative val="1"/>
            <c:bubble3D val="0"/>
          </c:dPt>
          <c:dPt>
            <c:idx val="2"/>
            <c:invertIfNegative val="1"/>
            <c:bubble3D val="0"/>
          </c:dPt>
          <c:dPt>
            <c:idx val="3"/>
            <c:invertIfNegative val="1"/>
            <c:bubble3D val="0"/>
          </c:dPt>
          <c:dPt>
            <c:idx val="4"/>
            <c:invertIfNegative val="1"/>
            <c:bubble3D val="0"/>
          </c:dPt>
          <c:dPt>
            <c:idx val="5"/>
            <c:invertIfNegative val="1"/>
            <c:bubble3D val="0"/>
            <c:spPr>
              <a:solidFill>
                <a:srgbClr val="ED7D31"/>
              </a:solidFill>
              <a:ln w="3175">
                <a:solidFill>
                  <a:srgbClr val="ED7D31"/>
                </a:solidFill>
                <a:prstDash val="solid"/>
              </a:ln>
            </c:spPr>
          </c:dPt>
          <c:dPt>
            <c:idx val="6"/>
            <c:invertIfNegative val="1"/>
            <c:bubble3D val="0"/>
          </c:dPt>
          <c:dPt>
            <c:idx val="7"/>
            <c:invertIfNegative val="1"/>
            <c:bubble3D val="0"/>
          </c:dPt>
          <c:dPt>
            <c:idx val="8"/>
            <c:invertIfNegative val="1"/>
            <c:bubble3D val="0"/>
          </c:dPt>
          <c:dPt>
            <c:idx val="9"/>
            <c:invertIfNegative val="1"/>
            <c:bubble3D val="0"/>
            <c:spPr>
              <a:solidFill>
                <a:srgbClr val="FF7415"/>
              </a:solidFill>
              <a:ln w="3175">
                <a:solidFill>
                  <a:srgbClr val="FF7415"/>
                </a:solidFill>
                <a:prstDash val="solid"/>
              </a:ln>
            </c:spPr>
          </c:dPt>
          <c:dLbls>
            <c:dLbl>
              <c:idx val="5"/>
              <c:layout>
                <c:manualLayout>
                  <c:x val="0"/>
                  <c:y val="-0.29578444462260384"/>
                </c:manualLayout>
              </c:layout>
              <c:tx>
                <c:rich>
                  <a:bodyPr/>
                  <a:lstStyle/>
                  <a:p>
                    <a:pPr>
                      <a:defRPr sz="600" b="1"/>
                    </a:pPr>
                    <a:r>
                      <a:rPr lang="en-US" sz="600" b="1"/>
                      <a:t>11,6</a:t>
                    </a:r>
                    <a:endParaRPr lang="en-US" b="1"/>
                  </a:p>
                </c:rich>
              </c:tx>
              <c:spP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600"/>
                </a:pPr>
                <a:endParaRPr lang="el-GR"/>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Sheet1!$B$1:$AV$1</c:f>
              <c:strCache>
                <c:ptCount val="6"/>
                <c:pt idx="0">
                  <c:v>Δ' τρίμηνο        2017</c:v>
                </c:pt>
                <c:pt idx="1">
                  <c:v>Δ' τρίμηνο      2018</c:v>
                </c:pt>
                <c:pt idx="2">
                  <c:v>Δ' τρίμηνο      2019</c:v>
                </c:pt>
                <c:pt idx="3">
                  <c:v>Δ' τρίμηνο      2020</c:v>
                </c:pt>
                <c:pt idx="4">
                  <c:v>Α' τρίμηνο      2021</c:v>
                </c:pt>
                <c:pt idx="5">
                  <c:v>Β' τρίμηνο      2021</c:v>
                </c:pt>
              </c:strCache>
            </c:strRef>
          </c:cat>
          <c:val>
            <c:numRef>
              <c:f>Sheet1!$B$2:$AV$2</c:f>
              <c:numCache>
                <c:formatCode>0.0</c:formatCode>
                <c:ptCount val="6"/>
                <c:pt idx="0">
                  <c:v>2.75</c:v>
                </c:pt>
                <c:pt idx="1">
                  <c:v>2.2490000000000001</c:v>
                </c:pt>
                <c:pt idx="2">
                  <c:v>2.2490000000000001</c:v>
                </c:pt>
                <c:pt idx="3">
                  <c:v>10.5</c:v>
                </c:pt>
                <c:pt idx="4">
                  <c:v>11.6</c:v>
                </c:pt>
                <c:pt idx="5">
                  <c:v>11.6</c:v>
                </c:pt>
              </c:numCache>
            </c:numRef>
          </c:val>
          <c:extLst>
            <c:ext xmlns:c14="http://schemas.microsoft.com/office/drawing/2007/8/2/chart" uri="{6F2FDCE9-48DA-4B69-8628-5D25D57E5C99}">
              <c14:invertSolidFillFmt>
                <c14:spPr xmlns:c14="http://schemas.microsoft.com/office/drawing/2007/8/2/chart">
                  <a:solidFill>
                    <a:srgbClr val="FFFFFF"/>
                  </a:solidFill>
                  <a:ln w="3175">
                    <a:solidFill>
                      <a:srgbClr val="008080"/>
                    </a:solidFill>
                    <a:prstDash val="solid"/>
                  </a:ln>
                </c14:spPr>
              </c14:invertSolidFillFmt>
            </c:ext>
          </c:extLst>
        </c:ser>
        <c:ser>
          <c:idx val="0"/>
          <c:order val="1"/>
          <c:tx>
            <c:strRef>
              <c:f>Sheet1!$A$3</c:f>
              <c:strCache>
                <c:ptCount val="1"/>
                <c:pt idx="0">
                  <c:v>ELA</c:v>
                </c:pt>
              </c:strCache>
            </c:strRef>
          </c:tx>
          <c:spPr>
            <a:noFill/>
            <a:ln>
              <a:solidFill>
                <a:srgbClr val="008080"/>
              </a:solidFill>
            </a:ln>
          </c:spPr>
          <c:invertIfNegative val="0"/>
          <c:cat>
            <c:strRef>
              <c:f>Sheet1!$B$1:$AV$1</c:f>
              <c:strCache>
                <c:ptCount val="6"/>
                <c:pt idx="0">
                  <c:v>Δ' τρίμηνο        2017</c:v>
                </c:pt>
                <c:pt idx="1">
                  <c:v>Δ' τρίμηνο      2018</c:v>
                </c:pt>
                <c:pt idx="2">
                  <c:v>Δ' τρίμηνο      2019</c:v>
                </c:pt>
                <c:pt idx="3">
                  <c:v>Δ' τρίμηνο      2020</c:v>
                </c:pt>
                <c:pt idx="4">
                  <c:v>Α' τρίμηνο      2021</c:v>
                </c:pt>
                <c:pt idx="5">
                  <c:v>Β' τρίμηνο      2021</c:v>
                </c:pt>
              </c:strCache>
            </c:strRef>
          </c:cat>
          <c:val>
            <c:numRef>
              <c:f>Sheet1!$B$3:$AV$3</c:f>
              <c:numCache>
                <c:formatCode>0.0</c:formatCode>
                <c:ptCount val="6"/>
                <c:pt idx="0">
                  <c:v>0</c:v>
                </c:pt>
                <c:pt idx="1">
                  <c:v>0</c:v>
                </c:pt>
                <c:pt idx="2">
                  <c:v>0</c:v>
                </c:pt>
                <c:pt idx="3" formatCode="General">
                  <c:v>0</c:v>
                </c:pt>
                <c:pt idx="4" formatCode="General">
                  <c:v>0</c:v>
                </c:pt>
                <c:pt idx="5" formatCode="General">
                  <c:v>0</c:v>
                </c:pt>
              </c:numCache>
            </c:numRef>
          </c:val>
        </c:ser>
        <c:ser>
          <c:idx val="1"/>
          <c:order val="2"/>
          <c:tx>
            <c:strRef>
              <c:f>Sheet1!$A$4</c:f>
              <c:strCache>
                <c:ptCount val="1"/>
              </c:strCache>
            </c:strRef>
          </c:tx>
          <c:spPr>
            <a:noFill/>
            <a:ln>
              <a:noFill/>
            </a:ln>
          </c:spPr>
          <c:invertIfNegative val="0"/>
          <c:dLbls>
            <c:dLbl>
              <c:idx val="0"/>
              <c:tx>
                <c:rich>
                  <a:bodyPr/>
                  <a:lstStyle/>
                  <a:p>
                    <a:r>
                      <a:rPr lang="en-US" sz="600"/>
                      <a:t>2,8</a:t>
                    </a:r>
                    <a:endParaRPr lang="en-US"/>
                  </a:p>
                </c:rich>
              </c:tx>
              <c:dLblPos val="inBase"/>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sz="600"/>
                      <a:t>2,2</a:t>
                    </a:r>
                    <a:endParaRPr lang="en-US"/>
                  </a:p>
                </c:rich>
              </c:tx>
              <c:dLblPos val="inBase"/>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sz="600"/>
                      <a:t>2,2</a:t>
                    </a:r>
                    <a:endParaRPr lang="en-US"/>
                  </a:p>
                </c:rich>
              </c:tx>
              <c:dLblPos val="inBase"/>
              <c:showLegendKey val="0"/>
              <c:showVal val="1"/>
              <c:showCatName val="0"/>
              <c:showSerName val="0"/>
              <c:showPercent val="0"/>
              <c:showBubbleSize val="0"/>
              <c:extLst>
                <c:ext xmlns:c15="http://schemas.microsoft.com/office/drawing/2012/chart" uri="{CE6537A1-D6FC-4f65-9D91-7224C49458BB}"/>
              </c:extLst>
            </c:dLbl>
            <c:dLbl>
              <c:idx val="3"/>
              <c:layout>
                <c:manualLayout>
                  <c:x val="-1.5568467004191032E-7"/>
                  <c:y val="0.17513859863322803"/>
                </c:manualLayout>
              </c:layout>
              <c:tx>
                <c:rich>
                  <a:bodyPr/>
                  <a:lstStyle/>
                  <a:p>
                    <a:r>
                      <a:rPr lang="en-US" sz="600"/>
                      <a:t>10,5</a:t>
                    </a:r>
                    <a:endParaRPr lang="en-US"/>
                  </a:p>
                </c:rich>
              </c:tx>
              <c:dLblPos val="ctr"/>
              <c:showLegendKey val="0"/>
              <c:showVal val="1"/>
              <c:showCatName val="0"/>
              <c:showSerName val="0"/>
              <c:showPercent val="0"/>
              <c:showBubbleSize val="0"/>
              <c:extLst>
                <c:ext xmlns:c15="http://schemas.microsoft.com/office/drawing/2012/chart" uri="{CE6537A1-D6FC-4f65-9D91-7224C49458BB}"/>
              </c:extLst>
            </c:dLbl>
            <c:dLbl>
              <c:idx val="4"/>
              <c:layout>
                <c:manualLayout>
                  <c:x val="0"/>
                  <c:y val="0.19639665947957322"/>
                </c:manualLayout>
              </c:layout>
              <c:tx>
                <c:rich>
                  <a:bodyPr/>
                  <a:lstStyle/>
                  <a:p>
                    <a:r>
                      <a:rPr lang="en-US" sz="600"/>
                      <a:t>11,6</a:t>
                    </a:r>
                    <a:endParaRPr lang="en-US"/>
                  </a:p>
                </c:rich>
              </c:tx>
              <c:dLblPos val="ctr"/>
              <c:showLegendKey val="0"/>
              <c:showVal val="1"/>
              <c:showCatName val="0"/>
              <c:showSerName val="0"/>
              <c:showPercent val="0"/>
              <c:showBubbleSize val="0"/>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layout>
                <c:manualLayout>
                  <c:x val="0"/>
                  <c:y val="2.493718694204723E-3"/>
                </c:manualLayout>
              </c:layout>
              <c:tx>
                <c:rich>
                  <a:bodyPr/>
                  <a:lstStyle/>
                  <a:p>
                    <a:r>
                      <a:rPr lang="en-US" sz="600"/>
                      <a:t>3,4</a:t>
                    </a:r>
                    <a:endParaRPr lang="en-US"/>
                  </a:p>
                </c:rich>
              </c:tx>
              <c:dLblPos val="ctr"/>
              <c:showLegendKey val="0"/>
              <c:showVal val="1"/>
              <c:showCatName val="0"/>
              <c:showSerName val="0"/>
              <c:showPercent val="0"/>
              <c:showBubbleSize val="0"/>
              <c:extLst>
                <c:ext xmlns:c15="http://schemas.microsoft.com/office/drawing/2012/chart" uri="{CE6537A1-D6FC-4f65-9D91-7224C49458BB}"/>
              </c:extLst>
            </c:dLbl>
            <c:dLbl>
              <c:idx val="7"/>
              <c:tx>
                <c:rich>
                  <a:bodyPr/>
                  <a:lstStyle/>
                  <a:p>
                    <a:r>
                      <a:rPr lang="en-US" sz="600"/>
                      <a:t>10,5</a:t>
                    </a:r>
                    <a:endParaRPr lang="en-US"/>
                  </a:p>
                </c:rich>
              </c:tx>
              <c:dLblPos val="inBase"/>
              <c:showLegendKey val="0"/>
              <c:showVal val="1"/>
              <c:showCatName val="0"/>
              <c:showSerName val="0"/>
              <c:showPercent val="0"/>
              <c:showBubbleSize val="0"/>
              <c:extLst>
                <c:ext xmlns:c15="http://schemas.microsoft.com/office/drawing/2012/chart" uri="{CE6537A1-D6FC-4f65-9D91-7224C49458BB}"/>
              </c:extLst>
            </c:dLbl>
            <c:dLbl>
              <c:idx val="8"/>
              <c:tx>
                <c:rich>
                  <a:bodyPr/>
                  <a:lstStyle/>
                  <a:p>
                    <a:r>
                      <a:rPr lang="en-US" sz="600"/>
                      <a:t>10,5</a:t>
                    </a:r>
                    <a:endParaRPr lang="en-US"/>
                  </a:p>
                </c:rich>
              </c:tx>
              <c:dLblPos val="inBase"/>
              <c:showLegendKey val="0"/>
              <c:showVal val="1"/>
              <c:showCatName val="0"/>
              <c:showSerName val="0"/>
              <c:showPercent val="0"/>
              <c:showBubbleSize val="0"/>
              <c:extLst>
                <c:ext xmlns:c15="http://schemas.microsoft.com/office/drawing/2012/chart" uri="{CE6537A1-D6FC-4f65-9D91-7224C49458BB}"/>
              </c:extLst>
            </c:dLbl>
            <c:dLbl>
              <c:idx val="9"/>
              <c:tx>
                <c:rich>
                  <a:bodyPr/>
                  <a:lstStyle/>
                  <a:p>
                    <a:pPr>
                      <a:defRPr lang="el-GR" sz="600" b="1"/>
                    </a:pPr>
                    <a:r>
                      <a:rPr lang="en-US" sz="600" b="1"/>
                      <a:t>10,5</a:t>
                    </a:r>
                    <a:endParaRPr lang="en-US" b="1"/>
                  </a:p>
                </c:rich>
              </c:tx>
              <c:numFmt formatCode="#,##0.0" sourceLinked="0"/>
              <c:spPr>
                <a:noFill/>
                <a:ln>
                  <a:noFill/>
                </a:ln>
                <a:effectLst/>
              </c:spPr>
              <c:dLblPos val="inBase"/>
              <c:showLegendKey val="0"/>
              <c:showVal val="1"/>
              <c:showCatName val="0"/>
              <c:showSerName val="0"/>
              <c:showPercent val="0"/>
              <c:showBubbleSize val="0"/>
              <c:extLst>
                <c:ext xmlns:c15="http://schemas.microsoft.com/office/drawing/2012/chart" uri="{CE6537A1-D6FC-4f65-9D91-7224C49458BB}"/>
              </c:extLst>
            </c:dLbl>
            <c:dLbl>
              <c:idx val="12"/>
              <c:layout>
                <c:manualLayout>
                  <c:x val="-1.9206430101420039E-3"/>
                  <c:y val="-8.5256710476247968E-3"/>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3"/>
              <c:layout>
                <c:manualLayout>
                  <c:x val="2.8560261477063743E-3"/>
                  <c:y val="-2.0510411808670847E-3"/>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4"/>
              <c:layout>
                <c:manualLayout>
                  <c:x val="-1.0471974901776102E-16"/>
                  <c:y val="6.406174077902717E-3"/>
                </c:manualLayout>
              </c:layout>
              <c:dLblPos val="ctr"/>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a:noFill/>
              </a:ln>
              <a:effectLst/>
            </c:spPr>
            <c:txPr>
              <a:bodyPr/>
              <a:lstStyle/>
              <a:p>
                <a:pPr>
                  <a:defRPr lang="el-GR" sz="600"/>
                </a:pPr>
                <a:endParaRPr lang="el-GR"/>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Sheet1!$B$1:$AV$1</c:f>
              <c:strCache>
                <c:ptCount val="6"/>
                <c:pt idx="0">
                  <c:v>Δ' τρίμηνο        2017</c:v>
                </c:pt>
                <c:pt idx="1">
                  <c:v>Δ' τρίμηνο      2018</c:v>
                </c:pt>
                <c:pt idx="2">
                  <c:v>Δ' τρίμηνο      2019</c:v>
                </c:pt>
                <c:pt idx="3">
                  <c:v>Δ' τρίμηνο      2020</c:v>
                </c:pt>
                <c:pt idx="4">
                  <c:v>Α' τρίμηνο      2021</c:v>
                </c:pt>
                <c:pt idx="5">
                  <c:v>Β' τρίμηνο      2021</c:v>
                </c:pt>
              </c:strCache>
            </c:strRef>
          </c:cat>
          <c:val>
            <c:numRef>
              <c:f>Sheet1!$B$4:$AV$4</c:f>
              <c:numCache>
                <c:formatCode>0.0</c:formatCode>
                <c:ptCount val="6"/>
                <c:pt idx="0">
                  <c:v>2.75</c:v>
                </c:pt>
                <c:pt idx="1">
                  <c:v>2.2490000000000001</c:v>
                </c:pt>
                <c:pt idx="2">
                  <c:v>2.2490000000000001</c:v>
                </c:pt>
                <c:pt idx="3">
                  <c:v>10.5</c:v>
                </c:pt>
                <c:pt idx="4">
                  <c:v>11.6</c:v>
                </c:pt>
                <c:pt idx="5">
                  <c:v>11.6</c:v>
                </c:pt>
              </c:numCache>
            </c:numRef>
          </c:val>
        </c:ser>
        <c:dLbls>
          <c:showLegendKey val="0"/>
          <c:showVal val="0"/>
          <c:showCatName val="0"/>
          <c:showSerName val="0"/>
          <c:showPercent val="0"/>
          <c:showBubbleSize val="0"/>
        </c:dLbls>
        <c:gapWidth val="357"/>
        <c:overlap val="100"/>
        <c:axId val="420363120"/>
        <c:axId val="420363680"/>
      </c:barChart>
      <c:catAx>
        <c:axId val="420363120"/>
        <c:scaling>
          <c:orientation val="minMax"/>
        </c:scaling>
        <c:delete val="0"/>
        <c:axPos val="b"/>
        <c:numFmt formatCode="General" sourceLinked="1"/>
        <c:majorTickMark val="none"/>
        <c:minorTickMark val="none"/>
        <c:tickLblPos val="nextTo"/>
        <c:spPr>
          <a:ln w="9526">
            <a:solidFill>
              <a:schemeClr val="bg1">
                <a:lumMod val="75000"/>
              </a:schemeClr>
            </a:solidFill>
          </a:ln>
        </c:spPr>
        <c:txPr>
          <a:bodyPr rot="0" vert="horz"/>
          <a:lstStyle/>
          <a:p>
            <a:pPr>
              <a:defRPr lang="el-GR" sz="500"/>
            </a:pPr>
            <a:endParaRPr lang="el-GR"/>
          </a:p>
        </c:txPr>
        <c:crossAx val="420363680"/>
        <c:crosses val="autoZero"/>
        <c:auto val="1"/>
        <c:lblAlgn val="ctr"/>
        <c:lblOffset val="100"/>
        <c:noMultiLvlLbl val="0"/>
      </c:catAx>
      <c:valAx>
        <c:axId val="420363680"/>
        <c:scaling>
          <c:orientation val="minMax"/>
          <c:max val="20"/>
          <c:min val="0"/>
        </c:scaling>
        <c:delete val="1"/>
        <c:axPos val="l"/>
        <c:numFmt formatCode="0.0" sourceLinked="1"/>
        <c:majorTickMark val="out"/>
        <c:minorTickMark val="none"/>
        <c:tickLblPos val="nextTo"/>
        <c:crossAx val="420363120"/>
        <c:crosses val="autoZero"/>
        <c:crossBetween val="between"/>
      </c:valAx>
      <c:spPr>
        <a:noFill/>
        <a:ln w="25361">
          <a:noFill/>
        </a:ln>
      </c:spPr>
    </c:plotArea>
    <c:plotVisOnly val="1"/>
    <c:dispBlanksAs val="zero"/>
    <c:showDLblsOverMax val="0"/>
  </c:chart>
  <c:spPr>
    <a:noFill/>
    <a:ln>
      <a:solidFill>
        <a:sysClr val="window" lastClr="FFFFFF">
          <a:lumMod val="75000"/>
        </a:sysClr>
      </a:solidFill>
    </a:ln>
  </c:spPr>
  <c:txPr>
    <a:bodyPr/>
    <a:lstStyle/>
    <a:p>
      <a:pPr>
        <a:defRPr sz="801" b="0" i="0" u="none" strike="noStrike" baseline="0">
          <a:solidFill>
            <a:schemeClr val="tx1"/>
          </a:solidFill>
          <a:latin typeface="Segoe UI" panose="020B0502040204020203" pitchFamily="34" charset="0"/>
          <a:ea typeface="Calibri"/>
          <a:cs typeface="Segoe UI" panose="020B0502040204020203" pitchFamily="34" charset="0"/>
        </a:defRPr>
      </a:pPr>
      <a:endParaRPr lang="el-GR"/>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6103833622391883E-2"/>
          <c:y val="3.5635078912079218E-2"/>
          <c:w val="0.75707038441025165"/>
          <c:h val="0.83446185211161084"/>
        </c:manualLayout>
      </c:layout>
      <c:barChart>
        <c:barDir val="col"/>
        <c:grouping val="stacked"/>
        <c:varyColors val="0"/>
        <c:ser>
          <c:idx val="0"/>
          <c:order val="0"/>
          <c:tx>
            <c:strRef>
              <c:f>Sheet1!$A$2</c:f>
              <c:strCache>
                <c:ptCount val="1"/>
                <c:pt idx="0">
                  <c:v>Ταμιευτηρίου</c:v>
                </c:pt>
              </c:strCache>
            </c:strRef>
          </c:tx>
          <c:spPr>
            <a:solidFill>
              <a:srgbClr val="008080"/>
            </a:solidFill>
            <a:ln w="25375">
              <a:solidFill>
                <a:srgbClr val="008080"/>
              </a:solidFill>
            </a:ln>
          </c:spPr>
          <c:invertIfNegative val="0"/>
          <c:dLbls>
            <c:dLbl>
              <c:idx val="0"/>
              <c:tx>
                <c:rich>
                  <a:bodyPr/>
                  <a:lstStyle/>
                  <a:p>
                    <a:r>
                      <a:rPr lang="en-US" sz="600"/>
                      <a:t>22,2</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sz="600"/>
                      <a:t>22,5</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sz="600"/>
                      <a:t>24,3</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sz="600"/>
                      <a:t>25,2</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pPr>
                      <a:defRPr sz="600" b="1">
                        <a:solidFill>
                          <a:schemeClr val="bg1"/>
                        </a:solidFill>
                        <a:latin typeface="Segoe UI" pitchFamily="34" charset="0"/>
                        <a:ea typeface="Segoe UI" pitchFamily="34" charset="0"/>
                        <a:cs typeface="Segoe UI" pitchFamily="34" charset="0"/>
                      </a:defRPr>
                    </a:pPr>
                    <a:r>
                      <a:rPr lang="en-US" sz="600"/>
                      <a:t>26,3</a:t>
                    </a:r>
                    <a:endParaRPr lang="en-US"/>
                  </a:p>
                </c:rich>
              </c:tx>
              <c:numFmt formatCode="#,##0.0" sourceLinked="0"/>
              <c:spPr>
                <a:noFill/>
                <a:ln>
                  <a:noFill/>
                </a:ln>
                <a:effectLst/>
              </c:spPr>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a:noFill/>
              </a:ln>
              <a:effectLst/>
            </c:spPr>
            <c:txPr>
              <a:bodyPr/>
              <a:lstStyle/>
              <a:p>
                <a:pPr>
                  <a:defRPr sz="600">
                    <a:solidFill>
                      <a:schemeClr val="bg1"/>
                    </a:solidFill>
                    <a:latin typeface="Segoe UI" pitchFamily="34" charset="0"/>
                    <a:ea typeface="Segoe UI" pitchFamily="34" charset="0"/>
                    <a:cs typeface="Segoe UI" pitchFamily="34" charset="0"/>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Sheet1!$X$1:$AF$1</c:f>
              <c:strCache>
                <c:ptCount val="5"/>
                <c:pt idx="0">
                  <c:v>Β' τρίμηνο      2020</c:v>
                </c:pt>
                <c:pt idx="1">
                  <c:v>Γ' τρίμηνο      2020</c:v>
                </c:pt>
                <c:pt idx="2">
                  <c:v>Δ' τρίμηνο      2020</c:v>
                </c:pt>
                <c:pt idx="3">
                  <c:v>Α' τρίμηνο      2021</c:v>
                </c:pt>
                <c:pt idx="4">
                  <c:v>Β' τρίμηνο      2021</c:v>
                </c:pt>
              </c:strCache>
            </c:strRef>
          </c:cat>
          <c:val>
            <c:numRef>
              <c:f>Sheet1!$X$2:$AF$2</c:f>
              <c:numCache>
                <c:formatCode>0.000</c:formatCode>
                <c:ptCount val="5"/>
                <c:pt idx="0">
                  <c:v>22.210999999999999</c:v>
                </c:pt>
                <c:pt idx="1">
                  <c:v>22.535</c:v>
                </c:pt>
                <c:pt idx="2">
                  <c:v>24.268999999999998</c:v>
                </c:pt>
                <c:pt idx="3">
                  <c:v>25.218</c:v>
                </c:pt>
                <c:pt idx="4">
                  <c:v>26.271999999999998</c:v>
                </c:pt>
              </c:numCache>
            </c:numRef>
          </c:val>
          <c:extLst xmlns:c16r2="http://schemas.microsoft.com/office/drawing/2015/06/chart">
            <c:ext xmlns:c16="http://schemas.microsoft.com/office/drawing/2014/chart" uri="{C3380CC4-5D6E-409C-BE32-E72D297353CC}">
              <c16:uniqueId val="{00000001-71EC-4E85-98FE-9ECBDBF8A997}"/>
            </c:ext>
          </c:extLst>
        </c:ser>
        <c:ser>
          <c:idx val="1"/>
          <c:order val="1"/>
          <c:tx>
            <c:strRef>
              <c:f>Sheet1!$A$3</c:f>
              <c:strCache>
                <c:ptCount val="1"/>
                <c:pt idx="0">
                  <c:v>Όψεως &amp; λοιπές</c:v>
                </c:pt>
              </c:strCache>
            </c:strRef>
          </c:tx>
          <c:spPr>
            <a:solidFill>
              <a:schemeClr val="bg1"/>
            </a:solidFill>
            <a:ln w="3175">
              <a:solidFill>
                <a:srgbClr val="008080"/>
              </a:solidFill>
            </a:ln>
          </c:spPr>
          <c:invertIfNegative val="0"/>
          <c:dLbls>
            <c:dLbl>
              <c:idx val="0"/>
              <c:tx>
                <c:rich>
                  <a:bodyPr/>
                  <a:lstStyle/>
                  <a:p>
                    <a:r>
                      <a:rPr lang="en-US" sz="600"/>
                      <a:t>10,5</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sz="600"/>
                      <a:t>10,7</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sz="600"/>
                      <a:t>13,1</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sz="600"/>
                      <a:t>12,1</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pPr>
                      <a:defRPr sz="600" b="1">
                        <a:solidFill>
                          <a:srgbClr val="595959"/>
                        </a:solidFill>
                        <a:latin typeface="Segoe UI" pitchFamily="34" charset="0"/>
                        <a:ea typeface="Segoe UI" pitchFamily="34" charset="0"/>
                        <a:cs typeface="Segoe UI" pitchFamily="34" charset="0"/>
                      </a:defRPr>
                    </a:pPr>
                    <a:r>
                      <a:rPr lang="en-US" sz="600"/>
                      <a:t>14,5</a:t>
                    </a:r>
                    <a:endParaRPr lang="en-US"/>
                  </a:p>
                </c:rich>
              </c:tx>
              <c:numFmt formatCode="#,##0.0" sourceLinked="0"/>
              <c:spPr>
                <a:noFill/>
                <a:ln>
                  <a:noFill/>
                </a:ln>
                <a:effectLst/>
              </c:spPr>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a:noFill/>
              </a:ln>
              <a:effectLst/>
            </c:spPr>
            <c:txPr>
              <a:bodyPr/>
              <a:lstStyle/>
              <a:p>
                <a:pPr>
                  <a:defRPr sz="600">
                    <a:solidFill>
                      <a:srgbClr val="595959"/>
                    </a:solidFill>
                    <a:latin typeface="Segoe UI" pitchFamily="34" charset="0"/>
                    <a:ea typeface="Segoe UI" pitchFamily="34" charset="0"/>
                    <a:cs typeface="Segoe UI" pitchFamily="34" charset="0"/>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Sheet1!$X$1:$AF$1</c:f>
              <c:strCache>
                <c:ptCount val="5"/>
                <c:pt idx="0">
                  <c:v>Β' τρίμηνο      2020</c:v>
                </c:pt>
                <c:pt idx="1">
                  <c:v>Γ' τρίμηνο      2020</c:v>
                </c:pt>
                <c:pt idx="2">
                  <c:v>Δ' τρίμηνο      2020</c:v>
                </c:pt>
                <c:pt idx="3">
                  <c:v>Α' τρίμηνο      2021</c:v>
                </c:pt>
                <c:pt idx="4">
                  <c:v>Β' τρίμηνο      2021</c:v>
                </c:pt>
              </c:strCache>
            </c:strRef>
          </c:cat>
          <c:val>
            <c:numRef>
              <c:f>Sheet1!$X$3:$AF$3</c:f>
              <c:numCache>
                <c:formatCode>0.000</c:formatCode>
                <c:ptCount val="5"/>
                <c:pt idx="0">
                  <c:v>10.548999999999999</c:v>
                </c:pt>
                <c:pt idx="1">
                  <c:v>10.690000000000003</c:v>
                </c:pt>
                <c:pt idx="2">
                  <c:v>13.130000000000003</c:v>
                </c:pt>
                <c:pt idx="3">
                  <c:v>12.113999999999997</c:v>
                </c:pt>
                <c:pt idx="4">
                  <c:v>14.508000000000004</c:v>
                </c:pt>
              </c:numCache>
            </c:numRef>
          </c:val>
          <c:extLst xmlns:c16r2="http://schemas.microsoft.com/office/drawing/2015/06/chart">
            <c:ext xmlns:c16="http://schemas.microsoft.com/office/drawing/2014/chart" uri="{C3380CC4-5D6E-409C-BE32-E72D297353CC}">
              <c16:uniqueId val="{00000003-71EC-4E85-98FE-9ECBDBF8A997}"/>
            </c:ext>
          </c:extLst>
        </c:ser>
        <c:ser>
          <c:idx val="2"/>
          <c:order val="2"/>
          <c:tx>
            <c:strRef>
              <c:f>Sheet1!$A$4</c:f>
              <c:strCache>
                <c:ptCount val="1"/>
                <c:pt idx="0">
                  <c:v>Προθεσμίας</c:v>
                </c:pt>
              </c:strCache>
            </c:strRef>
          </c:tx>
          <c:spPr>
            <a:solidFill>
              <a:srgbClr val="00B8B4"/>
            </a:solidFill>
            <a:ln w="3175">
              <a:solidFill>
                <a:srgbClr val="00B8B4"/>
              </a:solidFill>
            </a:ln>
          </c:spPr>
          <c:invertIfNegative val="0"/>
          <c:dLbls>
            <c:dLbl>
              <c:idx val="0"/>
              <c:tx>
                <c:rich>
                  <a:bodyPr/>
                  <a:lstStyle/>
                  <a:p>
                    <a:r>
                      <a:rPr lang="en-US" sz="600"/>
                      <a:t>10,5</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sz="600"/>
                      <a:t>10,5</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sz="600"/>
                      <a:t>9,6</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sz="600"/>
                      <a:t>9,3</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pPr>
                      <a:defRPr sz="600" b="1">
                        <a:solidFill>
                          <a:schemeClr val="bg1"/>
                        </a:solidFill>
                        <a:latin typeface="Segoe UI" pitchFamily="34" charset="0"/>
                        <a:ea typeface="Segoe UI" pitchFamily="34" charset="0"/>
                        <a:cs typeface="Segoe UI" pitchFamily="34" charset="0"/>
                      </a:defRPr>
                    </a:pPr>
                    <a:r>
                      <a:rPr lang="en-US" sz="600"/>
                      <a:t>8,8</a:t>
                    </a:r>
                    <a:endParaRPr lang="en-US"/>
                  </a:p>
                </c:rich>
              </c:tx>
              <c:numFmt formatCode="#,##0.0" sourceLinked="0"/>
              <c:spPr>
                <a:noFill/>
                <a:ln>
                  <a:noFill/>
                </a:ln>
                <a:effectLst/>
              </c:spPr>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a:noFill/>
              </a:ln>
              <a:effectLst/>
            </c:spPr>
            <c:txPr>
              <a:bodyPr/>
              <a:lstStyle/>
              <a:p>
                <a:pPr>
                  <a:defRPr sz="600">
                    <a:solidFill>
                      <a:schemeClr val="bg1"/>
                    </a:solidFill>
                    <a:latin typeface="Segoe UI" pitchFamily="34" charset="0"/>
                    <a:ea typeface="Segoe UI" pitchFamily="34" charset="0"/>
                    <a:cs typeface="Segoe UI" pitchFamily="34" charset="0"/>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Sheet1!$X$1:$AF$1</c:f>
              <c:strCache>
                <c:ptCount val="5"/>
                <c:pt idx="0">
                  <c:v>Β' τρίμηνο      2020</c:v>
                </c:pt>
                <c:pt idx="1">
                  <c:v>Γ' τρίμηνο      2020</c:v>
                </c:pt>
                <c:pt idx="2">
                  <c:v>Δ' τρίμηνο      2020</c:v>
                </c:pt>
                <c:pt idx="3">
                  <c:v>Α' τρίμηνο      2021</c:v>
                </c:pt>
                <c:pt idx="4">
                  <c:v>Β' τρίμηνο      2021</c:v>
                </c:pt>
              </c:strCache>
            </c:strRef>
          </c:cat>
          <c:val>
            <c:numRef>
              <c:f>Sheet1!$X$4:$AF$4</c:f>
              <c:numCache>
                <c:formatCode>0.000</c:formatCode>
                <c:ptCount val="5"/>
                <c:pt idx="0">
                  <c:v>10.503</c:v>
                </c:pt>
                <c:pt idx="1">
                  <c:v>10.481</c:v>
                </c:pt>
                <c:pt idx="2">
                  <c:v>9.5760000000000005</c:v>
                </c:pt>
                <c:pt idx="3">
                  <c:v>9.2970000000000006</c:v>
                </c:pt>
                <c:pt idx="4">
                  <c:v>8.7769999999999992</c:v>
                </c:pt>
              </c:numCache>
            </c:numRef>
          </c:val>
          <c:extLst xmlns:c16r2="http://schemas.microsoft.com/office/drawing/2015/06/chart">
            <c:ext xmlns:c16="http://schemas.microsoft.com/office/drawing/2014/chart" uri="{C3380CC4-5D6E-409C-BE32-E72D297353CC}">
              <c16:uniqueId val="{00000005-71EC-4E85-98FE-9ECBDBF8A997}"/>
            </c:ext>
          </c:extLst>
        </c:ser>
        <c:ser>
          <c:idx val="3"/>
          <c:order val="3"/>
          <c:tx>
            <c:strRef>
              <c:f>Sheet1!$A$5</c:f>
              <c:strCache>
                <c:ptCount val="1"/>
                <c:pt idx="0">
                  <c:v>Σύνολο καταθέσεων</c:v>
                </c:pt>
              </c:strCache>
            </c:strRef>
          </c:tx>
          <c:spPr>
            <a:noFill/>
          </c:spPr>
          <c:invertIfNegative val="0"/>
          <c:dLbls>
            <c:dLbl>
              <c:idx val="0"/>
              <c:tx>
                <c:rich>
                  <a:bodyPr/>
                  <a:lstStyle/>
                  <a:p>
                    <a:r>
                      <a:rPr lang="en-US" sz="600"/>
                      <a:t>43,3</a:t>
                    </a:r>
                    <a:endParaRPr lang="en-US"/>
                  </a:p>
                </c:rich>
              </c:tx>
              <c:dLblPos val="inBase"/>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sz="600"/>
                      <a:t>43,7</a:t>
                    </a:r>
                    <a:endParaRPr lang="en-US"/>
                  </a:p>
                </c:rich>
              </c:tx>
              <c:dLblPos val="inBase"/>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sz="600"/>
                      <a:t>47,0</a:t>
                    </a:r>
                    <a:endParaRPr lang="en-US"/>
                  </a:p>
                </c:rich>
              </c:tx>
              <c:dLblPos val="inBase"/>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sz="600"/>
                      <a:t>46,6</a:t>
                    </a:r>
                    <a:endParaRPr lang="en-US"/>
                  </a:p>
                </c:rich>
              </c:tx>
              <c:dLblPos val="inBase"/>
              <c:showLegendKey val="0"/>
              <c:showVal val="1"/>
              <c:showCatName val="0"/>
              <c:showSerName val="0"/>
              <c:showPercent val="0"/>
              <c:showBubbleSize val="0"/>
              <c:extLst>
                <c:ext xmlns:c15="http://schemas.microsoft.com/office/drawing/2012/chart" uri="{CE6537A1-D6FC-4f65-9D91-7224C49458BB}"/>
              </c:extLst>
            </c:dLbl>
            <c:dLbl>
              <c:idx val="4"/>
              <c:tx>
                <c:rich>
                  <a:bodyPr/>
                  <a:lstStyle/>
                  <a:p>
                    <a:pPr>
                      <a:defRPr sz="600" b="1" i="0">
                        <a:solidFill>
                          <a:srgbClr val="595959"/>
                        </a:solidFill>
                        <a:latin typeface="Segoe UI" pitchFamily="34" charset="0"/>
                        <a:ea typeface="Segoe UI" pitchFamily="34" charset="0"/>
                        <a:cs typeface="Segoe UI" pitchFamily="34" charset="0"/>
                      </a:defRPr>
                    </a:pPr>
                    <a:r>
                      <a:rPr lang="en-US" sz="600"/>
                      <a:t>49,6</a:t>
                    </a:r>
                    <a:endParaRPr lang="en-US"/>
                  </a:p>
                </c:rich>
              </c:tx>
              <c:numFmt formatCode="#,##0.0" sourceLinked="0"/>
              <c:spPr/>
              <c:dLblPos val="inBase"/>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a:noFill/>
              </a:ln>
              <a:effectLst/>
            </c:spPr>
            <c:txPr>
              <a:bodyPr/>
              <a:lstStyle/>
              <a:p>
                <a:pPr>
                  <a:defRPr sz="600" b="0" i="0">
                    <a:solidFill>
                      <a:srgbClr val="595959"/>
                    </a:solidFill>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Sheet1!$X$1:$AF$1</c:f>
              <c:strCache>
                <c:ptCount val="5"/>
                <c:pt idx="0">
                  <c:v>Β' τρίμηνο      2020</c:v>
                </c:pt>
                <c:pt idx="1">
                  <c:v>Γ' τρίμηνο      2020</c:v>
                </c:pt>
                <c:pt idx="2">
                  <c:v>Δ' τρίμηνο      2020</c:v>
                </c:pt>
                <c:pt idx="3">
                  <c:v>Α' τρίμηνο      2021</c:v>
                </c:pt>
                <c:pt idx="4">
                  <c:v>Β' τρίμηνο      2021</c:v>
                </c:pt>
              </c:strCache>
            </c:strRef>
          </c:cat>
          <c:val>
            <c:numRef>
              <c:f>Sheet1!$X$5:$AF$5</c:f>
              <c:numCache>
                <c:formatCode>0.000</c:formatCode>
                <c:ptCount val="5"/>
                <c:pt idx="0">
                  <c:v>43.262999999999998</c:v>
                </c:pt>
                <c:pt idx="1">
                  <c:v>43.706000000000003</c:v>
                </c:pt>
                <c:pt idx="2">
                  <c:v>46.975000000000001</c:v>
                </c:pt>
                <c:pt idx="3">
                  <c:v>46.628999999999998</c:v>
                </c:pt>
                <c:pt idx="4">
                  <c:v>49.557000000000002</c:v>
                </c:pt>
              </c:numCache>
            </c:numRef>
          </c:val>
          <c:extLst xmlns:c16r2="http://schemas.microsoft.com/office/drawing/2015/06/chart">
            <c:ext xmlns:c16="http://schemas.microsoft.com/office/drawing/2014/chart" uri="{C3380CC4-5D6E-409C-BE32-E72D297353CC}">
              <c16:uniqueId val="{00000007-71EC-4E85-98FE-9ECBDBF8A997}"/>
            </c:ext>
          </c:extLst>
        </c:ser>
        <c:dLbls>
          <c:showLegendKey val="0"/>
          <c:showVal val="0"/>
          <c:showCatName val="0"/>
          <c:showSerName val="0"/>
          <c:showPercent val="0"/>
          <c:showBubbleSize val="0"/>
        </c:dLbls>
        <c:gapWidth val="150"/>
        <c:overlap val="100"/>
        <c:axId val="421559344"/>
        <c:axId val="421559904"/>
      </c:barChart>
      <c:catAx>
        <c:axId val="421559344"/>
        <c:scaling>
          <c:orientation val="minMax"/>
        </c:scaling>
        <c:delete val="0"/>
        <c:axPos val="b"/>
        <c:numFmt formatCode="General" sourceLinked="1"/>
        <c:majorTickMark val="none"/>
        <c:minorTickMark val="none"/>
        <c:tickLblPos val="nextTo"/>
        <c:txPr>
          <a:bodyPr/>
          <a:lstStyle/>
          <a:p>
            <a:pPr algn="ctr">
              <a:defRPr lang="el-GR" sz="500" b="0" i="0" u="none" strike="noStrike" kern="1200" baseline="0">
                <a:solidFill>
                  <a:sysClr val="windowText" lastClr="000000"/>
                </a:solidFill>
                <a:latin typeface="Segoe UI" pitchFamily="34" charset="0"/>
                <a:ea typeface="Segoe UI" pitchFamily="34" charset="0"/>
                <a:cs typeface="Segoe UI" pitchFamily="34" charset="0"/>
              </a:defRPr>
            </a:pPr>
            <a:endParaRPr lang="el-GR"/>
          </a:p>
        </c:txPr>
        <c:crossAx val="421559904"/>
        <c:crosses val="autoZero"/>
        <c:auto val="1"/>
        <c:lblAlgn val="ctr"/>
        <c:lblOffset val="100"/>
        <c:noMultiLvlLbl val="0"/>
      </c:catAx>
      <c:valAx>
        <c:axId val="421559904"/>
        <c:scaling>
          <c:orientation val="minMax"/>
          <c:max val="60"/>
        </c:scaling>
        <c:delete val="0"/>
        <c:axPos val="l"/>
        <c:numFmt formatCode="0.000" sourceLinked="1"/>
        <c:majorTickMark val="out"/>
        <c:minorTickMark val="none"/>
        <c:tickLblPos val="none"/>
        <c:spPr>
          <a:ln>
            <a:noFill/>
          </a:ln>
        </c:spPr>
        <c:crossAx val="421559344"/>
        <c:crosses val="autoZero"/>
        <c:crossBetween val="between"/>
      </c:valAx>
      <c:spPr>
        <a:noFill/>
        <a:ln w="25375">
          <a:noFill/>
        </a:ln>
      </c:spPr>
    </c:plotArea>
    <c:legend>
      <c:legendPos val="r"/>
      <c:legendEntry>
        <c:idx val="0"/>
        <c:delete val="1"/>
      </c:legendEntry>
      <c:layout>
        <c:manualLayout>
          <c:xMode val="edge"/>
          <c:yMode val="edge"/>
          <c:x val="0.77888634136851143"/>
          <c:y val="0.15110771347756288"/>
          <c:w val="0.1935117599351176"/>
          <c:h val="0.71735647121779678"/>
        </c:manualLayout>
      </c:layout>
      <c:overlay val="0"/>
      <c:txPr>
        <a:bodyPr/>
        <a:lstStyle/>
        <a:p>
          <a:pPr>
            <a:defRPr sz="500">
              <a:solidFill>
                <a:srgbClr val="595959"/>
              </a:solidFill>
              <a:latin typeface="Segoe UI" pitchFamily="34" charset="0"/>
              <a:ea typeface="Segoe UI" pitchFamily="34" charset="0"/>
              <a:cs typeface="Segoe UI" pitchFamily="34" charset="0"/>
            </a:defRPr>
          </a:pPr>
          <a:endParaRPr lang="el-GR"/>
        </a:p>
      </c:txPr>
    </c:legend>
    <c:plotVisOnly val="1"/>
    <c:dispBlanksAs val="gap"/>
    <c:showDLblsOverMax val="0"/>
  </c:chart>
  <c:spPr>
    <a:ln w="9525">
      <a:solidFill>
        <a:srgbClr val="BFBFBF"/>
      </a:solidFill>
    </a:ln>
  </c:spPr>
  <c:txPr>
    <a:bodyPr/>
    <a:lstStyle/>
    <a:p>
      <a:pPr>
        <a:defRPr sz="1798"/>
      </a:pPr>
      <a:endParaRPr lang="el-G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1157861875195121E-2"/>
          <c:y val="9.3851132686084193E-2"/>
          <c:w val="0.95407214066754287"/>
          <c:h val="0.69410950341825828"/>
        </c:manualLayout>
      </c:layout>
      <c:barChart>
        <c:barDir val="col"/>
        <c:grouping val="stacked"/>
        <c:varyColors val="0"/>
        <c:ser>
          <c:idx val="0"/>
          <c:order val="0"/>
          <c:tx>
            <c:strRef>
              <c:f>Sheet1!$A$3</c:f>
              <c:strCache>
                <c:ptCount val="1"/>
                <c:pt idx="0">
                  <c:v>Depos</c:v>
                </c:pt>
              </c:strCache>
            </c:strRef>
          </c:tx>
          <c:invertIfNegative val="0"/>
          <c:dLbls>
            <c:spPr>
              <a:noFill/>
              <a:ln>
                <a:noFill/>
              </a:ln>
              <a:effectLst/>
            </c:spPr>
            <c:txPr>
              <a:bodyPr/>
              <a:lstStyle/>
              <a:p>
                <a:pPr>
                  <a:defRPr sz="799">
                    <a:solidFill>
                      <a:schemeClr val="bg1"/>
                    </a:solidFill>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Sheet1!$B$2:$AG$2</c:f>
              <c:strCache>
                <c:ptCount val="12"/>
                <c:pt idx="0">
                  <c:v>Δ' τρίμηνο                      2014</c:v>
                </c:pt>
                <c:pt idx="1">
                  <c:v>Α' τρίμηνο                      2015</c:v>
                </c:pt>
                <c:pt idx="2">
                  <c:v>Β' τρίμηνο                      2015</c:v>
                </c:pt>
                <c:pt idx="4">
                  <c:v>Β' εξάμηνο                       2015</c:v>
                </c:pt>
                <c:pt idx="5">
                  <c:v>2016</c:v>
                </c:pt>
                <c:pt idx="6">
                  <c:v>2017</c:v>
                </c:pt>
                <c:pt idx="7">
                  <c:v>2018</c:v>
                </c:pt>
                <c:pt idx="8">
                  <c:v>2019</c:v>
                </c:pt>
                <c:pt idx="9">
                  <c:v>2020</c:v>
                </c:pt>
                <c:pt idx="10">
                  <c:v>Α' τρίμηνο                      2021</c:v>
                </c:pt>
                <c:pt idx="11">
                  <c:v>Β' τρίμηνο                      2021</c:v>
                </c:pt>
              </c:strCache>
            </c:strRef>
          </c:cat>
          <c:val>
            <c:numRef>
              <c:f>Sheet1!$B$3:$W$3</c:f>
            </c:numRef>
          </c:val>
        </c:ser>
        <c:ser>
          <c:idx val="1"/>
          <c:order val="1"/>
          <c:tx>
            <c:strRef>
              <c:f>Sheet1!$A$4</c:f>
              <c:strCache>
                <c:ptCount val="1"/>
                <c:pt idx="0">
                  <c:v>Sight</c:v>
                </c:pt>
              </c:strCache>
            </c:strRef>
          </c:tx>
          <c:invertIfNegative val="0"/>
          <c:dLbls>
            <c:spPr>
              <a:noFill/>
              <a:ln>
                <a:noFill/>
              </a:ln>
              <a:effectLst/>
            </c:spPr>
            <c:txPr>
              <a:bodyPr/>
              <a:lstStyle/>
              <a:p>
                <a:pPr>
                  <a:defRPr sz="799">
                    <a:solidFill>
                      <a:schemeClr val="bg1"/>
                    </a:solidFill>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Sheet1!$B$2:$AG$2</c:f>
              <c:strCache>
                <c:ptCount val="12"/>
                <c:pt idx="0">
                  <c:v>Δ' τρίμηνο                      2014</c:v>
                </c:pt>
                <c:pt idx="1">
                  <c:v>Α' τρίμηνο                      2015</c:v>
                </c:pt>
                <c:pt idx="2">
                  <c:v>Β' τρίμηνο                      2015</c:v>
                </c:pt>
                <c:pt idx="4">
                  <c:v>Β' εξάμηνο                       2015</c:v>
                </c:pt>
                <c:pt idx="5">
                  <c:v>2016</c:v>
                </c:pt>
                <c:pt idx="6">
                  <c:v>2017</c:v>
                </c:pt>
                <c:pt idx="7">
                  <c:v>2018</c:v>
                </c:pt>
                <c:pt idx="8">
                  <c:v>2019</c:v>
                </c:pt>
                <c:pt idx="9">
                  <c:v>2020</c:v>
                </c:pt>
                <c:pt idx="10">
                  <c:v>Α' τρίμηνο                      2021</c:v>
                </c:pt>
                <c:pt idx="11">
                  <c:v>Β' τρίμηνο                      2021</c:v>
                </c:pt>
              </c:strCache>
            </c:strRef>
          </c:cat>
          <c:val>
            <c:numRef>
              <c:f>Sheet1!$B$4:$W$4</c:f>
            </c:numRef>
          </c:val>
        </c:ser>
        <c:ser>
          <c:idx val="2"/>
          <c:order val="2"/>
          <c:tx>
            <c:strRef>
              <c:f>Sheet1!$A$5</c:f>
              <c:strCache>
                <c:ptCount val="1"/>
                <c:pt idx="0">
                  <c:v>Time &amp; other</c:v>
                </c:pt>
              </c:strCache>
            </c:strRef>
          </c:tx>
          <c:invertIfNegative val="0"/>
          <c:dLbls>
            <c:spPr>
              <a:noFill/>
              <a:ln>
                <a:noFill/>
              </a:ln>
              <a:effectLst/>
            </c:spPr>
            <c:txPr>
              <a:bodyPr/>
              <a:lstStyle/>
              <a:p>
                <a:pPr>
                  <a:defRPr sz="799"/>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Sheet1!$B$2:$AG$2</c:f>
              <c:strCache>
                <c:ptCount val="12"/>
                <c:pt idx="0">
                  <c:v>Δ' τρίμηνο                      2014</c:v>
                </c:pt>
                <c:pt idx="1">
                  <c:v>Α' τρίμηνο                      2015</c:v>
                </c:pt>
                <c:pt idx="2">
                  <c:v>Β' τρίμηνο                      2015</c:v>
                </c:pt>
                <c:pt idx="4">
                  <c:v>Β' εξάμηνο                       2015</c:v>
                </c:pt>
                <c:pt idx="5">
                  <c:v>2016</c:v>
                </c:pt>
                <c:pt idx="6">
                  <c:v>2017</c:v>
                </c:pt>
                <c:pt idx="7">
                  <c:v>2018</c:v>
                </c:pt>
                <c:pt idx="8">
                  <c:v>2019</c:v>
                </c:pt>
                <c:pt idx="9">
                  <c:v>2020</c:v>
                </c:pt>
                <c:pt idx="10">
                  <c:v>Α' τρίμηνο                      2021</c:v>
                </c:pt>
                <c:pt idx="11">
                  <c:v>Β' τρίμηνο                      2021</c:v>
                </c:pt>
              </c:strCache>
            </c:strRef>
          </c:cat>
          <c:val>
            <c:numRef>
              <c:f>Sheet1!$B$5:$W$5</c:f>
            </c:numRef>
          </c:val>
        </c:ser>
        <c:ser>
          <c:idx val="3"/>
          <c:order val="3"/>
          <c:tx>
            <c:strRef>
              <c:f>Sheet1!$A$6</c:f>
              <c:strCache>
                <c:ptCount val="1"/>
                <c:pt idx="0">
                  <c:v>Total</c:v>
                </c:pt>
              </c:strCache>
            </c:strRef>
          </c:tx>
          <c:spPr>
            <a:solidFill>
              <a:schemeClr val="bg1"/>
            </a:solidFill>
            <a:ln>
              <a:solidFill>
                <a:srgbClr val="008080"/>
              </a:solidFill>
            </a:ln>
          </c:spPr>
          <c:invertIfNegative val="0"/>
          <c:dPt>
            <c:idx val="0"/>
            <c:invertIfNegative val="0"/>
            <c:bubble3D val="0"/>
            <c:spPr>
              <a:solidFill>
                <a:schemeClr val="bg1"/>
              </a:solidFill>
              <a:ln>
                <a:solidFill>
                  <a:srgbClr val="FF0000"/>
                </a:solidFill>
              </a:ln>
            </c:spPr>
          </c:dPt>
          <c:dPt>
            <c:idx val="1"/>
            <c:invertIfNegative val="0"/>
            <c:bubble3D val="0"/>
            <c:spPr>
              <a:solidFill>
                <a:schemeClr val="bg1"/>
              </a:solidFill>
              <a:ln>
                <a:solidFill>
                  <a:srgbClr val="FF0000"/>
                </a:solidFill>
              </a:ln>
            </c:spPr>
          </c:dPt>
          <c:dPt>
            <c:idx val="2"/>
            <c:invertIfNegative val="0"/>
            <c:bubble3D val="0"/>
            <c:spPr>
              <a:solidFill>
                <a:schemeClr val="bg1"/>
              </a:solidFill>
              <a:ln>
                <a:solidFill>
                  <a:srgbClr val="FF0000"/>
                </a:solidFill>
              </a:ln>
            </c:spPr>
          </c:dPt>
          <c:dPt>
            <c:idx val="3"/>
            <c:invertIfNegative val="0"/>
            <c:bubble3D val="0"/>
            <c:spPr>
              <a:noFill/>
              <a:ln>
                <a:solidFill>
                  <a:srgbClr val="008080"/>
                </a:solidFill>
              </a:ln>
            </c:spPr>
          </c:dPt>
          <c:dPt>
            <c:idx val="4"/>
            <c:invertIfNegative val="0"/>
            <c:bubble3D val="0"/>
            <c:spPr>
              <a:noFill/>
              <a:ln>
                <a:solidFill>
                  <a:srgbClr val="008080"/>
                </a:solidFill>
              </a:ln>
            </c:spPr>
          </c:dPt>
          <c:dPt>
            <c:idx val="5"/>
            <c:invertIfNegative val="0"/>
            <c:bubble3D val="0"/>
            <c:spPr>
              <a:noFill/>
              <a:ln>
                <a:solidFill>
                  <a:srgbClr val="008080"/>
                </a:solidFill>
              </a:ln>
            </c:spPr>
          </c:dPt>
          <c:dPt>
            <c:idx val="6"/>
            <c:invertIfNegative val="0"/>
            <c:bubble3D val="0"/>
            <c:spPr>
              <a:noFill/>
              <a:ln>
                <a:solidFill>
                  <a:srgbClr val="008080"/>
                </a:solidFill>
              </a:ln>
            </c:spPr>
          </c:dPt>
          <c:dPt>
            <c:idx val="10"/>
            <c:invertIfNegative val="0"/>
            <c:bubble3D val="0"/>
            <c:spPr>
              <a:solidFill>
                <a:schemeClr val="bg1"/>
              </a:solidFill>
              <a:ln>
                <a:solidFill>
                  <a:srgbClr val="FF0000"/>
                </a:solidFill>
              </a:ln>
            </c:spPr>
          </c:dPt>
          <c:dLbls>
            <c:dLbl>
              <c:idx val="0"/>
              <c:layout>
                <c:manualLayout>
                  <c:x val="3.1523644470876889E-3"/>
                  <c:y val="-0.14715965920897681"/>
                </c:manualLayout>
              </c:layout>
              <c:tx>
                <c:rich>
                  <a:bodyPr/>
                  <a:lstStyle/>
                  <a:p>
                    <a:r>
                      <a:rPr lang="en-US"/>
                      <a:t>-2,2</a:t>
                    </a:r>
                  </a:p>
                </c:rich>
              </c:tx>
              <c:dLblPos val="ctr"/>
              <c:showLegendKey val="0"/>
              <c:showVal val="1"/>
              <c:showCatName val="0"/>
              <c:showSerName val="0"/>
              <c:showPercent val="0"/>
              <c:showBubbleSize val="0"/>
              <c:extLst>
                <c:ext xmlns:c15="http://schemas.microsoft.com/office/drawing/2012/chart" uri="{CE6537A1-D6FC-4f65-9D91-7224C49458BB}"/>
              </c:extLst>
            </c:dLbl>
            <c:dLbl>
              <c:idx val="1"/>
              <c:layout>
                <c:manualLayout>
                  <c:x val="-7.1258329564561664E-3"/>
                  <c:y val="-0.20277287525109092"/>
                </c:manualLayout>
              </c:layout>
              <c:tx>
                <c:rich>
                  <a:bodyPr/>
                  <a:lstStyle/>
                  <a:p>
                    <a:r>
                      <a:rPr lang="en-US"/>
                      <a:t>-4,8</a:t>
                    </a:r>
                  </a:p>
                </c:rich>
              </c:tx>
              <c:dLblPos val="ctr"/>
              <c:showLegendKey val="0"/>
              <c:showVal val="1"/>
              <c:showCatName val="0"/>
              <c:showSerName val="0"/>
              <c:showPercent val="0"/>
              <c:showBubbleSize val="0"/>
              <c:extLst>
                <c:ext xmlns:c15="http://schemas.microsoft.com/office/drawing/2012/chart" uri="{CE6537A1-D6FC-4f65-9D91-7224C49458BB}">
                  <c15:layout>
                    <c:manualLayout>
                      <c:w val="7.9012897886724373E-2"/>
                      <c:h val="0.10469820599847614"/>
                    </c:manualLayout>
                  </c15:layout>
                </c:ext>
              </c:extLst>
            </c:dLbl>
            <c:dLbl>
              <c:idx val="2"/>
              <c:layout>
                <c:manualLayout>
                  <c:x val="-2.7790450668971458E-3"/>
                  <c:y val="-0.18118224007757841"/>
                </c:manualLayout>
              </c:layout>
              <c:tx>
                <c:rich>
                  <a:bodyPr/>
                  <a:lstStyle/>
                  <a:p>
                    <a:r>
                      <a:rPr lang="en-US"/>
                      <a:t>-3,6</a:t>
                    </a:r>
                  </a:p>
                </c:rich>
              </c:tx>
              <c:dLblPos val="ctr"/>
              <c:showLegendKey val="0"/>
              <c:showVal val="1"/>
              <c:showCatName val="0"/>
              <c:showSerName val="0"/>
              <c:showPercent val="0"/>
              <c:showBubbleSize val="0"/>
              <c:extLst>
                <c:ext xmlns:c15="http://schemas.microsoft.com/office/drawing/2012/chart" uri="{CE6537A1-D6FC-4f65-9D91-7224C49458BB}"/>
              </c:extLst>
            </c:dLbl>
            <c:dLbl>
              <c:idx val="3"/>
              <c:layout>
                <c:manualLayout>
                  <c:x val="-5.3796216269080179E-3"/>
                  <c:y val="-9.8127311768373013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4"/>
              <c:layout>
                <c:manualLayout>
                  <c:x val="3.6655493850672842E-3"/>
                  <c:y val="-8.0440057153559161E-2"/>
                </c:manualLayout>
              </c:layout>
              <c:tx>
                <c:rich>
                  <a:bodyPr/>
                  <a:lstStyle/>
                  <a:p>
                    <a:r>
                      <a:rPr lang="en-US"/>
                      <a:t>1,1</a:t>
                    </a:r>
                  </a:p>
                </c:rich>
              </c:tx>
              <c:dLblPos val="ctr"/>
              <c:showLegendKey val="0"/>
              <c:showVal val="1"/>
              <c:showCatName val="0"/>
              <c:showSerName val="0"/>
              <c:showPercent val="0"/>
              <c:showBubbleSize val="0"/>
              <c:extLst>
                <c:ext xmlns:c15="http://schemas.microsoft.com/office/drawing/2012/chart" uri="{CE6537A1-D6FC-4f65-9D91-7224C49458BB}">
                  <c15:layout>
                    <c:manualLayout>
                      <c:w val="6.6196426559092428E-2"/>
                      <c:h val="8.3585786520745303E-2"/>
                    </c:manualLayout>
                  </c15:layout>
                </c:ext>
              </c:extLst>
            </c:dLbl>
            <c:dLbl>
              <c:idx val="5"/>
              <c:layout>
                <c:manualLayout>
                  <c:x val="3.2416140648375679E-3"/>
                  <c:y val="-6.6146406543619571E-2"/>
                </c:manualLayout>
              </c:layout>
              <c:tx>
                <c:rich>
                  <a:bodyPr/>
                  <a:lstStyle/>
                  <a:p>
                    <a:r>
                      <a:rPr lang="en-US"/>
                      <a:t>0,2</a:t>
                    </a:r>
                  </a:p>
                </c:rich>
              </c:tx>
              <c:dLblPos val="ctr"/>
              <c:showLegendKey val="0"/>
              <c:showVal val="1"/>
              <c:showCatName val="0"/>
              <c:showSerName val="0"/>
              <c:showPercent val="0"/>
              <c:showBubbleSize val="0"/>
              <c:extLst>
                <c:ext xmlns:c15="http://schemas.microsoft.com/office/drawing/2012/chart" uri="{CE6537A1-D6FC-4f65-9D91-7224C49458BB}"/>
              </c:extLst>
            </c:dLbl>
            <c:dLbl>
              <c:idx val="6"/>
              <c:layout>
                <c:manualLayout>
                  <c:x val="-1.256705860235736E-3"/>
                  <c:y val="-8.3464503136501514E-2"/>
                </c:manualLayout>
              </c:layout>
              <c:tx>
                <c:rich>
                  <a:bodyPr/>
                  <a:lstStyle/>
                  <a:p>
                    <a:r>
                      <a:rPr lang="en-US"/>
                      <a:t>1,5</a:t>
                    </a:r>
                  </a:p>
                </c:rich>
              </c:tx>
              <c:dLblPos val="ctr"/>
              <c:showLegendKey val="0"/>
              <c:showVal val="1"/>
              <c:showCatName val="0"/>
              <c:showSerName val="0"/>
              <c:showPercent val="0"/>
              <c:showBubbleSize val="0"/>
              <c:extLst>
                <c:ext xmlns:c15="http://schemas.microsoft.com/office/drawing/2012/chart" uri="{CE6537A1-D6FC-4f65-9D91-7224C49458BB}"/>
              </c:extLst>
            </c:dLbl>
            <c:dLbl>
              <c:idx val="7"/>
              <c:layout>
                <c:manualLayout>
                  <c:x val="-2.1121265509218808E-3"/>
                  <c:y val="-0.11779504262317166"/>
                </c:manualLayout>
              </c:layout>
              <c:tx>
                <c:rich>
                  <a:bodyPr/>
                  <a:lstStyle/>
                  <a:p>
                    <a:r>
                      <a:rPr lang="en-US"/>
                      <a:t>3,4</a:t>
                    </a:r>
                  </a:p>
                </c:rich>
              </c:tx>
              <c:dLblPos val="ctr"/>
              <c:showLegendKey val="0"/>
              <c:showVal val="1"/>
              <c:showCatName val="0"/>
              <c:showSerName val="0"/>
              <c:showPercent val="0"/>
              <c:showBubbleSize val="0"/>
              <c:extLst>
                <c:ext xmlns:c15="http://schemas.microsoft.com/office/drawing/2012/chart" uri="{CE6537A1-D6FC-4f65-9D91-7224C49458BB}"/>
              </c:extLst>
            </c:dLbl>
            <c:dLbl>
              <c:idx val="8"/>
              <c:layout>
                <c:manualLayout>
                  <c:x val="-2.5245480445558674E-3"/>
                  <c:y val="-7.0727529455336724E-2"/>
                </c:manualLayout>
              </c:layout>
              <c:tx>
                <c:rich>
                  <a:bodyPr/>
                  <a:lstStyle/>
                  <a:p>
                    <a:r>
                      <a:rPr lang="en-US"/>
                      <a:t>0,5</a:t>
                    </a:r>
                  </a:p>
                </c:rich>
              </c:tx>
              <c:dLblPos val="ctr"/>
              <c:showLegendKey val="0"/>
              <c:showVal val="1"/>
              <c:showCatName val="0"/>
              <c:showSerName val="0"/>
              <c:showPercent val="0"/>
              <c:showBubbleSize val="0"/>
              <c:extLst>
                <c:ext xmlns:c15="http://schemas.microsoft.com/office/drawing/2012/chart" uri="{CE6537A1-D6FC-4f65-9D91-7224C49458BB}"/>
              </c:extLst>
            </c:dLbl>
            <c:dLbl>
              <c:idx val="9"/>
              <c:layout>
                <c:manualLayout>
                  <c:x val="-1.4502617658498003E-16"/>
                  <c:y val="-0.16297127828471542"/>
                </c:manualLayout>
              </c:layout>
              <c:tx>
                <c:rich>
                  <a:bodyPr/>
                  <a:lstStyle/>
                  <a:p>
                    <a:r>
                      <a:rPr lang="en-US"/>
                      <a:t>4,7</a:t>
                    </a:r>
                  </a:p>
                </c:rich>
              </c:tx>
              <c:dLblPos val="ctr"/>
              <c:showLegendKey val="0"/>
              <c:showVal val="1"/>
              <c:showCatName val="0"/>
              <c:showSerName val="0"/>
              <c:showPercent val="0"/>
              <c:showBubbleSize val="0"/>
              <c:extLst>
                <c:ext xmlns:c15="http://schemas.microsoft.com/office/drawing/2012/chart" uri="{CE6537A1-D6FC-4f65-9D91-7224C49458BB}"/>
              </c:extLst>
            </c:dLbl>
            <c:dLbl>
              <c:idx val="10"/>
              <c:layout>
                <c:manualLayout>
                  <c:x val="-6.8174317011352522E-4"/>
                  <c:y val="-0.11368697499234504"/>
                </c:manualLayout>
              </c:layout>
              <c:tx>
                <c:rich>
                  <a:bodyPr/>
                  <a:lstStyle/>
                  <a:p>
                    <a:r>
                      <a:rPr lang="en-US"/>
                      <a:t>-0,3</a:t>
                    </a:r>
                  </a:p>
                </c:rich>
              </c:tx>
              <c:dLblPos val="ctr"/>
              <c:showLegendKey val="0"/>
              <c:showVal val="1"/>
              <c:showCatName val="0"/>
              <c:showSerName val="0"/>
              <c:showPercent val="0"/>
              <c:showBubbleSize val="0"/>
              <c:extLst>
                <c:ext xmlns:c15="http://schemas.microsoft.com/office/drawing/2012/chart" uri="{CE6537A1-D6FC-4f65-9D91-7224C49458BB}">
                  <c15:layout>
                    <c:manualLayout>
                      <c:w val="8.1006656982702527E-2"/>
                      <c:h val="9.820821500311698E-2"/>
                    </c:manualLayout>
                  </c15:layout>
                </c:ext>
              </c:extLst>
            </c:dLbl>
            <c:dLbl>
              <c:idx val="11"/>
              <c:layout>
                <c:manualLayout>
                  <c:x val="1.2787781533239852E-3"/>
                  <c:y val="-0.11005179851500234"/>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2"/>
              <c:layout>
                <c:manualLayout>
                  <c:x val="3.2414902585560699E-3"/>
                  <c:y val="-0.11708914594444828"/>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3"/>
              <c:layout>
                <c:manualLayout>
                  <c:x val="3.1003068881690866E-3"/>
                  <c:y val="-9.6323058807231451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4"/>
              <c:layout>
                <c:manualLayout>
                  <c:x val="-2.9783583570155816E-3"/>
                  <c:y val="-7.5619588557179471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5"/>
              <c:layout>
                <c:manualLayout>
                  <c:x val="-2.9783583570156917E-3"/>
                  <c:y val="-8.969453487566674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6"/>
              <c:layout>
                <c:manualLayout>
                  <c:x val="2.9783583570155816E-3"/>
                  <c:y val="-8.2657061716423133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7"/>
              <c:layout>
                <c:manualLayout>
                  <c:x val="-2.9862004619911858E-3"/>
                  <c:y val="-9.4586250488825532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8"/>
              <c:layout>
                <c:manualLayout>
                  <c:x val="-5.5248607365117781E-3"/>
                  <c:y val="-7.878134305965237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9"/>
              <c:layout>
                <c:manualLayout>
                  <c:x val="0"/>
                  <c:y val="-9.7303091327233124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20"/>
              <c:layout>
                <c:manualLayout>
                  <c:x val="-1.0499922387384902E-2"/>
                  <c:y val="-6.3018141520542595E-2"/>
                </c:manualLayout>
              </c:layout>
              <c:dLblPos val="ctr"/>
              <c:showLegendKey val="0"/>
              <c:showVal val="1"/>
              <c:showCatName val="0"/>
              <c:showSerName val="0"/>
              <c:showPercent val="0"/>
              <c:showBubbleSize val="0"/>
              <c:extLst>
                <c:ext xmlns:c15="http://schemas.microsoft.com/office/drawing/2012/chart" uri="{CE6537A1-D6FC-4f65-9D91-7224C49458BB}"/>
              </c:extLst>
            </c:dLbl>
            <c:spPr>
              <a:solidFill>
                <a:schemeClr val="bg1"/>
              </a:solidFill>
              <a:ln>
                <a:noFill/>
              </a:ln>
              <a:effectLst/>
            </c:spPr>
            <c:txPr>
              <a:bodyPr/>
              <a:lstStyle/>
              <a:p>
                <a:pPr>
                  <a:defRPr lang="el-GR" sz="700"/>
                </a:pPr>
                <a:endParaRPr lang="el-G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Sheet1!$B$2:$AG$2</c:f>
              <c:strCache>
                <c:ptCount val="12"/>
                <c:pt idx="0">
                  <c:v>Δ' τρίμηνο                      2014</c:v>
                </c:pt>
                <c:pt idx="1">
                  <c:v>Α' τρίμηνο                      2015</c:v>
                </c:pt>
                <c:pt idx="2">
                  <c:v>Β' τρίμηνο                      2015</c:v>
                </c:pt>
                <c:pt idx="4">
                  <c:v>Β' εξάμηνο                       2015</c:v>
                </c:pt>
                <c:pt idx="5">
                  <c:v>2016</c:v>
                </c:pt>
                <c:pt idx="6">
                  <c:v>2017</c:v>
                </c:pt>
                <c:pt idx="7">
                  <c:v>2018</c:v>
                </c:pt>
                <c:pt idx="8">
                  <c:v>2019</c:v>
                </c:pt>
                <c:pt idx="9">
                  <c:v>2020</c:v>
                </c:pt>
                <c:pt idx="10">
                  <c:v>Α' τρίμηνο                      2021</c:v>
                </c:pt>
                <c:pt idx="11">
                  <c:v>Β' τρίμηνο                      2021</c:v>
                </c:pt>
              </c:strCache>
            </c:strRef>
          </c:cat>
          <c:val>
            <c:numRef>
              <c:f>Sheet1!$B$6:$AG$6</c:f>
              <c:numCache>
                <c:formatCode>0.0</c:formatCode>
                <c:ptCount val="12"/>
                <c:pt idx="0" formatCode="General">
                  <c:v>-2.2000000000000002</c:v>
                </c:pt>
                <c:pt idx="1">
                  <c:v>-4.8049999999999997</c:v>
                </c:pt>
                <c:pt idx="2">
                  <c:v>-3.5609999999999999</c:v>
                </c:pt>
                <c:pt idx="4">
                  <c:v>1.1379999999999999</c:v>
                </c:pt>
                <c:pt idx="5">
                  <c:v>0.22599999999999998</c:v>
                </c:pt>
                <c:pt idx="6">
                  <c:v>1.5389999999999999</c:v>
                </c:pt>
                <c:pt idx="7">
                  <c:v>3.35688005</c:v>
                </c:pt>
                <c:pt idx="8">
                  <c:v>0.49611994999999981</c:v>
                </c:pt>
                <c:pt idx="9">
                  <c:v>4.7380000000000004</c:v>
                </c:pt>
                <c:pt idx="10">
                  <c:v>-0.34599999999999997</c:v>
                </c:pt>
                <c:pt idx="11">
                  <c:v>2.9279999999999999</c:v>
                </c:pt>
              </c:numCache>
            </c:numRef>
          </c:val>
        </c:ser>
        <c:dLbls>
          <c:showLegendKey val="0"/>
          <c:showVal val="0"/>
          <c:showCatName val="0"/>
          <c:showSerName val="0"/>
          <c:showPercent val="0"/>
          <c:showBubbleSize val="0"/>
        </c:dLbls>
        <c:gapWidth val="500"/>
        <c:overlap val="100"/>
        <c:axId val="411771408"/>
        <c:axId val="411771968"/>
      </c:barChart>
      <c:catAx>
        <c:axId val="411771408"/>
        <c:scaling>
          <c:orientation val="minMax"/>
        </c:scaling>
        <c:delete val="0"/>
        <c:axPos val="b"/>
        <c:numFmt formatCode="General" sourceLinked="1"/>
        <c:majorTickMark val="none"/>
        <c:minorTickMark val="none"/>
        <c:tickLblPos val="low"/>
        <c:txPr>
          <a:bodyPr/>
          <a:lstStyle/>
          <a:p>
            <a:pPr>
              <a:defRPr lang="el-GR" sz="600"/>
            </a:pPr>
            <a:endParaRPr lang="el-GR"/>
          </a:p>
        </c:txPr>
        <c:crossAx val="411771968"/>
        <c:crosses val="autoZero"/>
        <c:auto val="1"/>
        <c:lblAlgn val="ctr"/>
        <c:lblOffset val="100"/>
        <c:noMultiLvlLbl val="0"/>
      </c:catAx>
      <c:valAx>
        <c:axId val="411771968"/>
        <c:scaling>
          <c:orientation val="minMax"/>
          <c:min val="-10"/>
        </c:scaling>
        <c:delete val="1"/>
        <c:axPos val="l"/>
        <c:numFmt formatCode="General" sourceLinked="1"/>
        <c:majorTickMark val="out"/>
        <c:minorTickMark val="none"/>
        <c:tickLblPos val="nextTo"/>
        <c:crossAx val="411771408"/>
        <c:crosses val="autoZero"/>
        <c:crossBetween val="between"/>
      </c:valAx>
      <c:spPr>
        <a:noFill/>
        <a:ln w="25375">
          <a:noFill/>
        </a:ln>
      </c:spPr>
    </c:plotArea>
    <c:plotVisOnly val="1"/>
    <c:dispBlanksAs val="gap"/>
    <c:showDLblsOverMax val="0"/>
  </c:chart>
  <c:spPr>
    <a:ln>
      <a:noFill/>
    </a:ln>
  </c:spPr>
  <c:txPr>
    <a:bodyPr/>
    <a:lstStyle/>
    <a:p>
      <a:pPr>
        <a:defRPr sz="600">
          <a:latin typeface="Segoe UI" pitchFamily="34" charset="0"/>
          <a:ea typeface="Segoe UI" pitchFamily="34" charset="0"/>
          <a:cs typeface="Segoe UI" pitchFamily="34" charset="0"/>
        </a:defRPr>
      </a:pPr>
      <a:endParaRPr lang="el-GR"/>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0.41919</cdr:x>
      <cdr:y>0.38768</cdr:y>
    </cdr:from>
    <cdr:to>
      <cdr:x>0.59685</cdr:x>
      <cdr:y>0.56434</cdr:y>
    </cdr:to>
    <cdr:sp macro="" textlink="">
      <cdr:nvSpPr>
        <cdr:cNvPr id="2" name="TextBox 11"/>
        <cdr:cNvSpPr txBox="1"/>
      </cdr:nvSpPr>
      <cdr:spPr>
        <a:xfrm xmlns:a="http://schemas.openxmlformats.org/drawingml/2006/main">
          <a:off x="1347436" y="574081"/>
          <a:ext cx="571067" cy="261610"/>
        </a:xfrm>
        <a:prstGeom xmlns:a="http://schemas.openxmlformats.org/drawingml/2006/main" prst="rect">
          <a:avLst/>
        </a:prstGeom>
        <a:noFill xmlns:a="http://schemas.openxmlformats.org/drawingml/2006/main"/>
      </cdr:spPr>
    </cdr:sp>
  </cdr:relSizeAnchor>
</c:userShapes>
</file>

<file path=word/drawings/drawing2.xml><?xml version="1.0" encoding="utf-8"?>
<c:userShapes xmlns:c="http://schemas.openxmlformats.org/drawingml/2006/chart">
  <cdr:relSizeAnchor xmlns:cdr="http://schemas.openxmlformats.org/drawingml/2006/chartDrawing">
    <cdr:from>
      <cdr:x>0.02587</cdr:x>
      <cdr:y>0.49792</cdr:y>
    </cdr:from>
    <cdr:to>
      <cdr:x>0.09265</cdr:x>
      <cdr:y>0.57769</cdr:y>
    </cdr:to>
    <cdr:sp macro="" textlink="">
      <cdr:nvSpPr>
        <cdr:cNvPr id="8" name="Rectangle 15"/>
        <cdr:cNvSpPr>
          <a:spLocks xmlns:a="http://schemas.openxmlformats.org/drawingml/2006/main"/>
        </cdr:cNvSpPr>
      </cdr:nvSpPr>
      <cdr:spPr>
        <a:xfrm xmlns:a="http://schemas.openxmlformats.org/drawingml/2006/main">
          <a:off x="167309" y="1347553"/>
          <a:ext cx="431813" cy="215887"/>
        </a:xfrm>
        <a:prstGeom xmlns:a="http://schemas.openxmlformats.org/drawingml/2006/main" prst="rect">
          <a:avLst/>
        </a:prstGeom>
        <a:solidFill xmlns:a="http://schemas.openxmlformats.org/drawingml/2006/main">
          <a:sysClr val="window" lastClr="FFFFFF"/>
        </a:solidFill>
        <a:ln xmlns:a="http://schemas.openxmlformats.org/drawingml/2006/main" w="9525" cap="flat" cmpd="sng" algn="ctr">
          <a:noFill/>
          <a:prstDash val="solid"/>
        </a:ln>
        <a:effectLst xmlns:a="http://schemas.openxmlformats.org/drawingml/2006/main"/>
      </cdr:spPr>
      <cdr:txBody>
        <a:bodyPr xmlns:a="http://schemas.openxmlformats.org/drawingml/2006/main" wrap="square" anchor="ctr">
          <a:noAutofit/>
        </a:bodyPr>
        <a:lstStyle xmlns:a="http://schemas.openxmlformats.org/drawingml/2006/main"/>
        <a:p xmlns:a="http://schemas.openxmlformats.org/drawingml/2006/main">
          <a:pPr algn="ctr"/>
          <a:r>
            <a:rPr lang="el-GR" sz="500" b="1"/>
            <a:t>Δείκτης </a:t>
          </a:r>
          <a:r>
            <a:rPr lang="en-US" sz="500" b="1"/>
            <a:t>CET1</a:t>
          </a:r>
          <a:endParaRPr lang="el-GR" sz="500" b="1"/>
        </a:p>
      </cdr:txBody>
    </cdr:sp>
  </cdr:relSizeAnchor>
  <cdr:relSizeAnchor xmlns:cdr="http://schemas.openxmlformats.org/drawingml/2006/chartDrawing">
    <cdr:from>
      <cdr:x>0.08976</cdr:x>
      <cdr:y>0.66281</cdr:y>
    </cdr:from>
    <cdr:to>
      <cdr:x>0.19822</cdr:x>
      <cdr:y>0.75592</cdr:y>
    </cdr:to>
    <cdr:sp macro="" textlink="">
      <cdr:nvSpPr>
        <cdr:cNvPr id="5" name="Rectangle 15"/>
        <cdr:cNvSpPr>
          <a:spLocks xmlns:a="http://schemas.openxmlformats.org/drawingml/2006/main"/>
        </cdr:cNvSpPr>
      </cdr:nvSpPr>
      <cdr:spPr>
        <a:xfrm xmlns:a="http://schemas.openxmlformats.org/drawingml/2006/main">
          <a:off x="580407" y="1793799"/>
          <a:ext cx="701324" cy="251990"/>
        </a:xfrm>
        <a:prstGeom xmlns:a="http://schemas.openxmlformats.org/drawingml/2006/main" prst="rect">
          <a:avLst/>
        </a:prstGeom>
        <a:solidFill xmlns:a="http://schemas.openxmlformats.org/drawingml/2006/main">
          <a:sysClr val="window" lastClr="FFFFFF"/>
        </a:solidFill>
        <a:ln xmlns:a="http://schemas.openxmlformats.org/drawingml/2006/main" w="9525" cap="flat" cmpd="sng" algn="ctr">
          <a:solidFill>
            <a:srgbClr val="008080"/>
          </a:solidFill>
          <a:prstDash val="solid"/>
        </a:ln>
        <a:effectLst xmlns:a="http://schemas.openxmlformats.org/drawingml/2006/main"/>
      </cdr:spPr>
      <cdr:txBody>
        <a:bodyPr xmlns:a="http://schemas.openxmlformats.org/drawingml/2006/main" wrap="square" anchor="ctr">
          <a:noAutofit/>
        </a:bodyPr>
        <a:lstStyle xmlns:a="http://schemas.openxmlformats.org/drawingml/2006/main"/>
        <a:p xmlns:a="http://schemas.openxmlformats.org/drawingml/2006/main">
          <a:pPr algn="ctr"/>
          <a:r>
            <a:rPr lang="en-US" sz="600">
              <a:latin typeface="+mj-lt"/>
            </a:rPr>
            <a:t>CET1</a:t>
          </a:r>
          <a:r>
            <a:rPr lang="el-GR" sz="600">
              <a:latin typeface="+mj-lt"/>
            </a:rPr>
            <a:t>:</a:t>
          </a:r>
          <a:r>
            <a:rPr lang="en-US" sz="600" baseline="0">
              <a:latin typeface="+mj-lt"/>
            </a:rPr>
            <a:t> €5</a:t>
          </a:r>
          <a:r>
            <a:rPr lang="el-GR" sz="600" baseline="0">
              <a:latin typeface="+mj-lt"/>
            </a:rPr>
            <a:t>,7</a:t>
          </a:r>
          <a:r>
            <a:rPr lang="en-US" sz="600" baseline="0">
              <a:latin typeface="+mj-lt"/>
            </a:rPr>
            <a:t> </a:t>
          </a:r>
          <a:r>
            <a:rPr lang="el-GR" sz="600" baseline="0">
              <a:latin typeface="+mj-lt"/>
            </a:rPr>
            <a:t>δισ.</a:t>
          </a:r>
        </a:p>
        <a:p xmlns:a="http://schemas.openxmlformats.org/drawingml/2006/main">
          <a:pPr algn="ctr"/>
          <a:r>
            <a:rPr lang="el-GR" sz="600" baseline="0">
              <a:latin typeface="+mj-lt"/>
            </a:rPr>
            <a:t>ΣτΕ: €36,6 δισ. </a:t>
          </a:r>
        </a:p>
      </cdr:txBody>
    </cdr:sp>
  </cdr:relSizeAnchor>
  <cdr:relSizeAnchor xmlns:cdr="http://schemas.openxmlformats.org/drawingml/2006/chartDrawing">
    <cdr:from>
      <cdr:x>0.51094</cdr:x>
      <cdr:y>0.67528</cdr:y>
    </cdr:from>
    <cdr:to>
      <cdr:x>0.6194</cdr:x>
      <cdr:y>0.76839</cdr:y>
    </cdr:to>
    <cdr:sp macro="" textlink="">
      <cdr:nvSpPr>
        <cdr:cNvPr id="6" name="Rectangle 15"/>
        <cdr:cNvSpPr>
          <a:spLocks xmlns:a="http://schemas.openxmlformats.org/drawingml/2006/main"/>
        </cdr:cNvSpPr>
      </cdr:nvSpPr>
      <cdr:spPr>
        <a:xfrm xmlns:a="http://schemas.openxmlformats.org/drawingml/2006/main">
          <a:off x="3303858" y="1827547"/>
          <a:ext cx="701325" cy="251991"/>
        </a:xfrm>
        <a:prstGeom xmlns:a="http://schemas.openxmlformats.org/drawingml/2006/main" prst="rect">
          <a:avLst/>
        </a:prstGeom>
        <a:solidFill xmlns:a="http://schemas.openxmlformats.org/drawingml/2006/main">
          <a:sysClr val="window" lastClr="FFFFFF"/>
        </a:solidFill>
        <a:ln xmlns:a="http://schemas.openxmlformats.org/drawingml/2006/main" w="9525" cap="flat" cmpd="sng" algn="ctr">
          <a:solidFill>
            <a:srgbClr val="008080"/>
          </a:solidFill>
          <a:prstDash val="solid"/>
        </a:ln>
        <a:effectLst xmlns:a="http://schemas.openxmlformats.org/drawingml/2006/main"/>
      </cdr:spPr>
      <cdr:txBody>
        <a:bodyPr xmlns:a="http://schemas.openxmlformats.org/drawingml/2006/main" wrap="square" anchor="ctr">
          <a:noAutofit/>
        </a:bodyPr>
        <a:lstStyle xmlns:a="http://schemas.openxmlformats.org/drawingml/2006/main"/>
        <a:p xmlns:a="http://schemas.openxmlformats.org/drawingml/2006/main">
          <a:pPr algn="ctr"/>
          <a:r>
            <a:rPr lang="en-US" sz="600">
              <a:solidFill>
                <a:sysClr val="windowText" lastClr="000000"/>
              </a:solidFill>
            </a:rPr>
            <a:t>CET1: €5</a:t>
          </a:r>
          <a:r>
            <a:rPr lang="el-GR" sz="600">
              <a:solidFill>
                <a:sysClr val="windowText" lastClr="000000"/>
              </a:solidFill>
            </a:rPr>
            <a:t>,9</a:t>
          </a:r>
          <a:r>
            <a:rPr lang="en-US" sz="600" baseline="0">
              <a:solidFill>
                <a:sysClr val="windowText" lastClr="000000"/>
              </a:solidFill>
            </a:rPr>
            <a:t> </a:t>
          </a:r>
          <a:r>
            <a:rPr lang="el-GR" sz="600" baseline="0">
              <a:solidFill>
                <a:sysClr val="windowText" lastClr="000000"/>
              </a:solidFill>
            </a:rPr>
            <a:t>δισ.</a:t>
          </a:r>
        </a:p>
        <a:p xmlns:a="http://schemas.openxmlformats.org/drawingml/2006/main">
          <a:pPr algn="ctr"/>
          <a:r>
            <a:rPr lang="el-GR" sz="600" baseline="0">
              <a:solidFill>
                <a:sysClr val="windowText" lastClr="000000"/>
              </a:solidFill>
            </a:rPr>
            <a:t>ΣτΕ: €36,7 δισ</a:t>
          </a:r>
          <a:r>
            <a:rPr lang="el-GR" sz="600" baseline="0">
              <a:solidFill>
                <a:srgbClr val="FF0000"/>
              </a:solidFill>
            </a:rPr>
            <a:t>. </a:t>
          </a:r>
          <a:r>
            <a:rPr lang="en-US" sz="600" baseline="0">
              <a:solidFill>
                <a:srgbClr val="FF0000"/>
              </a:solidFill>
            </a:rPr>
            <a:t> </a:t>
          </a:r>
          <a:endParaRPr lang="el-GR" sz="600">
            <a:solidFill>
              <a:srgbClr val="FF0000"/>
            </a:solidFill>
          </a:endParaRPr>
        </a:p>
      </cdr:txBody>
    </cdr:sp>
  </cdr:relSizeAnchor>
  <cdr:relSizeAnchor xmlns:cdr="http://schemas.openxmlformats.org/drawingml/2006/chartDrawing">
    <cdr:from>
      <cdr:x>0.7143</cdr:x>
      <cdr:y>0.1766</cdr:y>
    </cdr:from>
    <cdr:to>
      <cdr:x>0.85851</cdr:x>
      <cdr:y>0.33177</cdr:y>
    </cdr:to>
    <cdr:sp macro="" textlink="">
      <cdr:nvSpPr>
        <cdr:cNvPr id="7" name="Rectangular Callout 18"/>
        <cdr:cNvSpPr>
          <a:spLocks xmlns:a="http://schemas.openxmlformats.org/drawingml/2006/main"/>
        </cdr:cNvSpPr>
      </cdr:nvSpPr>
      <cdr:spPr>
        <a:xfrm xmlns:a="http://schemas.openxmlformats.org/drawingml/2006/main">
          <a:off x="4618790" y="477953"/>
          <a:ext cx="932492" cy="419947"/>
        </a:xfrm>
        <a:prstGeom xmlns:a="http://schemas.openxmlformats.org/drawingml/2006/main" prst="wedgeRectCallout">
          <a:avLst>
            <a:gd name="adj1" fmla="val -64251"/>
            <a:gd name="adj2" fmla="val -34890"/>
          </a:avLst>
        </a:prstGeom>
        <a:solidFill xmlns:a="http://schemas.openxmlformats.org/drawingml/2006/main">
          <a:sysClr val="window" lastClr="FFFFFF"/>
        </a:solidFill>
        <a:ln xmlns:a="http://schemas.openxmlformats.org/drawingml/2006/main" w="9525" cap="flat" cmpd="sng" algn="ctr">
          <a:solidFill>
            <a:schemeClr val="bg1">
              <a:lumMod val="50000"/>
            </a:schemeClr>
          </a:solidFill>
          <a:prstDash val="solid"/>
        </a:ln>
        <a:effectLst xmlns:a="http://schemas.openxmlformats.org/drawingml/2006/main"/>
      </cdr:spPr>
      <cdr:txBody>
        <a:bodyPr xmlns:a="http://schemas.openxmlformats.org/drawingml/2006/main" wrap="square" anchor="ctr">
          <a:noAutofit/>
        </a:bodyPr>
        <a:lstStyle xmlns:a="http://schemas.openxmlformats.org/drawingml/2006/main"/>
        <a:p xmlns:a="http://schemas.openxmlformats.org/drawingml/2006/main">
          <a:pPr algn="ctr"/>
          <a:r>
            <a:rPr lang="el-GR" sz="500"/>
            <a:t>Ο</a:t>
          </a:r>
          <a:r>
            <a:rPr lang="el-GR" sz="500" baseline="0"/>
            <a:t>λοκλήρωση της τιτλοποίησης </a:t>
          </a:r>
          <a:r>
            <a:rPr lang="en-US" sz="500" baseline="0"/>
            <a:t>Frontier </a:t>
          </a:r>
          <a:r>
            <a:rPr lang="el-GR" sz="500" baseline="0"/>
            <a:t>και της πώλησης της Εθνικής Ασφαλιστικής</a:t>
          </a:r>
          <a:endParaRPr lang="el-GR" sz="500"/>
        </a:p>
      </cdr:txBody>
    </cdr:sp>
  </cdr:relSizeAnchor>
  <cdr:relSizeAnchor xmlns:cdr="http://schemas.openxmlformats.org/drawingml/2006/chartDrawing">
    <cdr:from>
      <cdr:x>0.57468</cdr:x>
      <cdr:y>0.88034</cdr:y>
    </cdr:from>
    <cdr:to>
      <cdr:x>0.73613</cdr:x>
      <cdr:y>1</cdr:y>
    </cdr:to>
    <cdr:sp macro="" textlink="">
      <cdr:nvSpPr>
        <cdr:cNvPr id="9" name="Rectangular Callout 27"/>
        <cdr:cNvSpPr>
          <a:spLocks xmlns:a="http://schemas.openxmlformats.org/drawingml/2006/main"/>
        </cdr:cNvSpPr>
      </cdr:nvSpPr>
      <cdr:spPr>
        <a:xfrm xmlns:a="http://schemas.openxmlformats.org/drawingml/2006/main">
          <a:off x="3716020" y="2382520"/>
          <a:ext cx="1043940" cy="323850"/>
        </a:xfrm>
        <a:prstGeom xmlns:a="http://schemas.openxmlformats.org/drawingml/2006/main" prst="wedgeRectCallout">
          <a:avLst>
            <a:gd name="adj1" fmla="val -47983"/>
            <a:gd name="adj2" fmla="val -13961"/>
          </a:avLst>
        </a:prstGeom>
        <a:noFill xmlns:a="http://schemas.openxmlformats.org/drawingml/2006/main"/>
        <a:ln xmlns:a="http://schemas.openxmlformats.org/drawingml/2006/main" w="12700" cap="flat" cmpd="sng" algn="ctr">
          <a:noFill/>
          <a:prstDash val="solid"/>
          <a:miter lim="800000"/>
        </a:ln>
        <a:effectLst xmlns:a="http://schemas.openxmlformats.org/drawingml/2006/main"/>
      </cdr:spPr>
    </cdr:sp>
  </cdr:relSizeAnchor>
</c:userShapes>
</file>

<file path=word/drawings/drawing3.xml><?xml version="1.0" encoding="utf-8"?>
<c:userShapes xmlns:c="http://schemas.openxmlformats.org/drawingml/2006/chart">
  <cdr:relSizeAnchor xmlns:cdr="http://schemas.openxmlformats.org/drawingml/2006/chartDrawing">
    <cdr:from>
      <cdr:x>0.66593</cdr:x>
      <cdr:y>0.61205</cdr:y>
    </cdr:from>
    <cdr:to>
      <cdr:x>0.73468</cdr:x>
      <cdr:y>0.70914</cdr:y>
    </cdr:to>
    <cdr:sp macro="" textlink="">
      <cdr:nvSpPr>
        <cdr:cNvPr id="2" name="TextBox 1"/>
        <cdr:cNvSpPr txBox="1"/>
      </cdr:nvSpPr>
      <cdr:spPr>
        <a:xfrm xmlns:a="http://schemas.openxmlformats.org/drawingml/2006/main">
          <a:off x="2398712" y="2401887"/>
          <a:ext cx="247650" cy="381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l-G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D01FB-60E7-409E-88FB-A3002597C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5982</Words>
  <Characters>32309</Characters>
  <Application>Microsoft Office Word</Application>
  <DocSecurity>0</DocSecurity>
  <Lines>269</Lines>
  <Paragraphs>76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NBG</Company>
  <LinksUpToDate>false</LinksUpToDate>
  <CharactersWithSpaces>38215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Pantelis Arsenis</cp:lastModifiedBy>
  <cp:revision>2</cp:revision>
  <cp:lastPrinted>2021-08-05T09:38:00Z</cp:lastPrinted>
  <dcterms:created xsi:type="dcterms:W3CDTF">2021-08-05T14:31:00Z</dcterms:created>
  <dcterms:modified xsi:type="dcterms:W3CDTF">2021-08-05T14:31:00Z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BANK\e40915</vt:lpwstr>
  </property>
  <property fmtid="{D5CDD505-2E9C-101B-9397-08002B2CF9AE}" pid="4" name="DLPManualFileClassificationLastModificationDate">
    <vt:lpwstr>1584462117</vt:lpwstr>
  </property>
  <property fmtid="{D5CDD505-2E9C-101B-9397-08002B2CF9AE}" pid="5" name="DLPManualFileClassificationVersion">
    <vt:lpwstr>10.0.300.68</vt:lpwstr>
  </property>
</Properties>
</file>