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59E0F" w14:textId="77777777" w:rsidR="00AD0DAA" w:rsidRPr="0032033F" w:rsidRDefault="00EC6836" w:rsidP="00406ED9">
      <w:pPr>
        <w:pStyle w:val="NormalWeb"/>
        <w:shd w:val="clear" w:color="auto" w:fill="FFFFFF"/>
        <w:spacing w:before="0" w:beforeAutospacing="0" w:after="0" w:afterAutospacing="0" w:line="360" w:lineRule="auto"/>
        <w:jc w:val="both"/>
        <w:rPr>
          <w:rFonts w:ascii="Arial" w:hAnsi="Arial" w:cs="Arial"/>
          <w:bCs/>
          <w:sz w:val="20"/>
          <w:szCs w:val="20"/>
          <w:lang w:val="el-GR"/>
        </w:rPr>
      </w:pPr>
      <w:r w:rsidRPr="0032033F">
        <w:rPr>
          <w:rFonts w:ascii="Arial" w:hAnsi="Arial" w:cs="Arial"/>
          <w:noProof/>
          <w:sz w:val="20"/>
          <w:szCs w:val="20"/>
          <w:lang w:val="el-GR" w:eastAsia="el-GR"/>
        </w:rPr>
        <w:drawing>
          <wp:inline distT="0" distB="0" distL="0" distR="0" wp14:anchorId="46CFFD07" wp14:editId="342AC7E4">
            <wp:extent cx="1952625" cy="419100"/>
            <wp:effectExtent l="0" t="0" r="9525" b="0"/>
            <wp:docPr id="1" name="Picture 1" descr="\\atticaserver\triantpo\Attica B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icaserver\triantpo\Attica Ban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19100"/>
                    </a:xfrm>
                    <a:prstGeom prst="rect">
                      <a:avLst/>
                    </a:prstGeom>
                    <a:noFill/>
                    <a:ln>
                      <a:noFill/>
                    </a:ln>
                  </pic:spPr>
                </pic:pic>
              </a:graphicData>
            </a:graphic>
          </wp:inline>
        </w:drawing>
      </w:r>
    </w:p>
    <w:p w14:paraId="7FAD6DAD" w14:textId="1E6A97A2" w:rsidR="004561E2" w:rsidRPr="00B36FCA" w:rsidRDefault="00075628" w:rsidP="0052304C">
      <w:pPr>
        <w:jc w:val="right"/>
        <w:rPr>
          <w:rFonts w:ascii="Arial" w:hAnsi="Arial" w:cs="Arial"/>
          <w:b/>
          <w:sz w:val="20"/>
          <w:szCs w:val="20"/>
          <w:lang w:val="el-GR"/>
        </w:rPr>
      </w:pPr>
      <w:bookmarkStart w:id="0" w:name="_Hlk178689441"/>
      <w:r w:rsidRPr="00B36FCA">
        <w:rPr>
          <w:rFonts w:ascii="Arial" w:hAnsi="Arial" w:cs="Arial"/>
          <w:b/>
          <w:sz w:val="20"/>
          <w:szCs w:val="20"/>
          <w:lang w:val="el-GR"/>
        </w:rPr>
        <w:t xml:space="preserve">Αθήνα, </w:t>
      </w:r>
      <w:r w:rsidR="00EF6B6C" w:rsidRPr="005E06EB">
        <w:rPr>
          <w:rFonts w:ascii="Arial" w:hAnsi="Arial" w:cs="Arial"/>
          <w:b/>
          <w:sz w:val="20"/>
          <w:szCs w:val="20"/>
          <w:lang w:val="el-GR"/>
        </w:rPr>
        <w:t>14</w:t>
      </w:r>
      <w:r w:rsidR="00952A35" w:rsidRPr="00B36FCA">
        <w:rPr>
          <w:rFonts w:ascii="Arial" w:hAnsi="Arial" w:cs="Arial"/>
          <w:b/>
          <w:sz w:val="20"/>
          <w:szCs w:val="20"/>
          <w:lang w:val="el-GR"/>
        </w:rPr>
        <w:t>.10.</w:t>
      </w:r>
      <w:r w:rsidRPr="00B36FCA">
        <w:rPr>
          <w:rFonts w:ascii="Arial" w:hAnsi="Arial" w:cs="Arial"/>
          <w:b/>
          <w:sz w:val="20"/>
          <w:szCs w:val="20"/>
          <w:lang w:val="el-GR"/>
        </w:rPr>
        <w:t>2024</w:t>
      </w:r>
    </w:p>
    <w:p w14:paraId="3B5589F2" w14:textId="77777777" w:rsidR="00075628" w:rsidRPr="0032033F" w:rsidRDefault="00075628" w:rsidP="0052304C">
      <w:pPr>
        <w:jc w:val="right"/>
        <w:rPr>
          <w:rFonts w:ascii="Arial" w:hAnsi="Arial" w:cs="Arial"/>
          <w:bCs/>
          <w:sz w:val="20"/>
          <w:szCs w:val="20"/>
          <w:lang w:val="el-GR"/>
        </w:rPr>
      </w:pPr>
    </w:p>
    <w:bookmarkEnd w:id="0"/>
    <w:p w14:paraId="5B99EBBE" w14:textId="77777777" w:rsidR="00A41A85" w:rsidRPr="0032033F" w:rsidRDefault="00A41A85" w:rsidP="002C690A">
      <w:pPr>
        <w:jc w:val="both"/>
        <w:rPr>
          <w:rFonts w:ascii="Arial" w:hAnsi="Arial" w:cs="Arial"/>
          <w:b/>
          <w:bCs/>
          <w:sz w:val="20"/>
          <w:szCs w:val="20"/>
          <w:lang w:val="el-GR"/>
        </w:rPr>
      </w:pPr>
      <w:r w:rsidRPr="0032033F">
        <w:rPr>
          <w:rFonts w:ascii="Arial" w:hAnsi="Arial" w:cs="Arial"/>
          <w:b/>
          <w:bCs/>
          <w:sz w:val="20"/>
          <w:szCs w:val="20"/>
          <w:lang w:val="el-GR"/>
        </w:rPr>
        <w:t xml:space="preserve">ΑΝΑΚΟΙΝΩΣΗ </w:t>
      </w:r>
      <w:r w:rsidR="00763C6E" w:rsidRPr="0032033F">
        <w:rPr>
          <w:rFonts w:ascii="Arial" w:hAnsi="Arial" w:cs="Arial"/>
          <w:b/>
          <w:bCs/>
          <w:sz w:val="20"/>
          <w:szCs w:val="20"/>
          <w:lang w:val="el-GR"/>
        </w:rPr>
        <w:t xml:space="preserve">(Α) </w:t>
      </w:r>
      <w:r w:rsidRPr="0032033F">
        <w:rPr>
          <w:rFonts w:ascii="Arial" w:hAnsi="Arial" w:cs="Arial"/>
          <w:b/>
          <w:bCs/>
          <w:sz w:val="20"/>
          <w:szCs w:val="20"/>
          <w:lang w:val="el-GR"/>
        </w:rPr>
        <w:t>ΓΙΑ ΤΗΝ ΑΥΞΗΣΗ ΜΕΤΟΧΙΚΟΥ ΚΕΦΑΛΑΙΟΥ ΜΕ ΚΑΤΑΒΟΛΗ ΜΕΤΡΗΤΩΝ ΚΑΙ ΔΙΚΑΙΩΜΑ ΠΡΟΤΙΜΗΣΗΣ ΥΠΕΡ ΤΩΝ ΠΑΛΑΙΩΝ ΜΕΤΟΧΩΝ: ΗΜΕΡΟΜΗΝΙΑ ΑΠΟΚΟΠΗΣ &amp; ΠΕΡΙΟΔΟΣ ΑΣΚΗΣΗΣ ΚΑΙ ΔΙΑΠΡΑΓΜΑΤΕΥΣΗΣ ΔΙΚΑΙΩΜΑΤΩΝ ΠΡΟΤΙΜΗΣΗΣ</w:t>
      </w:r>
      <w:r w:rsidR="00763C6E" w:rsidRPr="0032033F">
        <w:rPr>
          <w:rFonts w:ascii="Arial" w:hAnsi="Arial" w:cs="Arial"/>
          <w:b/>
          <w:bCs/>
          <w:sz w:val="20"/>
          <w:szCs w:val="20"/>
          <w:lang w:val="el-GR"/>
        </w:rPr>
        <w:t xml:space="preserve"> ΚΑΙ (Β) ΓΙΑ ΤΗΝ </w:t>
      </w:r>
      <w:r w:rsidR="008A79FA" w:rsidRPr="0032033F">
        <w:rPr>
          <w:rFonts w:ascii="Arial" w:hAnsi="Arial" w:cs="Arial"/>
          <w:b/>
          <w:bCs/>
          <w:sz w:val="20"/>
          <w:szCs w:val="20"/>
          <w:lang w:val="el-GR"/>
        </w:rPr>
        <w:t>ΠΡΟΣΦΟΡΑ</w:t>
      </w:r>
      <w:r w:rsidR="008D3B82" w:rsidRPr="0032033F">
        <w:rPr>
          <w:rFonts w:ascii="Arial" w:hAnsi="Arial" w:cs="Arial"/>
          <w:b/>
          <w:bCs/>
          <w:sz w:val="20"/>
          <w:szCs w:val="20"/>
          <w:lang w:val="el-GR"/>
        </w:rPr>
        <w:t xml:space="preserve"> </w:t>
      </w:r>
      <w:r w:rsidR="00763C6E" w:rsidRPr="0032033F">
        <w:rPr>
          <w:rFonts w:ascii="Arial" w:hAnsi="Arial" w:cs="Arial"/>
          <w:b/>
          <w:bCs/>
          <w:sz w:val="20"/>
          <w:szCs w:val="20"/>
          <w:lang w:val="el-GR"/>
        </w:rPr>
        <w:t>ΤΙΤΛΩΝ ΚΤΗΣΗΣ ΜΕΤΟΧΩΝ</w:t>
      </w:r>
    </w:p>
    <w:p w14:paraId="3AF5C844" w14:textId="33DD8260" w:rsidR="00A41A85" w:rsidRPr="0032033F" w:rsidRDefault="00A41A85" w:rsidP="00A41A85">
      <w:pPr>
        <w:jc w:val="both"/>
        <w:rPr>
          <w:rFonts w:ascii="Arial" w:hAnsi="Arial" w:cs="Arial"/>
          <w:b/>
          <w:bCs/>
          <w:sz w:val="20"/>
          <w:szCs w:val="20"/>
          <w:lang w:val="el-GR"/>
        </w:rPr>
      </w:pPr>
      <w:r w:rsidRPr="0032033F">
        <w:rPr>
          <w:rFonts w:ascii="Arial" w:hAnsi="Arial" w:cs="Arial"/>
          <w:b/>
          <w:bCs/>
          <w:sz w:val="20"/>
          <w:szCs w:val="20"/>
          <w:lang w:val="el-GR"/>
        </w:rPr>
        <w:t xml:space="preserve">ΑΠΟΚΟΠΗ ΔΙΚΑΙΩΜΑΤΟΣ ΠΡΟΤΙΜΗΣΗΣ: </w:t>
      </w:r>
      <w:r w:rsidR="00075628" w:rsidRPr="0032033F">
        <w:rPr>
          <w:rFonts w:ascii="Arial" w:hAnsi="Arial" w:cs="Arial"/>
          <w:b/>
          <w:bCs/>
          <w:sz w:val="20"/>
          <w:szCs w:val="20"/>
          <w:lang w:val="el-GR"/>
        </w:rPr>
        <w:t>1</w:t>
      </w:r>
      <w:r w:rsidR="00EF6B6C" w:rsidRPr="00EF6B6C">
        <w:rPr>
          <w:rFonts w:ascii="Arial" w:hAnsi="Arial" w:cs="Arial"/>
          <w:b/>
          <w:bCs/>
          <w:sz w:val="20"/>
          <w:szCs w:val="20"/>
          <w:lang w:val="el-GR"/>
        </w:rPr>
        <w:t>6</w:t>
      </w:r>
      <w:r w:rsidRPr="0032033F">
        <w:rPr>
          <w:rFonts w:ascii="Arial" w:hAnsi="Arial" w:cs="Arial"/>
          <w:b/>
          <w:bCs/>
          <w:sz w:val="20"/>
          <w:szCs w:val="20"/>
          <w:lang w:val="el-GR"/>
        </w:rPr>
        <w:t>.</w:t>
      </w:r>
      <w:r w:rsidR="00002065" w:rsidRPr="0032033F">
        <w:rPr>
          <w:rFonts w:ascii="Arial" w:hAnsi="Arial" w:cs="Arial"/>
          <w:b/>
          <w:bCs/>
          <w:sz w:val="20"/>
          <w:szCs w:val="20"/>
          <w:lang w:val="el-GR"/>
        </w:rPr>
        <w:t>1</w:t>
      </w:r>
      <w:r w:rsidR="00084BD5" w:rsidRPr="0032033F">
        <w:rPr>
          <w:rFonts w:ascii="Arial" w:hAnsi="Arial" w:cs="Arial"/>
          <w:b/>
          <w:bCs/>
          <w:sz w:val="20"/>
          <w:szCs w:val="20"/>
          <w:lang w:val="el-GR"/>
        </w:rPr>
        <w:t>0</w:t>
      </w:r>
      <w:r w:rsidRPr="0032033F">
        <w:rPr>
          <w:rFonts w:ascii="Arial" w:hAnsi="Arial" w:cs="Arial"/>
          <w:b/>
          <w:bCs/>
          <w:sz w:val="20"/>
          <w:szCs w:val="20"/>
          <w:lang w:val="el-GR"/>
        </w:rPr>
        <w:t>.202</w:t>
      </w:r>
      <w:r w:rsidR="00084BD5" w:rsidRPr="0032033F">
        <w:rPr>
          <w:rFonts w:ascii="Arial" w:hAnsi="Arial" w:cs="Arial"/>
          <w:b/>
          <w:bCs/>
          <w:sz w:val="20"/>
          <w:szCs w:val="20"/>
          <w:lang w:val="el-GR"/>
        </w:rPr>
        <w:t>4</w:t>
      </w:r>
    </w:p>
    <w:p w14:paraId="0210B64B" w14:textId="5B0B173A" w:rsidR="00A41A85" w:rsidRPr="0032033F" w:rsidRDefault="00A41A85" w:rsidP="00A41A85">
      <w:pPr>
        <w:jc w:val="both"/>
        <w:rPr>
          <w:rFonts w:ascii="Arial" w:hAnsi="Arial" w:cs="Arial"/>
          <w:b/>
          <w:bCs/>
          <w:sz w:val="20"/>
          <w:szCs w:val="20"/>
          <w:lang w:val="el-GR"/>
        </w:rPr>
      </w:pPr>
      <w:r w:rsidRPr="0032033F">
        <w:rPr>
          <w:rFonts w:ascii="Arial" w:hAnsi="Arial" w:cs="Arial"/>
          <w:b/>
          <w:bCs/>
          <w:sz w:val="20"/>
          <w:szCs w:val="20"/>
          <w:lang w:val="el-GR"/>
        </w:rPr>
        <w:t xml:space="preserve">ΠΕΡΙΟΔΟΣ ΑΣΚΗΣΗΣ ΔΙΚΑΙΩΜΑΤΟΣ ΠΡΟΤΙΜΗΣΗΣ: </w:t>
      </w:r>
      <w:r w:rsidR="00EF6B6C" w:rsidRPr="00EF6B6C">
        <w:rPr>
          <w:rFonts w:ascii="Arial" w:hAnsi="Arial" w:cs="Arial"/>
          <w:b/>
          <w:bCs/>
          <w:sz w:val="20"/>
          <w:szCs w:val="20"/>
          <w:lang w:val="el-GR"/>
        </w:rPr>
        <w:t>21</w:t>
      </w:r>
      <w:r w:rsidRPr="0032033F">
        <w:rPr>
          <w:rFonts w:ascii="Arial" w:hAnsi="Arial" w:cs="Arial"/>
          <w:b/>
          <w:bCs/>
          <w:sz w:val="20"/>
          <w:szCs w:val="20"/>
          <w:lang w:val="el-GR"/>
        </w:rPr>
        <w:t>.</w:t>
      </w:r>
      <w:r w:rsidR="00763C6E" w:rsidRPr="0032033F">
        <w:rPr>
          <w:rFonts w:ascii="Arial" w:hAnsi="Arial" w:cs="Arial"/>
          <w:b/>
          <w:bCs/>
          <w:sz w:val="20"/>
          <w:szCs w:val="20"/>
          <w:lang w:val="el-GR"/>
        </w:rPr>
        <w:t>10</w:t>
      </w:r>
      <w:r w:rsidR="00BB259C" w:rsidRPr="0032033F">
        <w:rPr>
          <w:rFonts w:ascii="Arial" w:hAnsi="Arial" w:cs="Arial"/>
          <w:b/>
          <w:bCs/>
          <w:sz w:val="20"/>
          <w:szCs w:val="20"/>
          <w:lang w:val="el-GR"/>
        </w:rPr>
        <w:t>.</w:t>
      </w:r>
      <w:r w:rsidRPr="0032033F">
        <w:rPr>
          <w:rFonts w:ascii="Arial" w:hAnsi="Arial" w:cs="Arial"/>
          <w:b/>
          <w:bCs/>
          <w:sz w:val="20"/>
          <w:szCs w:val="20"/>
          <w:lang w:val="el-GR"/>
        </w:rPr>
        <w:t>202</w:t>
      </w:r>
      <w:r w:rsidR="00763C6E" w:rsidRPr="0032033F">
        <w:rPr>
          <w:rFonts w:ascii="Arial" w:hAnsi="Arial" w:cs="Arial"/>
          <w:b/>
          <w:bCs/>
          <w:sz w:val="20"/>
          <w:szCs w:val="20"/>
          <w:lang w:val="el-GR"/>
        </w:rPr>
        <w:t>4</w:t>
      </w:r>
      <w:r w:rsidR="00BB259C" w:rsidRPr="0032033F">
        <w:rPr>
          <w:rFonts w:ascii="Arial" w:hAnsi="Arial" w:cs="Arial"/>
          <w:b/>
          <w:bCs/>
          <w:sz w:val="20"/>
          <w:szCs w:val="20"/>
          <w:lang w:val="el-GR"/>
        </w:rPr>
        <w:t xml:space="preserve"> </w:t>
      </w:r>
      <w:r w:rsidRPr="0032033F">
        <w:rPr>
          <w:rFonts w:ascii="Arial" w:hAnsi="Arial" w:cs="Arial"/>
          <w:b/>
          <w:bCs/>
          <w:sz w:val="20"/>
          <w:szCs w:val="20"/>
          <w:lang w:val="el-GR"/>
        </w:rPr>
        <w:t xml:space="preserve">– </w:t>
      </w:r>
      <w:r w:rsidR="00EF6B6C" w:rsidRPr="00EF6B6C">
        <w:rPr>
          <w:rFonts w:ascii="Arial" w:hAnsi="Arial" w:cs="Arial"/>
          <w:b/>
          <w:bCs/>
          <w:sz w:val="20"/>
          <w:szCs w:val="20"/>
          <w:lang w:val="el-GR"/>
        </w:rPr>
        <w:t>04</w:t>
      </w:r>
      <w:r w:rsidRPr="0032033F">
        <w:rPr>
          <w:rFonts w:ascii="Arial" w:hAnsi="Arial" w:cs="Arial"/>
          <w:b/>
          <w:bCs/>
          <w:sz w:val="20"/>
          <w:szCs w:val="20"/>
          <w:lang w:val="el-GR"/>
        </w:rPr>
        <w:t>.</w:t>
      </w:r>
      <w:r w:rsidR="00EF6B6C" w:rsidRPr="00EF6B6C">
        <w:rPr>
          <w:rFonts w:ascii="Arial" w:hAnsi="Arial" w:cs="Arial"/>
          <w:b/>
          <w:bCs/>
          <w:sz w:val="20"/>
          <w:szCs w:val="20"/>
          <w:lang w:val="el-GR"/>
        </w:rPr>
        <w:t>11</w:t>
      </w:r>
      <w:r w:rsidRPr="0032033F">
        <w:rPr>
          <w:rFonts w:ascii="Arial" w:hAnsi="Arial" w:cs="Arial"/>
          <w:b/>
          <w:bCs/>
          <w:sz w:val="20"/>
          <w:szCs w:val="20"/>
          <w:lang w:val="el-GR"/>
        </w:rPr>
        <w:t>.202</w:t>
      </w:r>
      <w:r w:rsidR="00763C6E" w:rsidRPr="0032033F">
        <w:rPr>
          <w:rFonts w:ascii="Arial" w:hAnsi="Arial" w:cs="Arial"/>
          <w:b/>
          <w:bCs/>
          <w:sz w:val="20"/>
          <w:szCs w:val="20"/>
          <w:lang w:val="el-GR"/>
        </w:rPr>
        <w:t>4</w:t>
      </w:r>
    </w:p>
    <w:p w14:paraId="562E09B3" w14:textId="23364195" w:rsidR="00A41A85" w:rsidRPr="0032033F" w:rsidRDefault="00A41A85" w:rsidP="00A41A85">
      <w:pPr>
        <w:jc w:val="both"/>
        <w:rPr>
          <w:rFonts w:ascii="Arial" w:hAnsi="Arial" w:cs="Arial"/>
          <w:b/>
          <w:bCs/>
          <w:sz w:val="20"/>
          <w:szCs w:val="20"/>
          <w:lang w:val="el-GR"/>
        </w:rPr>
      </w:pPr>
      <w:r w:rsidRPr="0032033F">
        <w:rPr>
          <w:rFonts w:ascii="Arial" w:hAnsi="Arial" w:cs="Arial"/>
          <w:b/>
          <w:bCs/>
          <w:sz w:val="20"/>
          <w:szCs w:val="20"/>
          <w:lang w:val="el-GR"/>
        </w:rPr>
        <w:t xml:space="preserve">ΠΕΡΙΟΔΟΣ ΔΙΑΠΡΑΓΜΑΤΕΥΣΗΣ ΔΙΚΑΙΩΜΑΤΟΣ ΠΡΟΤΙΜΗΣΗΣ: </w:t>
      </w:r>
      <w:r w:rsidR="00EF6B6C" w:rsidRPr="00EF6B6C">
        <w:rPr>
          <w:rFonts w:ascii="Arial" w:hAnsi="Arial" w:cs="Arial"/>
          <w:b/>
          <w:bCs/>
          <w:sz w:val="20"/>
          <w:szCs w:val="20"/>
          <w:lang w:val="el-GR"/>
        </w:rPr>
        <w:t>21</w:t>
      </w:r>
      <w:r w:rsidR="00763C6E" w:rsidRPr="0032033F">
        <w:rPr>
          <w:rFonts w:ascii="Arial" w:hAnsi="Arial" w:cs="Arial"/>
          <w:b/>
          <w:bCs/>
          <w:sz w:val="20"/>
          <w:szCs w:val="20"/>
          <w:lang w:val="el-GR"/>
        </w:rPr>
        <w:t xml:space="preserve">.10.2024 </w:t>
      </w:r>
      <w:r w:rsidR="0052304C" w:rsidRPr="0032033F">
        <w:rPr>
          <w:rFonts w:ascii="Arial" w:hAnsi="Arial" w:cs="Arial"/>
          <w:b/>
          <w:bCs/>
          <w:sz w:val="20"/>
          <w:szCs w:val="20"/>
          <w:lang w:val="el-GR"/>
        </w:rPr>
        <w:t>–</w:t>
      </w:r>
      <w:r w:rsidRPr="0032033F">
        <w:rPr>
          <w:rFonts w:ascii="Arial" w:hAnsi="Arial" w:cs="Arial"/>
          <w:b/>
          <w:bCs/>
          <w:sz w:val="20"/>
          <w:szCs w:val="20"/>
          <w:lang w:val="el-GR"/>
        </w:rPr>
        <w:t xml:space="preserve"> </w:t>
      </w:r>
      <w:r w:rsidR="00EF6B6C" w:rsidRPr="00EF6B6C">
        <w:rPr>
          <w:rFonts w:ascii="Arial" w:hAnsi="Arial" w:cs="Arial"/>
          <w:b/>
          <w:bCs/>
          <w:sz w:val="20"/>
          <w:szCs w:val="20"/>
          <w:lang w:val="el-GR"/>
        </w:rPr>
        <w:t>30</w:t>
      </w:r>
      <w:r w:rsidRPr="0032033F">
        <w:rPr>
          <w:rFonts w:ascii="Arial" w:hAnsi="Arial" w:cs="Arial"/>
          <w:b/>
          <w:bCs/>
          <w:sz w:val="20"/>
          <w:szCs w:val="20"/>
          <w:lang w:val="el-GR"/>
        </w:rPr>
        <w:t>.</w:t>
      </w:r>
      <w:r w:rsidR="00002065" w:rsidRPr="0032033F">
        <w:rPr>
          <w:rFonts w:ascii="Arial" w:hAnsi="Arial" w:cs="Arial"/>
          <w:b/>
          <w:bCs/>
          <w:sz w:val="20"/>
          <w:szCs w:val="20"/>
          <w:lang w:val="el-GR"/>
        </w:rPr>
        <w:t>1</w:t>
      </w:r>
      <w:r w:rsidR="00763C6E" w:rsidRPr="0032033F">
        <w:rPr>
          <w:rFonts w:ascii="Arial" w:hAnsi="Arial" w:cs="Arial"/>
          <w:b/>
          <w:bCs/>
          <w:sz w:val="20"/>
          <w:szCs w:val="20"/>
          <w:lang w:val="el-GR"/>
        </w:rPr>
        <w:t>0</w:t>
      </w:r>
      <w:r w:rsidRPr="0032033F">
        <w:rPr>
          <w:rFonts w:ascii="Arial" w:hAnsi="Arial" w:cs="Arial"/>
          <w:b/>
          <w:bCs/>
          <w:sz w:val="20"/>
          <w:szCs w:val="20"/>
          <w:lang w:val="el-GR"/>
        </w:rPr>
        <w:t>.202</w:t>
      </w:r>
      <w:r w:rsidR="00763C6E" w:rsidRPr="0032033F">
        <w:rPr>
          <w:rFonts w:ascii="Arial" w:hAnsi="Arial" w:cs="Arial"/>
          <w:b/>
          <w:bCs/>
          <w:sz w:val="20"/>
          <w:szCs w:val="20"/>
          <w:lang w:val="el-GR"/>
        </w:rPr>
        <w:t>4</w:t>
      </w:r>
    </w:p>
    <w:p w14:paraId="3F37098C" w14:textId="34EE258C" w:rsidR="00763C6E" w:rsidRPr="0032033F" w:rsidRDefault="00763C6E" w:rsidP="00A41A85">
      <w:pPr>
        <w:jc w:val="both"/>
        <w:rPr>
          <w:rFonts w:ascii="Arial" w:hAnsi="Arial" w:cs="Arial"/>
          <w:b/>
          <w:bCs/>
          <w:sz w:val="20"/>
          <w:szCs w:val="20"/>
          <w:lang w:val="el-GR"/>
        </w:rPr>
      </w:pPr>
      <w:r w:rsidRPr="0032033F">
        <w:rPr>
          <w:rFonts w:ascii="Arial" w:hAnsi="Arial" w:cs="Arial"/>
          <w:b/>
          <w:bCs/>
          <w:sz w:val="20"/>
          <w:szCs w:val="20"/>
          <w:lang w:val="el-GR"/>
        </w:rPr>
        <w:t xml:space="preserve">ΠΕΡΙΟΔΟΣ ΠΡΟΣΦΟΡΑΣ ΤΙΤΛΩΝ ΚΤΗΣΗΣ ΜΕΤΟΧΩΝ: </w:t>
      </w:r>
      <w:r w:rsidR="00EF6B6C" w:rsidRPr="00EF6B6C">
        <w:rPr>
          <w:rFonts w:ascii="Arial" w:hAnsi="Arial" w:cs="Arial"/>
          <w:b/>
          <w:bCs/>
          <w:sz w:val="20"/>
          <w:szCs w:val="20"/>
          <w:lang w:val="el-GR"/>
        </w:rPr>
        <w:t>21</w:t>
      </w:r>
      <w:r w:rsidRPr="0032033F">
        <w:rPr>
          <w:rFonts w:ascii="Arial" w:hAnsi="Arial" w:cs="Arial"/>
          <w:b/>
          <w:bCs/>
          <w:sz w:val="20"/>
          <w:szCs w:val="20"/>
          <w:lang w:val="el-GR"/>
        </w:rPr>
        <w:t xml:space="preserve">.10.2024 – </w:t>
      </w:r>
      <w:r w:rsidR="00EF6B6C" w:rsidRPr="00EF6B6C">
        <w:rPr>
          <w:rFonts w:ascii="Arial" w:hAnsi="Arial" w:cs="Arial"/>
          <w:b/>
          <w:bCs/>
          <w:sz w:val="20"/>
          <w:szCs w:val="20"/>
          <w:lang w:val="el-GR"/>
        </w:rPr>
        <w:t>04</w:t>
      </w:r>
      <w:r w:rsidRPr="0032033F">
        <w:rPr>
          <w:rFonts w:ascii="Arial" w:hAnsi="Arial" w:cs="Arial"/>
          <w:b/>
          <w:bCs/>
          <w:sz w:val="20"/>
          <w:szCs w:val="20"/>
          <w:lang w:val="el-GR"/>
        </w:rPr>
        <w:t>.</w:t>
      </w:r>
      <w:r w:rsidR="00EF6B6C" w:rsidRPr="00EF6B6C">
        <w:rPr>
          <w:rFonts w:ascii="Arial" w:hAnsi="Arial" w:cs="Arial"/>
          <w:b/>
          <w:bCs/>
          <w:sz w:val="20"/>
          <w:szCs w:val="20"/>
          <w:lang w:val="el-GR"/>
        </w:rPr>
        <w:t>11</w:t>
      </w:r>
      <w:r w:rsidRPr="0032033F">
        <w:rPr>
          <w:rFonts w:ascii="Arial" w:hAnsi="Arial" w:cs="Arial"/>
          <w:b/>
          <w:bCs/>
          <w:sz w:val="20"/>
          <w:szCs w:val="20"/>
          <w:lang w:val="el-GR"/>
        </w:rPr>
        <w:t>.2024</w:t>
      </w:r>
    </w:p>
    <w:p w14:paraId="3D761175" w14:textId="77777777" w:rsidR="00A41A85" w:rsidRPr="0032033F" w:rsidDel="00805C95" w:rsidRDefault="00A41A85" w:rsidP="00075628">
      <w:pPr>
        <w:spacing w:line="360" w:lineRule="auto"/>
        <w:jc w:val="both"/>
        <w:rPr>
          <w:rFonts w:ascii="Arial" w:hAnsi="Arial" w:cs="Arial"/>
          <w:sz w:val="20"/>
          <w:szCs w:val="20"/>
          <w:lang w:val="el-GR"/>
        </w:rPr>
      </w:pPr>
      <w:r w:rsidRPr="0032033F" w:rsidDel="00805C95">
        <w:rPr>
          <w:rFonts w:ascii="Arial" w:hAnsi="Arial" w:cs="Arial"/>
          <w:sz w:val="20"/>
          <w:szCs w:val="20"/>
          <w:lang w:val="el-GR"/>
        </w:rPr>
        <w:t xml:space="preserve">Η </w:t>
      </w:r>
      <w:r w:rsidRPr="0032033F" w:rsidDel="00805C95">
        <w:rPr>
          <w:rFonts w:ascii="Arial" w:hAnsi="Arial" w:cs="Arial"/>
          <w:sz w:val="20"/>
          <w:szCs w:val="20"/>
        </w:rPr>
        <w:t>Attica</w:t>
      </w:r>
      <w:r w:rsidRPr="0032033F" w:rsidDel="00805C95">
        <w:rPr>
          <w:rFonts w:ascii="Arial" w:hAnsi="Arial" w:cs="Arial"/>
          <w:sz w:val="20"/>
          <w:szCs w:val="20"/>
          <w:lang w:val="el-GR"/>
        </w:rPr>
        <w:t xml:space="preserve"> </w:t>
      </w:r>
      <w:r w:rsidRPr="0032033F" w:rsidDel="00805C95">
        <w:rPr>
          <w:rFonts w:ascii="Arial" w:hAnsi="Arial" w:cs="Arial"/>
          <w:sz w:val="20"/>
          <w:szCs w:val="20"/>
        </w:rPr>
        <w:t>Bank</w:t>
      </w:r>
      <w:r w:rsidRPr="0032033F" w:rsidDel="00805C95">
        <w:rPr>
          <w:rFonts w:ascii="Arial" w:hAnsi="Arial" w:cs="Arial"/>
          <w:sz w:val="20"/>
          <w:szCs w:val="20"/>
          <w:lang w:val="el-GR"/>
        </w:rPr>
        <w:t xml:space="preserve"> Ανώνυμη Τραπεζική Εταιρεία (εφεξής η «</w:t>
      </w:r>
      <w:r w:rsidRPr="0032033F" w:rsidDel="00805C95">
        <w:rPr>
          <w:rFonts w:ascii="Arial" w:hAnsi="Arial" w:cs="Arial"/>
          <w:b/>
          <w:bCs/>
          <w:sz w:val="20"/>
          <w:szCs w:val="20"/>
          <w:lang w:val="el-GR"/>
        </w:rPr>
        <w:t>Τράπεζα</w:t>
      </w:r>
      <w:r w:rsidRPr="0032033F" w:rsidDel="00805C95">
        <w:rPr>
          <w:rFonts w:ascii="Arial" w:hAnsi="Arial" w:cs="Arial"/>
          <w:sz w:val="20"/>
          <w:szCs w:val="20"/>
          <w:lang w:val="el-GR"/>
        </w:rPr>
        <w:t>»), γνωστοποιεί προς το επενδυτικό κοινό τα ακόλουθα:</w:t>
      </w:r>
    </w:p>
    <w:p w14:paraId="758887EC" w14:textId="77777777" w:rsidR="00A41A85" w:rsidRPr="0032033F" w:rsidRDefault="00763C6E" w:rsidP="00075628">
      <w:pPr>
        <w:spacing w:line="360" w:lineRule="auto"/>
        <w:jc w:val="both"/>
        <w:rPr>
          <w:rFonts w:ascii="Arial" w:hAnsi="Arial" w:cs="Arial"/>
          <w:sz w:val="20"/>
          <w:szCs w:val="20"/>
          <w:lang w:val="el-GR"/>
        </w:rPr>
      </w:pPr>
      <w:r w:rsidRPr="0032033F">
        <w:rPr>
          <w:rFonts w:ascii="Arial" w:hAnsi="Arial" w:cs="Arial"/>
          <w:sz w:val="20"/>
          <w:szCs w:val="20"/>
          <w:lang w:val="el-GR"/>
        </w:rPr>
        <w:t>Κατά την από 25.09.2024 Έκτακτη Γενική Συνέλευση των μετόχων της Τράπεζας, αποφασίστηκε μεταξύ άλλων, (α) η αύξηση του μετοχικού κεφαλαίου της Τράπεζας, κατά ποσό €17.973.468 (η «</w:t>
      </w:r>
      <w:r w:rsidRPr="0032033F">
        <w:rPr>
          <w:rFonts w:ascii="Arial" w:hAnsi="Arial" w:cs="Arial"/>
          <w:b/>
          <w:bCs/>
          <w:sz w:val="20"/>
          <w:szCs w:val="20"/>
          <w:lang w:val="el-GR"/>
        </w:rPr>
        <w:t>Αύξηση</w:t>
      </w:r>
      <w:r w:rsidRPr="0032033F">
        <w:rPr>
          <w:rFonts w:ascii="Arial" w:hAnsi="Arial" w:cs="Arial"/>
          <w:sz w:val="20"/>
          <w:szCs w:val="20"/>
          <w:lang w:val="el-GR"/>
        </w:rPr>
        <w:t xml:space="preserve">»), με δυνατότητα μερικής κάλυψης σύμφωνα με το άρθρο 28 του Ν. 4548/2018, με την έκδοση έως </w:t>
      </w:r>
      <w:r w:rsidRPr="0032033F">
        <w:rPr>
          <w:rFonts w:ascii="Arial" w:eastAsia="Times New Roman" w:hAnsi="Arial" w:cs="Arial"/>
          <w:sz w:val="20"/>
          <w:szCs w:val="20"/>
          <w:lang w:val="el-GR" w:eastAsia="el-GR"/>
        </w:rPr>
        <w:t>359.469.360 νέων κοινών ονομαστικών μετοχών με δικαίωμα ψήφου και ονομαστική αξία €0,05 κάθε μια στο μετοχικό κεφάλαιο της Τράπεζας (οι «</w:t>
      </w:r>
      <w:r w:rsidRPr="0032033F">
        <w:rPr>
          <w:rFonts w:ascii="Arial" w:eastAsia="Times New Roman" w:hAnsi="Arial" w:cs="Arial"/>
          <w:b/>
          <w:bCs/>
          <w:sz w:val="20"/>
          <w:szCs w:val="20"/>
          <w:lang w:val="el-GR" w:eastAsia="el-GR"/>
        </w:rPr>
        <w:t>Νέες Μετοχές ΑΜΚ</w:t>
      </w:r>
      <w:r w:rsidRPr="0032033F">
        <w:rPr>
          <w:rFonts w:ascii="Arial" w:eastAsia="Times New Roman" w:hAnsi="Arial" w:cs="Arial"/>
          <w:sz w:val="20"/>
          <w:szCs w:val="20"/>
          <w:lang w:val="el-GR" w:eastAsia="el-GR"/>
        </w:rPr>
        <w:t>»)</w:t>
      </w:r>
      <w:r w:rsidRPr="0032033F">
        <w:rPr>
          <w:rFonts w:ascii="Arial" w:hAnsi="Arial" w:cs="Arial"/>
          <w:sz w:val="20"/>
          <w:szCs w:val="20"/>
          <w:lang w:val="el-GR"/>
        </w:rPr>
        <w:t>, με καταβολή μετρητών και τη διάθεση αυτών, με τιμή διάθεσης €1,87 ανά Νέα Μετοχή ΑΜΚ, μέσω δημόσιας προσφοράς με δικαίωμα προτίμησης των υφιστάμενων μετόχων της Τράπεζας</w:t>
      </w:r>
      <w:r w:rsidR="00981233" w:rsidRPr="0032033F">
        <w:rPr>
          <w:rFonts w:ascii="Arial" w:hAnsi="Arial" w:cs="Arial"/>
          <w:sz w:val="20"/>
          <w:szCs w:val="20"/>
          <w:lang w:val="el-GR"/>
        </w:rPr>
        <w:t>,</w:t>
      </w:r>
      <w:r w:rsidRPr="0032033F">
        <w:rPr>
          <w:rFonts w:ascii="Arial" w:hAnsi="Arial" w:cs="Arial"/>
          <w:sz w:val="20"/>
          <w:szCs w:val="20"/>
          <w:lang w:val="el-GR"/>
        </w:rPr>
        <w:t xml:space="preserve"> και (β) </w:t>
      </w:r>
      <w:r w:rsidR="00805C95" w:rsidRPr="0032033F">
        <w:rPr>
          <w:rFonts w:ascii="Arial" w:hAnsi="Arial" w:cs="Arial"/>
          <w:sz w:val="20"/>
          <w:szCs w:val="20"/>
          <w:lang w:val="el-GR"/>
        </w:rPr>
        <w:t>η έκδοση έως 359.469.360 τίτλων κτήσης μετοχών της Τράπεζας (οι «</w:t>
      </w:r>
      <w:r w:rsidR="00805C95" w:rsidRPr="0032033F">
        <w:rPr>
          <w:rFonts w:ascii="Arial" w:hAnsi="Arial" w:cs="Arial"/>
          <w:b/>
          <w:bCs/>
          <w:sz w:val="20"/>
          <w:szCs w:val="20"/>
          <w:lang w:val="el-GR"/>
        </w:rPr>
        <w:t>Τίτλοι Κτήσης Μετοχών</w:t>
      </w:r>
      <w:r w:rsidR="00805C95" w:rsidRPr="0032033F">
        <w:rPr>
          <w:rFonts w:ascii="Arial" w:hAnsi="Arial" w:cs="Arial"/>
          <w:sz w:val="20"/>
          <w:szCs w:val="20"/>
          <w:lang w:val="el-GR"/>
        </w:rPr>
        <w:t xml:space="preserve">»), σύμφωνα με τις διατάξεις του άρθρου 56 του Ν. 4548/2018, με δυνατότητα μερικής κάλυψης, καθένας από τους οποίους θα παρέχει στο δικαιούχο του το δικαίωμα απόκτησης τρεισήμισι (3,5) νέων κοινών ονομαστικών μετοχών (ονομαστικής αξίας €0,05 εκάστης) της Τράπεζας, σε τιμή ίση με €0,05 ανά νέα μετοχή, και η διάθεση αυτών, με αποκλεισμό (κατάργηση) του δικαιώματος προτίμησης των υφιστάμενων μετόχων της Τράπεζας, χωρίς αντάλλαγμα, στους επενδυτές που θα αποκτήσουν Νέες Μετοχές ΑΜΚ στο πλαίσιο της Αύξησης, και εφόσον υποβάλλουν αίτηση για την απόκτηση Τίτλων Κτήσης Μετοχών, σε αναλογία ένας 1 Τίτλος Κτήσης Μετοχών προς μία 1 </w:t>
      </w:r>
      <w:proofErr w:type="spellStart"/>
      <w:r w:rsidR="00805C95" w:rsidRPr="0032033F">
        <w:rPr>
          <w:rFonts w:ascii="Arial" w:hAnsi="Arial" w:cs="Arial"/>
          <w:sz w:val="20"/>
          <w:szCs w:val="20"/>
          <w:lang w:val="el-GR"/>
        </w:rPr>
        <w:t>αναληφθείσα</w:t>
      </w:r>
      <w:proofErr w:type="spellEnd"/>
      <w:r w:rsidR="00805C95" w:rsidRPr="0032033F">
        <w:rPr>
          <w:rFonts w:ascii="Arial" w:hAnsi="Arial" w:cs="Arial"/>
          <w:sz w:val="20"/>
          <w:szCs w:val="20"/>
          <w:lang w:val="el-GR"/>
        </w:rPr>
        <w:t xml:space="preserve"> Νέα Μετοχή ΑΜΚ.</w:t>
      </w:r>
      <w:r w:rsidRPr="0032033F">
        <w:rPr>
          <w:rFonts w:ascii="Arial" w:eastAsia="Times New Roman" w:hAnsi="Arial" w:cs="Arial"/>
          <w:sz w:val="20"/>
          <w:szCs w:val="20"/>
          <w:lang w:val="el-GR" w:eastAsia="el-GR"/>
        </w:rPr>
        <w:t xml:space="preserve"> </w:t>
      </w:r>
    </w:p>
    <w:p w14:paraId="11D36172" w14:textId="77777777" w:rsidR="00805C95" w:rsidRPr="0032033F" w:rsidRDefault="00805C95" w:rsidP="00075628">
      <w:pPr>
        <w:spacing w:line="360" w:lineRule="auto"/>
        <w:jc w:val="both"/>
        <w:rPr>
          <w:rFonts w:ascii="Arial" w:hAnsi="Arial" w:cs="Arial"/>
          <w:b/>
          <w:bCs/>
          <w:sz w:val="20"/>
          <w:szCs w:val="20"/>
          <w:lang w:val="el-GR"/>
        </w:rPr>
      </w:pPr>
      <w:r w:rsidRPr="0032033F">
        <w:rPr>
          <w:rFonts w:ascii="Arial" w:hAnsi="Arial" w:cs="Arial"/>
          <w:b/>
          <w:bCs/>
          <w:sz w:val="20"/>
          <w:szCs w:val="20"/>
          <w:lang w:val="el-GR"/>
        </w:rPr>
        <w:t>(Α) ΑΥΞΗΣΗ ΜΕΤΟΧΙΚΟΥ ΚΕΦΑΛΑΙΟΥ</w:t>
      </w:r>
    </w:p>
    <w:p w14:paraId="754E1DDD" w14:textId="77777777" w:rsidR="00981233" w:rsidRPr="0032033F" w:rsidRDefault="00981233" w:rsidP="00075628">
      <w:pPr>
        <w:spacing w:line="360" w:lineRule="auto"/>
        <w:jc w:val="both"/>
        <w:rPr>
          <w:rFonts w:ascii="Arial" w:hAnsi="Arial" w:cs="Arial"/>
          <w:sz w:val="20"/>
          <w:szCs w:val="20"/>
          <w:lang w:val="el-GR"/>
        </w:rPr>
      </w:pPr>
      <w:r w:rsidRPr="0032033F">
        <w:rPr>
          <w:rFonts w:ascii="Arial" w:hAnsi="Arial" w:cs="Arial"/>
          <w:sz w:val="20"/>
          <w:szCs w:val="20"/>
          <w:lang w:val="el-GR"/>
        </w:rPr>
        <w:t xml:space="preserve">Η τιμή διάθεσης των Νέων Μετοχών ΑΜΚ </w:t>
      </w:r>
      <w:r w:rsidR="00F6599B" w:rsidRPr="0032033F">
        <w:rPr>
          <w:rFonts w:ascii="Arial" w:hAnsi="Arial" w:cs="Arial"/>
          <w:sz w:val="20"/>
          <w:szCs w:val="20"/>
          <w:lang w:val="el-GR"/>
        </w:rPr>
        <w:t xml:space="preserve">έχει οριστεί σε €1,87 ανά Νέα Μετοχή ΑΜΚ και </w:t>
      </w:r>
      <w:r w:rsidRPr="0032033F">
        <w:rPr>
          <w:rFonts w:ascii="Arial" w:hAnsi="Arial" w:cs="Arial"/>
          <w:sz w:val="20"/>
          <w:szCs w:val="20"/>
          <w:lang w:val="el-GR"/>
        </w:rPr>
        <w:t xml:space="preserve">δύναται να είναι ανώτερη της χρηματιστηριακής τιμής κατά το χρόνο αποκοπής του δικαιώματος προτίμησης. </w:t>
      </w:r>
    </w:p>
    <w:p w14:paraId="50DCA41D" w14:textId="77777777" w:rsidR="00981233" w:rsidRPr="0032033F" w:rsidRDefault="00981233" w:rsidP="00075628">
      <w:pPr>
        <w:spacing w:line="360" w:lineRule="auto"/>
        <w:jc w:val="both"/>
        <w:rPr>
          <w:rFonts w:ascii="Arial" w:hAnsi="Arial" w:cs="Arial"/>
          <w:sz w:val="20"/>
          <w:szCs w:val="20"/>
          <w:lang w:val="el-GR"/>
        </w:rPr>
      </w:pPr>
      <w:r w:rsidRPr="0032033F">
        <w:rPr>
          <w:rFonts w:ascii="Arial" w:hAnsi="Arial" w:cs="Arial"/>
          <w:sz w:val="20"/>
          <w:szCs w:val="20"/>
          <w:lang w:val="el-GR"/>
        </w:rPr>
        <w:t xml:space="preserve">Οι έχοντες δικαίωμα προτίμησης στην Αύξηση θα δικαιούνται να αποκτήσουν Νέες Μετοχές ΑΜΚ με αναλογία 677,4209451157461 Νέες Μετοχές ΑΜΚ για κάθε μια παλιά μετοχή της Τράπεζας. Η διαφορά μεταξύ της ονομαστικής αξίας των Νέων Μετοχών ΑΜΚ και της τιμής διάθεσης αυτών, ήτοι συνολικά </w:t>
      </w:r>
      <w:r w:rsidRPr="0032033F">
        <w:rPr>
          <w:rFonts w:ascii="Arial" w:hAnsi="Arial" w:cs="Arial"/>
          <w:sz w:val="20"/>
          <w:szCs w:val="20"/>
          <w:lang w:val="el-GR"/>
        </w:rPr>
        <w:lastRenderedPageBreak/>
        <w:t>€654.234.235,20, σε περίπτωση πλήρους κάλυψης της Αύξησης, θα αχθεί σε πίστωση του λογαριασμού των ιδίων κεφαλαίων της Τράπεζας «Διαφορά υπέρ το άρτιο».</w:t>
      </w:r>
    </w:p>
    <w:p w14:paraId="3B90DE0D" w14:textId="14C1FB7C" w:rsidR="00EC00B8" w:rsidRPr="0032033F" w:rsidRDefault="00EC00B8" w:rsidP="00075628">
      <w:pPr>
        <w:spacing w:line="360" w:lineRule="auto"/>
        <w:jc w:val="both"/>
        <w:rPr>
          <w:rFonts w:ascii="Arial" w:hAnsi="Arial" w:cs="Arial"/>
          <w:sz w:val="20"/>
          <w:szCs w:val="20"/>
          <w:lang w:val="el-GR"/>
        </w:rPr>
      </w:pPr>
      <w:r w:rsidRPr="0032033F">
        <w:rPr>
          <w:rFonts w:ascii="Arial" w:hAnsi="Arial" w:cs="Arial"/>
          <w:sz w:val="20"/>
          <w:szCs w:val="20"/>
          <w:lang w:val="el-GR"/>
        </w:rPr>
        <w:t xml:space="preserve">Μετά την ολοκλήρωση της Αύξησης, και σε περίπτωση που αυτή καλυφθεί πλήρως, το μετοχικό κεφάλαιο της Τράπεζας θα ανέρχεται σε ποσό </w:t>
      </w:r>
      <w:r w:rsidR="00981233" w:rsidRPr="0032033F">
        <w:rPr>
          <w:rFonts w:ascii="Arial" w:hAnsi="Arial" w:cs="Arial"/>
          <w:sz w:val="20"/>
          <w:szCs w:val="20"/>
          <w:lang w:val="el-GR"/>
        </w:rPr>
        <w:t xml:space="preserve">€18.000.000,20 </w:t>
      </w:r>
      <w:r w:rsidRPr="0032033F">
        <w:rPr>
          <w:rFonts w:ascii="Arial" w:hAnsi="Arial" w:cs="Arial"/>
          <w:sz w:val="20"/>
          <w:szCs w:val="20"/>
          <w:lang w:val="el-GR"/>
        </w:rPr>
        <w:t xml:space="preserve">και θα διαιρείται σε </w:t>
      </w:r>
      <w:r w:rsidR="00981233" w:rsidRPr="0032033F">
        <w:rPr>
          <w:rFonts w:ascii="Arial" w:hAnsi="Arial" w:cs="Arial"/>
          <w:sz w:val="20"/>
          <w:szCs w:val="20"/>
          <w:lang w:val="el-GR"/>
        </w:rPr>
        <w:t xml:space="preserve">360.000.004 </w:t>
      </w:r>
      <w:r w:rsidRPr="0032033F">
        <w:rPr>
          <w:rFonts w:ascii="Arial" w:hAnsi="Arial" w:cs="Arial"/>
          <w:sz w:val="20"/>
          <w:szCs w:val="20"/>
          <w:lang w:val="el-GR"/>
        </w:rPr>
        <w:t xml:space="preserve">κοινές ονομαστικές, μετά ψήφου, μετοχές ονομαστικής αξίας </w:t>
      </w:r>
      <w:r w:rsidR="00075628" w:rsidRPr="0032033F">
        <w:rPr>
          <w:rFonts w:ascii="Arial" w:hAnsi="Arial" w:cs="Arial"/>
          <w:sz w:val="20"/>
          <w:szCs w:val="20"/>
          <w:lang w:val="el-GR"/>
        </w:rPr>
        <w:t>€</w:t>
      </w:r>
      <w:r w:rsidRPr="0032033F">
        <w:rPr>
          <w:rFonts w:ascii="Arial" w:hAnsi="Arial" w:cs="Arial"/>
          <w:sz w:val="20"/>
          <w:szCs w:val="20"/>
          <w:lang w:val="el-GR"/>
        </w:rPr>
        <w:t>0,</w:t>
      </w:r>
      <w:r w:rsidR="00981233" w:rsidRPr="0032033F">
        <w:rPr>
          <w:rFonts w:ascii="Arial" w:hAnsi="Arial" w:cs="Arial"/>
          <w:sz w:val="20"/>
          <w:szCs w:val="20"/>
          <w:lang w:val="el-GR"/>
        </w:rPr>
        <w:t xml:space="preserve">05 </w:t>
      </w:r>
      <w:r w:rsidRPr="0032033F">
        <w:rPr>
          <w:rFonts w:ascii="Arial" w:hAnsi="Arial" w:cs="Arial"/>
          <w:sz w:val="20"/>
          <w:szCs w:val="20"/>
          <w:lang w:val="el-GR"/>
        </w:rPr>
        <w:t xml:space="preserve">η κάθε μία. Τα συνολικά </w:t>
      </w:r>
      <w:proofErr w:type="spellStart"/>
      <w:r w:rsidRPr="0032033F">
        <w:rPr>
          <w:rFonts w:ascii="Arial" w:hAnsi="Arial" w:cs="Arial"/>
          <w:sz w:val="20"/>
          <w:szCs w:val="20"/>
          <w:lang w:val="el-GR"/>
        </w:rPr>
        <w:t>αντληθέντα</w:t>
      </w:r>
      <w:proofErr w:type="spellEnd"/>
      <w:r w:rsidRPr="0032033F">
        <w:rPr>
          <w:rFonts w:ascii="Arial" w:hAnsi="Arial" w:cs="Arial"/>
          <w:sz w:val="20"/>
          <w:szCs w:val="20"/>
          <w:lang w:val="el-GR"/>
        </w:rPr>
        <w:t xml:space="preserve"> κεφάλαια της Αύξησης, σε περίπτωση πλήρους κάλυψης, θα ανέλθουν σε ποσό</w:t>
      </w:r>
      <w:r w:rsidR="00173642" w:rsidRPr="00173642">
        <w:rPr>
          <w:rFonts w:ascii="Arial" w:hAnsi="Arial" w:cs="Arial"/>
          <w:sz w:val="20"/>
          <w:szCs w:val="20"/>
          <w:lang w:val="el-GR"/>
        </w:rPr>
        <w:t xml:space="preserve"> </w:t>
      </w:r>
      <w:r w:rsidR="00981233" w:rsidRPr="0032033F">
        <w:rPr>
          <w:rFonts w:ascii="Arial" w:hAnsi="Arial" w:cs="Arial"/>
          <w:sz w:val="20"/>
          <w:szCs w:val="20"/>
          <w:lang w:val="el-GR"/>
        </w:rPr>
        <w:t>€672.207.703,20</w:t>
      </w:r>
      <w:r w:rsidRPr="0032033F">
        <w:rPr>
          <w:rFonts w:ascii="Arial" w:hAnsi="Arial" w:cs="Arial"/>
          <w:sz w:val="20"/>
          <w:szCs w:val="20"/>
          <w:lang w:val="el-GR"/>
        </w:rPr>
        <w:t>.</w:t>
      </w:r>
    </w:p>
    <w:p w14:paraId="3FA379AE" w14:textId="77777777" w:rsidR="00B950C2" w:rsidRPr="0032033F" w:rsidRDefault="00EC00B8" w:rsidP="00075628">
      <w:pPr>
        <w:spacing w:line="360" w:lineRule="auto"/>
        <w:jc w:val="both"/>
        <w:rPr>
          <w:rFonts w:ascii="Arial" w:hAnsi="Arial" w:cs="Arial"/>
          <w:sz w:val="20"/>
          <w:szCs w:val="20"/>
          <w:lang w:val="el-GR"/>
        </w:rPr>
      </w:pPr>
      <w:bookmarkStart w:id="1" w:name="_Hlk178691334"/>
      <w:r w:rsidRPr="0032033F">
        <w:rPr>
          <w:rFonts w:ascii="Arial" w:hAnsi="Arial" w:cs="Arial"/>
          <w:sz w:val="20"/>
          <w:szCs w:val="20"/>
          <w:lang w:val="el-GR"/>
        </w:rPr>
        <w:t xml:space="preserve">Την </w:t>
      </w:r>
      <w:r w:rsidR="00B950C2" w:rsidRPr="0032033F">
        <w:rPr>
          <w:rFonts w:ascii="Arial" w:hAnsi="Arial" w:cs="Arial"/>
          <w:sz w:val="20"/>
          <w:szCs w:val="20"/>
          <w:lang w:val="el-GR"/>
        </w:rPr>
        <w:t>27</w:t>
      </w:r>
      <w:r w:rsidR="002805EE" w:rsidRPr="0032033F">
        <w:rPr>
          <w:rFonts w:ascii="Arial" w:hAnsi="Arial" w:cs="Arial"/>
          <w:sz w:val="20"/>
          <w:szCs w:val="20"/>
          <w:lang w:val="el-GR"/>
        </w:rPr>
        <w:t>.</w:t>
      </w:r>
      <w:r w:rsidR="00B950C2" w:rsidRPr="0032033F">
        <w:rPr>
          <w:rFonts w:ascii="Arial" w:hAnsi="Arial" w:cs="Arial"/>
          <w:sz w:val="20"/>
          <w:szCs w:val="20"/>
          <w:lang w:val="el-GR"/>
        </w:rPr>
        <w:t>09</w:t>
      </w:r>
      <w:r w:rsidR="002805EE" w:rsidRPr="0032033F">
        <w:rPr>
          <w:rFonts w:ascii="Arial" w:hAnsi="Arial" w:cs="Arial"/>
          <w:sz w:val="20"/>
          <w:szCs w:val="20"/>
          <w:lang w:val="el-GR"/>
        </w:rPr>
        <w:t>.202</w:t>
      </w:r>
      <w:r w:rsidR="00B950C2" w:rsidRPr="0032033F">
        <w:rPr>
          <w:rFonts w:ascii="Arial" w:hAnsi="Arial" w:cs="Arial"/>
          <w:sz w:val="20"/>
          <w:szCs w:val="20"/>
          <w:lang w:val="el-GR"/>
        </w:rPr>
        <w:t>4</w:t>
      </w:r>
      <w:r w:rsidR="002805EE" w:rsidRPr="0032033F">
        <w:rPr>
          <w:rFonts w:ascii="Arial" w:hAnsi="Arial" w:cs="Arial"/>
          <w:sz w:val="20"/>
          <w:szCs w:val="20"/>
          <w:lang w:val="el-GR"/>
        </w:rPr>
        <w:t xml:space="preserve"> </w:t>
      </w:r>
      <w:r w:rsidR="00815280" w:rsidRPr="0032033F">
        <w:rPr>
          <w:rFonts w:ascii="Arial" w:hAnsi="Arial" w:cs="Arial"/>
          <w:sz w:val="20"/>
          <w:szCs w:val="20"/>
          <w:lang w:val="el-GR"/>
        </w:rPr>
        <w:t>καταχωρήθηκε</w:t>
      </w:r>
      <w:r w:rsidRPr="0032033F">
        <w:rPr>
          <w:rFonts w:ascii="Arial" w:hAnsi="Arial" w:cs="Arial"/>
          <w:sz w:val="20"/>
          <w:szCs w:val="20"/>
          <w:lang w:val="el-GR"/>
        </w:rPr>
        <w:t xml:space="preserve"> στο Γ.Ε.ΜΗ. με Κωδικό Αριθμό Καταχώρησης </w:t>
      </w:r>
      <w:r w:rsidR="00B950C2" w:rsidRPr="0032033F">
        <w:rPr>
          <w:rFonts w:ascii="Arial" w:hAnsi="Arial" w:cs="Arial"/>
          <w:sz w:val="20"/>
          <w:szCs w:val="20"/>
          <w:lang w:val="el-GR"/>
        </w:rPr>
        <w:t>4465477, η με αριθ</w:t>
      </w:r>
      <w:r w:rsidR="00075628" w:rsidRPr="0032033F">
        <w:rPr>
          <w:rFonts w:ascii="Arial" w:hAnsi="Arial" w:cs="Arial"/>
          <w:sz w:val="20"/>
          <w:szCs w:val="20"/>
          <w:lang w:val="el-GR"/>
        </w:rPr>
        <w:t>.</w:t>
      </w:r>
      <w:r w:rsidR="00B950C2" w:rsidRPr="0032033F">
        <w:rPr>
          <w:rFonts w:ascii="Arial" w:hAnsi="Arial" w:cs="Arial"/>
          <w:sz w:val="20"/>
          <w:szCs w:val="20"/>
          <w:lang w:val="el-GR"/>
        </w:rPr>
        <w:t xml:space="preserve"> 3384758 ΑΠ /27-9-2024 απόφαση του Υπουργείου Ανάπτυξης</w:t>
      </w:r>
      <w:r w:rsidR="00B11413" w:rsidRPr="0032033F">
        <w:rPr>
          <w:rFonts w:ascii="Arial" w:hAnsi="Arial" w:cs="Arial"/>
          <w:sz w:val="20"/>
          <w:szCs w:val="20"/>
          <w:lang w:val="el-GR"/>
        </w:rPr>
        <w:t xml:space="preserve"> (Διεύθυνση Εταιρειών, Τμήμα Δ’ Χρηματοπιστωτικών Ιδρυμάτων, Ασφαλιστικών Ανωνύμων Εταιρειών και ΔΕΚΟ)</w:t>
      </w:r>
      <w:r w:rsidR="00B950C2" w:rsidRPr="0032033F">
        <w:rPr>
          <w:rFonts w:ascii="Arial" w:hAnsi="Arial" w:cs="Arial"/>
          <w:sz w:val="20"/>
          <w:szCs w:val="20"/>
          <w:lang w:val="el-GR"/>
        </w:rPr>
        <w:t xml:space="preserve"> με την οποία εγκρίθηκε η Αύξηση καθώς και η αντίστοιχη τροποποίηση του άρθρου 5 του Καταστατικού της Τράπεζας, σύμφωνα με το από 25.09.2024 πρακτικό της Έκτακτης Γενικής Συνέλευσης των μετόχων της Τράπεζας.</w:t>
      </w:r>
    </w:p>
    <w:bookmarkEnd w:id="1"/>
    <w:p w14:paraId="7D7FE3B2" w14:textId="77777777" w:rsidR="004561E2" w:rsidRPr="0032033F" w:rsidRDefault="00664318" w:rsidP="00075628">
      <w:pPr>
        <w:spacing w:line="360" w:lineRule="auto"/>
        <w:jc w:val="both"/>
        <w:rPr>
          <w:rFonts w:ascii="Arial" w:hAnsi="Arial" w:cs="Arial"/>
          <w:b/>
          <w:bCs/>
          <w:sz w:val="20"/>
          <w:szCs w:val="20"/>
          <w:lang w:val="el-GR"/>
        </w:rPr>
      </w:pPr>
      <w:r w:rsidRPr="0032033F">
        <w:rPr>
          <w:rFonts w:ascii="Arial" w:hAnsi="Arial" w:cs="Arial"/>
          <w:b/>
          <w:bCs/>
          <w:sz w:val="20"/>
          <w:szCs w:val="20"/>
          <w:lang w:val="el-GR"/>
        </w:rPr>
        <w:t>Προθεσμία άσκησης δικαιώματος προτίμησης</w:t>
      </w:r>
    </w:p>
    <w:p w14:paraId="2E4F1B8D" w14:textId="77777777" w:rsidR="00854B44" w:rsidRPr="0032033F" w:rsidRDefault="00664318" w:rsidP="00075628">
      <w:pPr>
        <w:spacing w:line="360" w:lineRule="auto"/>
        <w:jc w:val="both"/>
        <w:rPr>
          <w:rFonts w:ascii="Arial" w:hAnsi="Arial" w:cs="Arial"/>
          <w:sz w:val="20"/>
          <w:szCs w:val="20"/>
          <w:lang w:val="el-GR"/>
        </w:rPr>
      </w:pPr>
      <w:r w:rsidRPr="0032033F">
        <w:rPr>
          <w:rFonts w:ascii="Arial" w:hAnsi="Arial" w:cs="Arial"/>
          <w:sz w:val="20"/>
          <w:szCs w:val="20"/>
          <w:lang w:val="el-GR"/>
        </w:rPr>
        <w:t xml:space="preserve">Η </w:t>
      </w:r>
      <w:r w:rsidR="00854B44" w:rsidRPr="0032033F">
        <w:rPr>
          <w:rFonts w:ascii="Arial" w:hAnsi="Arial" w:cs="Arial"/>
          <w:sz w:val="20"/>
          <w:szCs w:val="20"/>
          <w:lang w:val="el-GR"/>
        </w:rPr>
        <w:t>προθεσμία για την άσκηση των δικαιωμάτων προτίμησης των υφιστάμενων μετόχων, σύμφωνα με το άρθρο 26 παρ. 2 του Ν. 4548/2018</w:t>
      </w:r>
      <w:r w:rsidRPr="0032033F">
        <w:rPr>
          <w:rFonts w:ascii="Arial" w:hAnsi="Arial" w:cs="Arial"/>
          <w:sz w:val="20"/>
          <w:szCs w:val="20"/>
          <w:lang w:val="el-GR"/>
        </w:rPr>
        <w:t>, είναι δεκατέσσερις (14) ημέρες</w:t>
      </w:r>
      <w:r w:rsidR="00854B44" w:rsidRPr="0032033F">
        <w:rPr>
          <w:rFonts w:ascii="Arial" w:hAnsi="Arial" w:cs="Arial"/>
          <w:sz w:val="20"/>
          <w:szCs w:val="20"/>
          <w:lang w:val="el-GR"/>
        </w:rPr>
        <w:t xml:space="preserve">. </w:t>
      </w:r>
      <w:r w:rsidR="00967D08" w:rsidRPr="0032033F">
        <w:rPr>
          <w:rFonts w:ascii="Arial" w:hAnsi="Arial" w:cs="Arial"/>
          <w:sz w:val="20"/>
          <w:szCs w:val="20"/>
          <w:lang w:val="el-GR"/>
        </w:rPr>
        <w:t>Εάν μετά την εμπρόθεσμη άσκηση ή απόσβεση των δικαιωμάτων προτίμησης υπάρχουν αδιάθετες Νέες Μετοχές ΑΜΚ, αυτές θα διατεθούν κατά την κρίση του Διοικητικού Συμβουλίου σύμφωνα με το άρθρο 26 παρ. 4 του Ν. 4548/2018 και τις διατάξεις του Ν.5127/2024 που κύρωσε τη συμφωνία μεταξύ</w:t>
      </w:r>
      <w:r w:rsidR="008A79FA" w:rsidRPr="0032033F">
        <w:rPr>
          <w:rFonts w:ascii="Arial" w:hAnsi="Arial" w:cs="Arial"/>
          <w:sz w:val="20"/>
          <w:szCs w:val="20"/>
          <w:lang w:val="el-GR"/>
        </w:rPr>
        <w:t xml:space="preserve"> του</w:t>
      </w:r>
      <w:r w:rsidR="00967D08" w:rsidRPr="0032033F">
        <w:rPr>
          <w:rFonts w:ascii="Arial" w:hAnsi="Arial" w:cs="Arial"/>
          <w:sz w:val="20"/>
          <w:szCs w:val="20"/>
          <w:lang w:val="el-GR"/>
        </w:rPr>
        <w:t xml:space="preserve"> Ταμείου Χρηματοπιστωτικής Σταθερότητας και </w:t>
      </w:r>
      <w:r w:rsidR="008A79FA" w:rsidRPr="0032033F">
        <w:rPr>
          <w:rFonts w:ascii="Arial" w:hAnsi="Arial" w:cs="Arial"/>
          <w:sz w:val="20"/>
          <w:szCs w:val="20"/>
          <w:lang w:val="el-GR"/>
        </w:rPr>
        <w:t xml:space="preserve">της </w:t>
      </w:r>
      <w:r w:rsidR="00967D08" w:rsidRPr="0032033F">
        <w:rPr>
          <w:rFonts w:ascii="Arial" w:hAnsi="Arial" w:cs="Arial"/>
          <w:sz w:val="20"/>
          <w:szCs w:val="20"/>
        </w:rPr>
        <w:t>Thrivest</w:t>
      </w:r>
      <w:r w:rsidR="00967D08" w:rsidRPr="0032033F">
        <w:rPr>
          <w:rFonts w:ascii="Arial" w:hAnsi="Arial" w:cs="Arial"/>
          <w:sz w:val="20"/>
          <w:szCs w:val="20"/>
          <w:lang w:val="el-GR"/>
        </w:rPr>
        <w:t xml:space="preserve"> </w:t>
      </w:r>
      <w:r w:rsidR="00967D08" w:rsidRPr="0032033F">
        <w:rPr>
          <w:rFonts w:ascii="Arial" w:hAnsi="Arial" w:cs="Arial"/>
          <w:sz w:val="20"/>
          <w:szCs w:val="20"/>
        </w:rPr>
        <w:t>Holding</w:t>
      </w:r>
      <w:r w:rsidR="00967D08" w:rsidRPr="0032033F">
        <w:rPr>
          <w:rFonts w:ascii="Arial" w:hAnsi="Arial" w:cs="Arial"/>
          <w:sz w:val="20"/>
          <w:szCs w:val="20"/>
          <w:lang w:val="el-GR"/>
        </w:rPr>
        <w:t xml:space="preserve"> </w:t>
      </w:r>
      <w:r w:rsidR="00967D08" w:rsidRPr="0032033F">
        <w:rPr>
          <w:rFonts w:ascii="Arial" w:hAnsi="Arial" w:cs="Arial"/>
          <w:sz w:val="20"/>
          <w:szCs w:val="20"/>
        </w:rPr>
        <w:t>Ltd</w:t>
      </w:r>
      <w:r w:rsidR="00967D08" w:rsidRPr="0032033F">
        <w:rPr>
          <w:rFonts w:ascii="Arial" w:hAnsi="Arial" w:cs="Arial"/>
          <w:sz w:val="20"/>
          <w:szCs w:val="20"/>
          <w:lang w:val="el-GR"/>
        </w:rPr>
        <w:t>, αναφορικά, μεταξύ άλλων, με την Αύξηση και την έκδοση των Τίτλων</w:t>
      </w:r>
      <w:r w:rsidR="00A21156" w:rsidRPr="0032033F">
        <w:rPr>
          <w:rFonts w:ascii="Arial" w:hAnsi="Arial" w:cs="Arial"/>
          <w:sz w:val="20"/>
          <w:szCs w:val="20"/>
          <w:lang w:val="el-GR"/>
        </w:rPr>
        <w:t xml:space="preserve"> Κτήσης Μετοχών</w:t>
      </w:r>
      <w:r w:rsidR="004F3A8D" w:rsidRPr="0032033F">
        <w:rPr>
          <w:rFonts w:ascii="Arial" w:hAnsi="Arial" w:cs="Arial"/>
          <w:sz w:val="20"/>
          <w:szCs w:val="20"/>
          <w:lang w:val="el-GR"/>
        </w:rPr>
        <w:t>.</w:t>
      </w:r>
    </w:p>
    <w:p w14:paraId="2BE0BBAD" w14:textId="77777777" w:rsidR="00664318" w:rsidRPr="0032033F" w:rsidRDefault="00664318" w:rsidP="00075628">
      <w:pPr>
        <w:spacing w:line="360" w:lineRule="auto"/>
        <w:jc w:val="both"/>
        <w:rPr>
          <w:rFonts w:ascii="Arial" w:hAnsi="Arial" w:cs="Arial"/>
          <w:b/>
          <w:bCs/>
          <w:sz w:val="20"/>
          <w:szCs w:val="20"/>
          <w:lang w:val="el-GR"/>
        </w:rPr>
      </w:pPr>
      <w:r w:rsidRPr="0032033F">
        <w:rPr>
          <w:rFonts w:ascii="Arial" w:hAnsi="Arial" w:cs="Arial"/>
          <w:b/>
          <w:bCs/>
          <w:sz w:val="20"/>
          <w:szCs w:val="20"/>
          <w:lang w:val="el-GR"/>
        </w:rPr>
        <w:t>Ημερομηνία αποκοπής δικαιώματος προτίμησης</w:t>
      </w:r>
    </w:p>
    <w:p w14:paraId="678CB250" w14:textId="5ACA8B4F" w:rsidR="00E6672F" w:rsidRPr="00B36FCA" w:rsidRDefault="00664318" w:rsidP="00075628">
      <w:pPr>
        <w:spacing w:before="240" w:after="0" w:line="360" w:lineRule="auto"/>
        <w:jc w:val="both"/>
        <w:rPr>
          <w:rFonts w:ascii="Arial" w:hAnsi="Arial" w:cs="Arial"/>
          <w:sz w:val="20"/>
          <w:szCs w:val="20"/>
          <w:lang w:val="el-GR"/>
        </w:rPr>
      </w:pPr>
      <w:r w:rsidRPr="0032033F">
        <w:rPr>
          <w:rFonts w:ascii="Arial" w:hAnsi="Arial" w:cs="Arial"/>
          <w:sz w:val="20"/>
          <w:szCs w:val="20"/>
          <w:lang w:val="el-GR"/>
        </w:rPr>
        <w:t xml:space="preserve">Ως ημερομηνία αποκοπής του δικαιώματος προτίμησης στην Αύξηση ορίζεται η </w:t>
      </w:r>
      <w:r w:rsidR="00E528C0" w:rsidRPr="0032033F">
        <w:rPr>
          <w:rFonts w:ascii="Arial" w:hAnsi="Arial" w:cs="Arial"/>
          <w:sz w:val="20"/>
          <w:szCs w:val="20"/>
          <w:lang w:val="el-GR"/>
        </w:rPr>
        <w:t>1</w:t>
      </w:r>
      <w:r w:rsidR="002B5398" w:rsidRPr="002B5398">
        <w:rPr>
          <w:rFonts w:ascii="Arial" w:hAnsi="Arial" w:cs="Arial"/>
          <w:sz w:val="20"/>
          <w:szCs w:val="20"/>
          <w:lang w:val="el-GR"/>
        </w:rPr>
        <w:t>6</w:t>
      </w:r>
      <w:r w:rsidRPr="0032033F">
        <w:rPr>
          <w:rFonts w:ascii="Arial" w:hAnsi="Arial" w:cs="Arial"/>
          <w:sz w:val="20"/>
          <w:szCs w:val="20"/>
          <w:lang w:val="el-GR"/>
        </w:rPr>
        <w:t>.1</w:t>
      </w:r>
      <w:r w:rsidR="00967D08" w:rsidRPr="0032033F">
        <w:rPr>
          <w:rFonts w:ascii="Arial" w:hAnsi="Arial" w:cs="Arial"/>
          <w:sz w:val="20"/>
          <w:szCs w:val="20"/>
          <w:lang w:val="el-GR"/>
        </w:rPr>
        <w:t>0</w:t>
      </w:r>
      <w:r w:rsidRPr="0032033F">
        <w:rPr>
          <w:rFonts w:ascii="Arial" w:hAnsi="Arial" w:cs="Arial"/>
          <w:sz w:val="20"/>
          <w:szCs w:val="20"/>
          <w:lang w:val="el-GR"/>
        </w:rPr>
        <w:t>.202</w:t>
      </w:r>
      <w:r w:rsidR="00967D08" w:rsidRPr="0032033F">
        <w:rPr>
          <w:rFonts w:ascii="Arial" w:hAnsi="Arial" w:cs="Arial"/>
          <w:sz w:val="20"/>
          <w:szCs w:val="20"/>
          <w:lang w:val="el-GR"/>
        </w:rPr>
        <w:t>4</w:t>
      </w:r>
      <w:r w:rsidRPr="0032033F">
        <w:rPr>
          <w:rFonts w:ascii="Arial" w:hAnsi="Arial" w:cs="Arial"/>
          <w:sz w:val="20"/>
          <w:szCs w:val="20"/>
          <w:lang w:val="el-GR"/>
        </w:rPr>
        <w:t xml:space="preserve"> (η «</w:t>
      </w:r>
      <w:r w:rsidRPr="0032033F">
        <w:rPr>
          <w:rFonts w:ascii="Arial" w:hAnsi="Arial" w:cs="Arial"/>
          <w:b/>
          <w:sz w:val="20"/>
          <w:szCs w:val="20"/>
          <w:lang w:val="el-GR"/>
        </w:rPr>
        <w:t>Ημερομηνία Αποκοπής</w:t>
      </w:r>
      <w:r w:rsidRPr="0032033F">
        <w:rPr>
          <w:rFonts w:ascii="Arial" w:hAnsi="Arial" w:cs="Arial"/>
          <w:sz w:val="20"/>
          <w:szCs w:val="20"/>
          <w:lang w:val="el-GR"/>
        </w:rPr>
        <w:t>»).</w:t>
      </w:r>
      <w:r w:rsidR="000271C6" w:rsidRPr="0032033F">
        <w:rPr>
          <w:rFonts w:ascii="Arial" w:hAnsi="Arial" w:cs="Arial"/>
          <w:sz w:val="20"/>
          <w:szCs w:val="20"/>
          <w:lang w:val="el-GR"/>
        </w:rPr>
        <w:t xml:space="preserve"> Από την Ημερομηνία Αποκοπής, οι υφιστάμενες μετοχές</w:t>
      </w:r>
      <w:r w:rsidR="001819DA" w:rsidRPr="0032033F">
        <w:rPr>
          <w:rFonts w:ascii="Arial" w:hAnsi="Arial" w:cs="Arial"/>
          <w:sz w:val="20"/>
          <w:szCs w:val="20"/>
          <w:lang w:val="el-GR"/>
        </w:rPr>
        <w:t xml:space="preserve"> έκδοσης</w:t>
      </w:r>
      <w:r w:rsidR="000271C6" w:rsidRPr="0032033F">
        <w:rPr>
          <w:rFonts w:ascii="Arial" w:hAnsi="Arial" w:cs="Arial"/>
          <w:sz w:val="20"/>
          <w:szCs w:val="20"/>
          <w:lang w:val="el-GR"/>
        </w:rPr>
        <w:t xml:space="preserve"> της Τράπεζας θα είναι διαπραγματεύσιμες στο Χρηματιστήριο Αθηνών (το «</w:t>
      </w:r>
      <w:r w:rsidR="000271C6" w:rsidRPr="0032033F">
        <w:rPr>
          <w:rFonts w:ascii="Arial" w:hAnsi="Arial" w:cs="Arial"/>
          <w:b/>
          <w:bCs/>
          <w:sz w:val="20"/>
          <w:szCs w:val="20"/>
          <w:lang w:val="el-GR"/>
        </w:rPr>
        <w:t>Χ.Α.</w:t>
      </w:r>
      <w:r w:rsidR="000271C6" w:rsidRPr="0032033F">
        <w:rPr>
          <w:rFonts w:ascii="Arial" w:hAnsi="Arial" w:cs="Arial"/>
          <w:sz w:val="20"/>
          <w:szCs w:val="20"/>
          <w:lang w:val="el-GR"/>
        </w:rPr>
        <w:t xml:space="preserve">») χωρίς το δικαίωμα συμμετοχής στην Αύξηση και η τιμή εκκίνησης των υφιστάμενων κοινών, μετά ψήφου ονομαστικών μετοχών της </w:t>
      </w:r>
      <w:r w:rsidR="008A79FA" w:rsidRPr="0032033F">
        <w:rPr>
          <w:rFonts w:ascii="Arial" w:hAnsi="Arial" w:cs="Arial"/>
          <w:sz w:val="20"/>
          <w:szCs w:val="20"/>
          <w:lang w:val="el-GR"/>
        </w:rPr>
        <w:t xml:space="preserve">Τράπεζας </w:t>
      </w:r>
      <w:r w:rsidR="000271C6" w:rsidRPr="0032033F">
        <w:rPr>
          <w:rFonts w:ascii="Arial" w:hAnsi="Arial" w:cs="Arial"/>
          <w:sz w:val="20"/>
          <w:szCs w:val="20"/>
          <w:lang w:val="el-GR"/>
        </w:rPr>
        <w:t>στο Χ.Α. θα διαμορφωθεί σύμφωνα με τον Κανονισμό του Χ.Α., σε συνδυασμό με την υπ’ αριθ. 26 Απόφαση του Διοικητικού Συμβουλίου του Χ.Α., όπως ισχύει.</w:t>
      </w:r>
      <w:r w:rsidR="004D1FBF" w:rsidRPr="007F7BC9">
        <w:rPr>
          <w:rFonts w:ascii="Arial" w:hAnsi="Arial" w:cs="Arial"/>
          <w:sz w:val="20"/>
          <w:szCs w:val="20"/>
          <w:lang w:val="el-GR"/>
        </w:rPr>
        <w:t xml:space="preserve"> </w:t>
      </w:r>
    </w:p>
    <w:p w14:paraId="1BA1986E" w14:textId="77777777" w:rsidR="00E6672F" w:rsidRPr="00B36FCA" w:rsidRDefault="00E6672F" w:rsidP="007F7BC9">
      <w:pPr>
        <w:spacing w:line="240" w:lineRule="auto"/>
        <w:jc w:val="both"/>
        <w:rPr>
          <w:rFonts w:ascii="Arial" w:hAnsi="Arial" w:cs="Arial"/>
          <w:b/>
          <w:bCs/>
          <w:sz w:val="20"/>
          <w:szCs w:val="20"/>
          <w:lang w:val="el-GR"/>
        </w:rPr>
      </w:pPr>
    </w:p>
    <w:p w14:paraId="216186FC" w14:textId="77777777" w:rsidR="00BB259C" w:rsidRPr="0032033F" w:rsidRDefault="00BB259C" w:rsidP="00075628">
      <w:pPr>
        <w:spacing w:line="360" w:lineRule="auto"/>
        <w:jc w:val="both"/>
        <w:rPr>
          <w:rFonts w:ascii="Arial" w:hAnsi="Arial" w:cs="Arial"/>
          <w:b/>
          <w:bCs/>
          <w:sz w:val="20"/>
          <w:szCs w:val="20"/>
          <w:lang w:val="el-GR"/>
        </w:rPr>
      </w:pPr>
      <w:r w:rsidRPr="0032033F">
        <w:rPr>
          <w:rFonts w:ascii="Arial" w:hAnsi="Arial" w:cs="Arial"/>
          <w:b/>
          <w:bCs/>
          <w:sz w:val="20"/>
          <w:szCs w:val="20"/>
          <w:lang w:val="el-GR"/>
        </w:rPr>
        <w:t>Διαδικασία άσκησης δικαιώματος προτίμησης</w:t>
      </w:r>
    </w:p>
    <w:p w14:paraId="35842EEA" w14:textId="77777777" w:rsidR="00BB259C" w:rsidRPr="0032033F" w:rsidRDefault="00BB259C" w:rsidP="00075628">
      <w:pPr>
        <w:spacing w:line="360" w:lineRule="auto"/>
        <w:jc w:val="both"/>
        <w:rPr>
          <w:rFonts w:ascii="Arial" w:hAnsi="Arial" w:cs="Arial"/>
          <w:sz w:val="20"/>
          <w:szCs w:val="20"/>
          <w:lang w:val="el-GR"/>
        </w:rPr>
      </w:pPr>
      <w:r w:rsidRPr="0032033F">
        <w:rPr>
          <w:rFonts w:ascii="Arial" w:hAnsi="Arial" w:cs="Arial"/>
          <w:sz w:val="20"/>
          <w:szCs w:val="20"/>
          <w:lang w:val="el-GR"/>
        </w:rPr>
        <w:t>Δικαίωμα προτίμησης στην Αύξηση θα έχουν:</w:t>
      </w:r>
    </w:p>
    <w:p w14:paraId="2B0897C8" w14:textId="1C349A0E" w:rsidR="00BB259C" w:rsidRPr="00020089" w:rsidRDefault="002805EE" w:rsidP="00075628">
      <w:pPr>
        <w:spacing w:line="360" w:lineRule="auto"/>
        <w:jc w:val="both"/>
        <w:rPr>
          <w:rFonts w:ascii="Arial" w:hAnsi="Arial" w:cs="Arial"/>
          <w:sz w:val="20"/>
          <w:szCs w:val="20"/>
          <w:lang w:val="el-GR"/>
        </w:rPr>
      </w:pPr>
      <w:r w:rsidRPr="0032033F">
        <w:rPr>
          <w:rFonts w:ascii="Arial" w:hAnsi="Arial" w:cs="Arial"/>
          <w:sz w:val="20"/>
          <w:szCs w:val="20"/>
          <w:lang w:val="el-GR"/>
        </w:rPr>
        <w:t xml:space="preserve">(i) </w:t>
      </w:r>
      <w:r w:rsidR="00BB259C" w:rsidRPr="0032033F">
        <w:rPr>
          <w:rFonts w:ascii="Arial" w:hAnsi="Arial" w:cs="Arial"/>
          <w:sz w:val="20"/>
          <w:szCs w:val="20"/>
          <w:lang w:val="el-GR"/>
        </w:rPr>
        <w:t xml:space="preserve">όλοι οι μέτοχοι της Τράπεζας </w:t>
      </w:r>
      <w:r w:rsidR="005B0A90" w:rsidRPr="0032033F">
        <w:rPr>
          <w:rFonts w:ascii="Arial" w:hAnsi="Arial" w:cs="Arial"/>
          <w:sz w:val="20"/>
          <w:szCs w:val="20"/>
          <w:lang w:val="el-GR"/>
        </w:rPr>
        <w:t xml:space="preserve">οι οποίοι θα είναι εγγεγραμμένοι </w:t>
      </w:r>
      <w:r w:rsidR="00967D08" w:rsidRPr="0032033F">
        <w:rPr>
          <w:rFonts w:ascii="Arial" w:hAnsi="Arial" w:cs="Arial"/>
          <w:sz w:val="20"/>
          <w:szCs w:val="20"/>
          <w:lang w:val="el-GR"/>
        </w:rPr>
        <w:t>στα αρχεία του</w:t>
      </w:r>
      <w:r w:rsidR="00BB259C" w:rsidRPr="0032033F">
        <w:rPr>
          <w:rFonts w:ascii="Arial" w:hAnsi="Arial" w:cs="Arial"/>
          <w:sz w:val="20"/>
          <w:szCs w:val="20"/>
          <w:lang w:val="el-GR"/>
        </w:rPr>
        <w:t xml:space="preserve"> Σ</w:t>
      </w:r>
      <w:r w:rsidR="00967D08" w:rsidRPr="0032033F">
        <w:rPr>
          <w:rFonts w:ascii="Arial" w:hAnsi="Arial" w:cs="Arial"/>
          <w:sz w:val="20"/>
          <w:szCs w:val="20"/>
          <w:lang w:val="el-GR"/>
        </w:rPr>
        <w:t>υ</w:t>
      </w:r>
      <w:r w:rsidR="00BB259C" w:rsidRPr="0032033F">
        <w:rPr>
          <w:rFonts w:ascii="Arial" w:hAnsi="Arial" w:cs="Arial"/>
          <w:sz w:val="20"/>
          <w:szCs w:val="20"/>
          <w:lang w:val="el-GR"/>
        </w:rPr>
        <w:t>στ</w:t>
      </w:r>
      <w:r w:rsidR="00967D08" w:rsidRPr="0032033F">
        <w:rPr>
          <w:rFonts w:ascii="Arial" w:hAnsi="Arial" w:cs="Arial"/>
          <w:sz w:val="20"/>
          <w:szCs w:val="20"/>
          <w:lang w:val="el-GR"/>
        </w:rPr>
        <w:t>ή</w:t>
      </w:r>
      <w:r w:rsidR="00BB259C" w:rsidRPr="0032033F">
        <w:rPr>
          <w:rFonts w:ascii="Arial" w:hAnsi="Arial" w:cs="Arial"/>
          <w:sz w:val="20"/>
          <w:szCs w:val="20"/>
          <w:lang w:val="el-GR"/>
        </w:rPr>
        <w:t>μα</w:t>
      </w:r>
      <w:r w:rsidR="00967D08" w:rsidRPr="0032033F">
        <w:rPr>
          <w:rFonts w:ascii="Arial" w:hAnsi="Arial" w:cs="Arial"/>
          <w:sz w:val="20"/>
          <w:szCs w:val="20"/>
          <w:lang w:val="el-GR"/>
        </w:rPr>
        <w:t>τος</w:t>
      </w:r>
      <w:r w:rsidR="00BB259C" w:rsidRPr="0032033F">
        <w:rPr>
          <w:rFonts w:ascii="Arial" w:hAnsi="Arial" w:cs="Arial"/>
          <w:sz w:val="20"/>
          <w:szCs w:val="20"/>
          <w:lang w:val="el-GR"/>
        </w:rPr>
        <w:t xml:space="preserve"> Άυλων Τίτλων </w:t>
      </w:r>
      <w:r w:rsidR="008C47D9" w:rsidRPr="0032033F">
        <w:rPr>
          <w:rFonts w:ascii="Arial" w:hAnsi="Arial" w:cs="Arial"/>
          <w:sz w:val="20"/>
          <w:szCs w:val="20"/>
          <w:lang w:val="el-GR"/>
        </w:rPr>
        <w:t xml:space="preserve">(Σ.Α.Τ.) </w:t>
      </w:r>
      <w:r w:rsidR="00BB259C" w:rsidRPr="0032033F">
        <w:rPr>
          <w:rFonts w:ascii="Arial" w:hAnsi="Arial" w:cs="Arial"/>
          <w:sz w:val="20"/>
          <w:szCs w:val="20"/>
          <w:lang w:val="el-GR"/>
        </w:rPr>
        <w:t>κατά την ημερομηνία καταγραφής δικαιούχων (</w:t>
      </w:r>
      <w:proofErr w:type="spellStart"/>
      <w:r w:rsidR="00BB259C" w:rsidRPr="0032033F">
        <w:rPr>
          <w:rFonts w:ascii="Arial" w:hAnsi="Arial" w:cs="Arial"/>
          <w:sz w:val="20"/>
          <w:szCs w:val="20"/>
          <w:lang w:val="el-GR"/>
        </w:rPr>
        <w:t>record</w:t>
      </w:r>
      <w:proofErr w:type="spellEnd"/>
      <w:r w:rsidR="00BB259C" w:rsidRPr="0032033F">
        <w:rPr>
          <w:rFonts w:ascii="Arial" w:hAnsi="Arial" w:cs="Arial"/>
          <w:sz w:val="20"/>
          <w:szCs w:val="20"/>
          <w:lang w:val="el-GR"/>
        </w:rPr>
        <w:t xml:space="preserve"> </w:t>
      </w:r>
      <w:proofErr w:type="spellStart"/>
      <w:r w:rsidR="00BB259C" w:rsidRPr="0032033F">
        <w:rPr>
          <w:rFonts w:ascii="Arial" w:hAnsi="Arial" w:cs="Arial"/>
          <w:sz w:val="20"/>
          <w:szCs w:val="20"/>
          <w:lang w:val="el-GR"/>
        </w:rPr>
        <w:t>date</w:t>
      </w:r>
      <w:proofErr w:type="spellEnd"/>
      <w:r w:rsidR="00BB259C" w:rsidRPr="0032033F">
        <w:rPr>
          <w:rFonts w:ascii="Arial" w:hAnsi="Arial" w:cs="Arial"/>
          <w:sz w:val="20"/>
          <w:szCs w:val="20"/>
          <w:lang w:val="el-GR"/>
        </w:rPr>
        <w:t>),</w:t>
      </w:r>
      <w:r w:rsidR="00967D08" w:rsidRPr="0032033F">
        <w:rPr>
          <w:rFonts w:ascii="Arial" w:hAnsi="Arial" w:cs="Arial"/>
          <w:sz w:val="20"/>
          <w:szCs w:val="20"/>
          <w:lang w:val="el-GR"/>
        </w:rPr>
        <w:t xml:space="preserve"> σύμφωνα με το άρθρο 5.2 του Κανονισμού του Χρηματιστηρίου Αθηνών,</w:t>
      </w:r>
      <w:r w:rsidR="00BB259C" w:rsidRPr="0032033F">
        <w:rPr>
          <w:rFonts w:ascii="Arial" w:hAnsi="Arial" w:cs="Arial"/>
          <w:sz w:val="20"/>
          <w:szCs w:val="20"/>
          <w:lang w:val="el-GR"/>
        </w:rPr>
        <w:t xml:space="preserve"> εφόσον διατηρούν τα δικαιώματα αυτά κατά το χρόνο άσκησής </w:t>
      </w:r>
      <w:r w:rsidR="00BB259C" w:rsidRPr="004D1FBF">
        <w:rPr>
          <w:rFonts w:ascii="Arial" w:hAnsi="Arial" w:cs="Arial"/>
          <w:sz w:val="20"/>
          <w:szCs w:val="20"/>
          <w:lang w:val="el-GR"/>
        </w:rPr>
        <w:t>τους</w:t>
      </w:r>
      <w:r w:rsidR="00130DD6">
        <w:rPr>
          <w:rFonts w:ascii="Arial" w:hAnsi="Arial" w:cs="Arial"/>
          <w:sz w:val="20"/>
          <w:szCs w:val="20"/>
          <w:lang w:val="el-GR"/>
        </w:rPr>
        <w:t xml:space="preserve"> (</w:t>
      </w:r>
      <w:r w:rsidR="00020089" w:rsidRPr="004D1FBF">
        <w:rPr>
          <w:rFonts w:ascii="Arial" w:hAnsi="Arial" w:cs="Arial"/>
          <w:sz w:val="20"/>
          <w:szCs w:val="20"/>
          <w:lang w:val="el-GR"/>
        </w:rPr>
        <w:t xml:space="preserve">όπως αυτά θα έχουν διαμορφωθεί μετά την ολοκλήρωση του </w:t>
      </w:r>
      <w:r w:rsidR="00020089" w:rsidRPr="004D1FBF">
        <w:rPr>
          <w:rFonts w:ascii="Arial" w:hAnsi="Arial" w:cs="Arial"/>
          <w:sz w:val="20"/>
          <w:szCs w:val="20"/>
        </w:rPr>
        <w:t>Reverse</w:t>
      </w:r>
      <w:r w:rsidR="00020089" w:rsidRPr="007F7BC9">
        <w:rPr>
          <w:rFonts w:ascii="Arial" w:hAnsi="Arial" w:cs="Arial"/>
          <w:sz w:val="20"/>
          <w:szCs w:val="20"/>
          <w:lang w:val="el-GR"/>
        </w:rPr>
        <w:t xml:space="preserve"> </w:t>
      </w:r>
      <w:r w:rsidR="00020089" w:rsidRPr="004D1FBF">
        <w:rPr>
          <w:rFonts w:ascii="Arial" w:hAnsi="Arial" w:cs="Arial"/>
          <w:sz w:val="20"/>
          <w:szCs w:val="20"/>
        </w:rPr>
        <w:t>Split</w:t>
      </w:r>
      <w:r w:rsidR="00020089" w:rsidRPr="007F7BC9">
        <w:rPr>
          <w:rFonts w:ascii="Arial" w:hAnsi="Arial" w:cs="Arial"/>
          <w:sz w:val="20"/>
          <w:szCs w:val="20"/>
          <w:lang w:val="el-GR"/>
        </w:rPr>
        <w:t xml:space="preserve"> </w:t>
      </w:r>
      <w:r w:rsidR="00020089" w:rsidRPr="004D1FBF">
        <w:rPr>
          <w:rFonts w:ascii="Arial" w:hAnsi="Arial" w:cs="Arial"/>
          <w:sz w:val="20"/>
          <w:szCs w:val="20"/>
          <w:lang w:val="el-GR"/>
        </w:rPr>
        <w:t>των μετοχών της Τράπεζας</w:t>
      </w:r>
      <w:r w:rsidR="00130DD6">
        <w:rPr>
          <w:rFonts w:ascii="Arial" w:hAnsi="Arial" w:cs="Arial"/>
          <w:sz w:val="20"/>
          <w:szCs w:val="20"/>
          <w:lang w:val="el-GR"/>
        </w:rPr>
        <w:t>)</w:t>
      </w:r>
      <w:r w:rsidR="00020089" w:rsidRPr="004D1FBF">
        <w:rPr>
          <w:rFonts w:ascii="Arial" w:hAnsi="Arial" w:cs="Arial"/>
          <w:sz w:val="20"/>
          <w:szCs w:val="20"/>
          <w:lang w:val="el-GR"/>
        </w:rPr>
        <w:t>,</w:t>
      </w:r>
    </w:p>
    <w:p w14:paraId="03B3A628" w14:textId="77777777" w:rsidR="00BB259C" w:rsidRPr="00B36FCA" w:rsidRDefault="00BB259C" w:rsidP="00075628">
      <w:pPr>
        <w:spacing w:line="360" w:lineRule="auto"/>
        <w:jc w:val="both"/>
        <w:rPr>
          <w:rFonts w:ascii="Arial" w:hAnsi="Arial" w:cs="Arial"/>
          <w:sz w:val="20"/>
          <w:szCs w:val="20"/>
          <w:lang w:val="el-GR"/>
        </w:rPr>
      </w:pPr>
      <w:r w:rsidRPr="0032033F">
        <w:rPr>
          <w:rFonts w:ascii="Arial" w:hAnsi="Arial" w:cs="Arial"/>
          <w:sz w:val="20"/>
          <w:szCs w:val="20"/>
          <w:lang w:val="el-GR"/>
        </w:rPr>
        <w:lastRenderedPageBreak/>
        <w:t>(</w:t>
      </w:r>
      <w:proofErr w:type="spellStart"/>
      <w:r w:rsidR="002805EE" w:rsidRPr="0032033F">
        <w:rPr>
          <w:rFonts w:ascii="Arial" w:hAnsi="Arial" w:cs="Arial"/>
          <w:sz w:val="20"/>
          <w:szCs w:val="20"/>
          <w:lang w:val="el-GR"/>
        </w:rPr>
        <w:t>ii</w:t>
      </w:r>
      <w:proofErr w:type="spellEnd"/>
      <w:r w:rsidR="002805EE" w:rsidRPr="0032033F">
        <w:rPr>
          <w:rFonts w:ascii="Arial" w:hAnsi="Arial" w:cs="Arial"/>
          <w:sz w:val="20"/>
          <w:szCs w:val="20"/>
          <w:lang w:val="el-GR"/>
        </w:rPr>
        <w:t xml:space="preserve">) </w:t>
      </w:r>
      <w:r w:rsidRPr="0032033F">
        <w:rPr>
          <w:rFonts w:ascii="Arial" w:hAnsi="Arial" w:cs="Arial"/>
          <w:sz w:val="20"/>
          <w:szCs w:val="20"/>
          <w:lang w:val="el-GR"/>
        </w:rPr>
        <w:t>όσοι αποκτήσουν δικαιώματα προτίμησης κατά την περίοδο διαπραγμάτευσής τους στο Χρηματιστήριο Αθηνών.</w:t>
      </w:r>
    </w:p>
    <w:p w14:paraId="1ACAFF4E" w14:textId="5D4E914B" w:rsidR="007B32EC" w:rsidRPr="0032033F" w:rsidRDefault="007B32EC" w:rsidP="00075628">
      <w:pPr>
        <w:spacing w:line="360" w:lineRule="auto"/>
        <w:jc w:val="both"/>
        <w:rPr>
          <w:rFonts w:ascii="Arial" w:hAnsi="Arial" w:cs="Arial"/>
          <w:sz w:val="20"/>
          <w:szCs w:val="20"/>
          <w:lang w:val="el-GR"/>
        </w:rPr>
      </w:pPr>
      <w:r w:rsidRPr="0032033F">
        <w:rPr>
          <w:rFonts w:ascii="Arial" w:hAnsi="Arial" w:cs="Arial"/>
          <w:sz w:val="20"/>
          <w:szCs w:val="20"/>
          <w:lang w:val="el-GR"/>
        </w:rPr>
        <w:t>Ως ημερομηνία καταγραφής δικαιούχων (</w:t>
      </w:r>
      <w:proofErr w:type="spellStart"/>
      <w:r w:rsidRPr="0032033F">
        <w:rPr>
          <w:rFonts w:ascii="Arial" w:hAnsi="Arial" w:cs="Arial"/>
          <w:sz w:val="20"/>
          <w:szCs w:val="20"/>
          <w:lang w:val="el-GR"/>
        </w:rPr>
        <w:t>record</w:t>
      </w:r>
      <w:proofErr w:type="spellEnd"/>
      <w:r w:rsidRPr="0032033F">
        <w:rPr>
          <w:rFonts w:ascii="Arial" w:hAnsi="Arial" w:cs="Arial"/>
          <w:sz w:val="20"/>
          <w:szCs w:val="20"/>
          <w:lang w:val="el-GR"/>
        </w:rPr>
        <w:t xml:space="preserve"> </w:t>
      </w:r>
      <w:proofErr w:type="spellStart"/>
      <w:r w:rsidRPr="0032033F">
        <w:rPr>
          <w:rFonts w:ascii="Arial" w:hAnsi="Arial" w:cs="Arial"/>
          <w:sz w:val="20"/>
          <w:szCs w:val="20"/>
          <w:lang w:val="el-GR"/>
        </w:rPr>
        <w:t>date</w:t>
      </w:r>
      <w:proofErr w:type="spellEnd"/>
      <w:r w:rsidRPr="0032033F">
        <w:rPr>
          <w:rFonts w:ascii="Arial" w:hAnsi="Arial" w:cs="Arial"/>
          <w:sz w:val="20"/>
          <w:szCs w:val="20"/>
          <w:lang w:val="el-GR"/>
        </w:rPr>
        <w:t xml:space="preserve">) έχει οριστεί η </w:t>
      </w:r>
      <w:r w:rsidR="00E528C0" w:rsidRPr="0032033F">
        <w:rPr>
          <w:rFonts w:ascii="Arial" w:hAnsi="Arial" w:cs="Arial"/>
          <w:b/>
          <w:bCs/>
          <w:sz w:val="20"/>
          <w:szCs w:val="20"/>
          <w:lang w:val="el-GR"/>
        </w:rPr>
        <w:t>1</w:t>
      </w:r>
      <w:r w:rsidR="002B5398" w:rsidRPr="002B5398">
        <w:rPr>
          <w:rFonts w:ascii="Arial" w:hAnsi="Arial" w:cs="Arial"/>
          <w:b/>
          <w:bCs/>
          <w:sz w:val="20"/>
          <w:szCs w:val="20"/>
          <w:lang w:val="el-GR"/>
        </w:rPr>
        <w:t>7</w:t>
      </w:r>
      <w:r w:rsidRPr="0032033F">
        <w:rPr>
          <w:rFonts w:ascii="Arial" w:hAnsi="Arial" w:cs="Arial"/>
          <w:b/>
          <w:bCs/>
          <w:sz w:val="20"/>
          <w:szCs w:val="20"/>
          <w:lang w:val="el-GR"/>
        </w:rPr>
        <w:t>.1</w:t>
      </w:r>
      <w:r w:rsidR="00967D08" w:rsidRPr="0032033F">
        <w:rPr>
          <w:rFonts w:ascii="Arial" w:hAnsi="Arial" w:cs="Arial"/>
          <w:b/>
          <w:bCs/>
          <w:sz w:val="20"/>
          <w:szCs w:val="20"/>
          <w:lang w:val="el-GR"/>
        </w:rPr>
        <w:t>0</w:t>
      </w:r>
      <w:r w:rsidRPr="0032033F">
        <w:rPr>
          <w:rFonts w:ascii="Arial" w:hAnsi="Arial" w:cs="Arial"/>
          <w:b/>
          <w:bCs/>
          <w:sz w:val="20"/>
          <w:szCs w:val="20"/>
          <w:lang w:val="el-GR"/>
        </w:rPr>
        <w:t>.202</w:t>
      </w:r>
      <w:r w:rsidR="00967D08" w:rsidRPr="0032033F">
        <w:rPr>
          <w:rFonts w:ascii="Arial" w:hAnsi="Arial" w:cs="Arial"/>
          <w:b/>
          <w:bCs/>
          <w:sz w:val="20"/>
          <w:szCs w:val="20"/>
          <w:lang w:val="el-GR"/>
        </w:rPr>
        <w:t>4</w:t>
      </w:r>
      <w:r w:rsidRPr="0032033F">
        <w:rPr>
          <w:rFonts w:ascii="Arial" w:hAnsi="Arial" w:cs="Arial"/>
          <w:sz w:val="20"/>
          <w:szCs w:val="20"/>
          <w:lang w:val="el-GR"/>
        </w:rPr>
        <w:t xml:space="preserve">. Η ημερομηνία έναρξης της περιόδου διαπραγμάτευσης και άσκησης των δικαιωμάτων προτίμησης είναι η </w:t>
      </w:r>
      <w:r w:rsidR="002B5398" w:rsidRPr="002B5398">
        <w:rPr>
          <w:rFonts w:ascii="Arial" w:hAnsi="Arial" w:cs="Arial"/>
          <w:b/>
          <w:bCs/>
          <w:sz w:val="20"/>
          <w:szCs w:val="20"/>
          <w:lang w:val="el-GR"/>
        </w:rPr>
        <w:t>21</w:t>
      </w:r>
      <w:r w:rsidRPr="0032033F">
        <w:rPr>
          <w:rFonts w:ascii="Arial" w:hAnsi="Arial" w:cs="Arial"/>
          <w:b/>
          <w:bCs/>
          <w:sz w:val="20"/>
          <w:szCs w:val="20"/>
          <w:lang w:val="el-GR"/>
        </w:rPr>
        <w:t>.1</w:t>
      </w:r>
      <w:r w:rsidR="00967D08" w:rsidRPr="0032033F">
        <w:rPr>
          <w:rFonts w:ascii="Arial" w:hAnsi="Arial" w:cs="Arial"/>
          <w:b/>
          <w:bCs/>
          <w:sz w:val="20"/>
          <w:szCs w:val="20"/>
          <w:lang w:val="el-GR"/>
        </w:rPr>
        <w:t>0</w:t>
      </w:r>
      <w:r w:rsidRPr="0032033F">
        <w:rPr>
          <w:rFonts w:ascii="Arial" w:hAnsi="Arial" w:cs="Arial"/>
          <w:b/>
          <w:bCs/>
          <w:sz w:val="20"/>
          <w:szCs w:val="20"/>
          <w:lang w:val="el-GR"/>
        </w:rPr>
        <w:t>.202</w:t>
      </w:r>
      <w:r w:rsidR="00967D08" w:rsidRPr="0032033F">
        <w:rPr>
          <w:rFonts w:ascii="Arial" w:hAnsi="Arial" w:cs="Arial"/>
          <w:b/>
          <w:bCs/>
          <w:sz w:val="20"/>
          <w:szCs w:val="20"/>
          <w:lang w:val="el-GR"/>
        </w:rPr>
        <w:t>4</w:t>
      </w:r>
      <w:r w:rsidRPr="0032033F">
        <w:rPr>
          <w:rFonts w:ascii="Arial" w:hAnsi="Arial" w:cs="Arial"/>
          <w:sz w:val="20"/>
          <w:szCs w:val="20"/>
          <w:lang w:val="el-GR"/>
        </w:rPr>
        <w:t xml:space="preserve">, ενώ ως ημερομηνία λήξης της περιόδου διαπραγμάτευσης των δικαιωμάτων προτίμησης έχει οριστεί η </w:t>
      </w:r>
      <w:r w:rsidR="002B5398" w:rsidRPr="002B5398">
        <w:rPr>
          <w:rFonts w:ascii="Arial" w:hAnsi="Arial" w:cs="Arial"/>
          <w:b/>
          <w:bCs/>
          <w:sz w:val="20"/>
          <w:szCs w:val="20"/>
          <w:lang w:val="el-GR"/>
        </w:rPr>
        <w:t>30</w:t>
      </w:r>
      <w:r w:rsidRPr="0032033F">
        <w:rPr>
          <w:rFonts w:ascii="Arial" w:hAnsi="Arial" w:cs="Arial"/>
          <w:b/>
          <w:bCs/>
          <w:sz w:val="20"/>
          <w:szCs w:val="20"/>
          <w:lang w:val="el-GR"/>
        </w:rPr>
        <w:t>.</w:t>
      </w:r>
      <w:r w:rsidR="00967D08" w:rsidRPr="0032033F">
        <w:rPr>
          <w:rFonts w:ascii="Arial" w:hAnsi="Arial" w:cs="Arial"/>
          <w:b/>
          <w:bCs/>
          <w:sz w:val="20"/>
          <w:szCs w:val="20"/>
          <w:lang w:val="el-GR"/>
        </w:rPr>
        <w:t>10</w:t>
      </w:r>
      <w:r w:rsidRPr="0032033F">
        <w:rPr>
          <w:rFonts w:ascii="Arial" w:hAnsi="Arial" w:cs="Arial"/>
          <w:b/>
          <w:bCs/>
          <w:sz w:val="20"/>
          <w:szCs w:val="20"/>
          <w:lang w:val="el-GR"/>
        </w:rPr>
        <w:t>.202</w:t>
      </w:r>
      <w:r w:rsidR="00967D08" w:rsidRPr="0032033F">
        <w:rPr>
          <w:rFonts w:ascii="Arial" w:hAnsi="Arial" w:cs="Arial"/>
          <w:b/>
          <w:bCs/>
          <w:sz w:val="20"/>
          <w:szCs w:val="20"/>
          <w:lang w:val="el-GR"/>
        </w:rPr>
        <w:t>4</w:t>
      </w:r>
      <w:r w:rsidRPr="0032033F">
        <w:rPr>
          <w:rFonts w:ascii="Arial" w:hAnsi="Arial" w:cs="Arial"/>
          <w:sz w:val="20"/>
          <w:szCs w:val="20"/>
          <w:lang w:val="el-GR"/>
        </w:rPr>
        <w:t xml:space="preserve"> και ως ημερομηνίας λήξης της περιόδου άσκησης δικαιωμάτων προτίμησης η </w:t>
      </w:r>
      <w:r w:rsidR="002B5398" w:rsidRPr="002B5398">
        <w:rPr>
          <w:rFonts w:ascii="Arial" w:hAnsi="Arial" w:cs="Arial"/>
          <w:b/>
          <w:bCs/>
          <w:sz w:val="20"/>
          <w:szCs w:val="20"/>
          <w:lang w:val="el-GR"/>
        </w:rPr>
        <w:t>04</w:t>
      </w:r>
      <w:r w:rsidRPr="0032033F">
        <w:rPr>
          <w:rFonts w:ascii="Arial" w:hAnsi="Arial" w:cs="Arial"/>
          <w:b/>
          <w:bCs/>
          <w:sz w:val="20"/>
          <w:szCs w:val="20"/>
          <w:lang w:val="el-GR"/>
        </w:rPr>
        <w:t>.</w:t>
      </w:r>
      <w:r w:rsidR="002B5398" w:rsidRPr="002B5398">
        <w:rPr>
          <w:rFonts w:ascii="Arial" w:hAnsi="Arial" w:cs="Arial"/>
          <w:b/>
          <w:bCs/>
          <w:sz w:val="20"/>
          <w:szCs w:val="20"/>
          <w:lang w:val="el-GR"/>
        </w:rPr>
        <w:t>11</w:t>
      </w:r>
      <w:r w:rsidRPr="0032033F">
        <w:rPr>
          <w:rFonts w:ascii="Arial" w:hAnsi="Arial" w:cs="Arial"/>
          <w:b/>
          <w:bCs/>
          <w:sz w:val="20"/>
          <w:szCs w:val="20"/>
          <w:lang w:val="el-GR"/>
        </w:rPr>
        <w:t>.202</w:t>
      </w:r>
      <w:r w:rsidR="00967D08" w:rsidRPr="0032033F">
        <w:rPr>
          <w:rFonts w:ascii="Arial" w:hAnsi="Arial" w:cs="Arial"/>
          <w:b/>
          <w:bCs/>
          <w:sz w:val="20"/>
          <w:szCs w:val="20"/>
          <w:lang w:val="el-GR"/>
        </w:rPr>
        <w:t>4</w:t>
      </w:r>
      <w:r w:rsidRPr="0032033F">
        <w:rPr>
          <w:rFonts w:ascii="Arial" w:hAnsi="Arial" w:cs="Arial"/>
          <w:sz w:val="20"/>
          <w:szCs w:val="20"/>
          <w:lang w:val="el-GR"/>
        </w:rPr>
        <w:t xml:space="preserve">. </w:t>
      </w:r>
    </w:p>
    <w:p w14:paraId="78B12335" w14:textId="77777777" w:rsidR="00BB259C" w:rsidRPr="0032033F" w:rsidRDefault="00BB259C" w:rsidP="00075628">
      <w:pPr>
        <w:spacing w:line="360" w:lineRule="auto"/>
        <w:jc w:val="both"/>
        <w:rPr>
          <w:rFonts w:ascii="Arial" w:hAnsi="Arial" w:cs="Arial"/>
          <w:sz w:val="20"/>
          <w:szCs w:val="20"/>
          <w:lang w:val="el-GR"/>
        </w:rPr>
      </w:pPr>
      <w:r w:rsidRPr="0032033F">
        <w:rPr>
          <w:rFonts w:ascii="Arial" w:hAnsi="Arial" w:cs="Arial"/>
          <w:sz w:val="20"/>
          <w:szCs w:val="20"/>
          <w:lang w:val="el-GR"/>
        </w:rPr>
        <w:t>Η διαδικασία άσκησης δικαιωμάτων προτίμησης θα είναι η ακόλουθη:</w:t>
      </w:r>
    </w:p>
    <w:p w14:paraId="3EA09A38" w14:textId="7AFD5554" w:rsidR="0015600D" w:rsidRPr="0032033F" w:rsidRDefault="0015600D"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Τα δικαιώματα προτίμησης για την απόκτηση Νέων Μετοχών</w:t>
      </w:r>
      <w:r w:rsidR="00967D08" w:rsidRPr="0032033F">
        <w:rPr>
          <w:rFonts w:ascii="Arial" w:hAnsi="Arial" w:cs="Arial"/>
          <w:sz w:val="20"/>
          <w:szCs w:val="20"/>
        </w:rPr>
        <w:t xml:space="preserve"> ΑΜΚ</w:t>
      </w:r>
      <w:r w:rsidRPr="0032033F">
        <w:rPr>
          <w:rFonts w:ascii="Arial" w:hAnsi="Arial" w:cs="Arial"/>
          <w:sz w:val="20"/>
          <w:szCs w:val="20"/>
        </w:rPr>
        <w:t xml:space="preserve"> είναι ελεύθερα μεταβιβάσιμα και θα αποτελούν αντικείμενο διαπραγμάτευσης στο Χ.Α. Τα δικαιώματα θα είναι </w:t>
      </w:r>
      <w:proofErr w:type="spellStart"/>
      <w:r w:rsidRPr="0032033F">
        <w:rPr>
          <w:rFonts w:ascii="Arial" w:hAnsi="Arial" w:cs="Arial"/>
          <w:sz w:val="20"/>
          <w:szCs w:val="20"/>
        </w:rPr>
        <w:t>πιστωμένα</w:t>
      </w:r>
      <w:proofErr w:type="spellEnd"/>
      <w:r w:rsidRPr="0032033F">
        <w:rPr>
          <w:rFonts w:ascii="Arial" w:hAnsi="Arial" w:cs="Arial"/>
          <w:sz w:val="20"/>
          <w:szCs w:val="20"/>
        </w:rPr>
        <w:t xml:space="preserve"> στους λογαριασμούς </w:t>
      </w:r>
      <w:r w:rsidR="00AB1F9E" w:rsidRPr="0032033F">
        <w:rPr>
          <w:rFonts w:ascii="Arial" w:hAnsi="Arial" w:cs="Arial"/>
          <w:sz w:val="20"/>
          <w:szCs w:val="20"/>
        </w:rPr>
        <w:t>της μερίδας</w:t>
      </w:r>
      <w:r w:rsidRPr="0032033F">
        <w:rPr>
          <w:rFonts w:ascii="Arial" w:hAnsi="Arial" w:cs="Arial"/>
          <w:sz w:val="20"/>
          <w:szCs w:val="20"/>
        </w:rPr>
        <w:t xml:space="preserve"> </w:t>
      </w:r>
      <w:r w:rsidR="0017153A" w:rsidRPr="0032033F">
        <w:rPr>
          <w:rFonts w:ascii="Arial" w:hAnsi="Arial" w:cs="Arial"/>
          <w:sz w:val="20"/>
          <w:szCs w:val="20"/>
        </w:rPr>
        <w:t xml:space="preserve">κάθε δικαιούχου </w:t>
      </w:r>
      <w:r w:rsidRPr="0032033F">
        <w:rPr>
          <w:rFonts w:ascii="Arial" w:hAnsi="Arial" w:cs="Arial"/>
          <w:sz w:val="20"/>
          <w:szCs w:val="20"/>
        </w:rPr>
        <w:t>στο Σ.Α.Τ.</w:t>
      </w:r>
      <w:r w:rsidR="008A79FA" w:rsidRPr="0032033F">
        <w:rPr>
          <w:rFonts w:ascii="Arial" w:hAnsi="Arial" w:cs="Arial"/>
          <w:sz w:val="20"/>
          <w:szCs w:val="20"/>
        </w:rPr>
        <w:t xml:space="preserve"> κατά</w:t>
      </w:r>
      <w:r w:rsidRPr="0032033F">
        <w:rPr>
          <w:rFonts w:ascii="Arial" w:hAnsi="Arial" w:cs="Arial"/>
          <w:sz w:val="20"/>
          <w:szCs w:val="20"/>
        </w:rPr>
        <w:t xml:space="preserve"> την ημερομηνία έναρξης διαπραγμάτευσής τους. Επισημαίνεται, ότι η διαπραγμάτευση των δικαιωμάτων προτίμησης δεν θα είναι δυνατή τις τελευταίες τρεις (3) εργάσιμες ημέρες πριν από τη λήξη της περιόδου άσκησής τους. Ως λήξη της διαπραγμάτευσης των δικαιωμάτων στο ηλεκτρονικό σύστημα συναλλαγών του Χ.Α. ορίζεται η λήξη της συνεδρίασης της </w:t>
      </w:r>
      <w:r w:rsidR="00836268" w:rsidRPr="00836268">
        <w:rPr>
          <w:rFonts w:ascii="Arial" w:hAnsi="Arial" w:cs="Arial"/>
          <w:sz w:val="20"/>
          <w:szCs w:val="20"/>
        </w:rPr>
        <w:t>30</w:t>
      </w:r>
      <w:r w:rsidRPr="0032033F">
        <w:rPr>
          <w:rFonts w:ascii="Arial" w:hAnsi="Arial" w:cs="Arial"/>
          <w:sz w:val="20"/>
          <w:szCs w:val="20"/>
        </w:rPr>
        <w:t>.</w:t>
      </w:r>
      <w:r w:rsidR="00967D08" w:rsidRPr="0032033F">
        <w:rPr>
          <w:rFonts w:ascii="Arial" w:hAnsi="Arial" w:cs="Arial"/>
          <w:sz w:val="20"/>
          <w:szCs w:val="20"/>
        </w:rPr>
        <w:t>10</w:t>
      </w:r>
      <w:r w:rsidRPr="0032033F">
        <w:rPr>
          <w:rFonts w:ascii="Arial" w:hAnsi="Arial" w:cs="Arial"/>
          <w:sz w:val="20"/>
          <w:szCs w:val="20"/>
        </w:rPr>
        <w:t>.202</w:t>
      </w:r>
      <w:r w:rsidR="00967D08" w:rsidRPr="0032033F">
        <w:rPr>
          <w:rFonts w:ascii="Arial" w:hAnsi="Arial" w:cs="Arial"/>
          <w:sz w:val="20"/>
          <w:szCs w:val="20"/>
        </w:rPr>
        <w:t>4</w:t>
      </w:r>
      <w:r w:rsidRPr="0032033F">
        <w:rPr>
          <w:rFonts w:ascii="Arial" w:hAnsi="Arial" w:cs="Arial"/>
          <w:sz w:val="20"/>
          <w:szCs w:val="20"/>
        </w:rPr>
        <w:t>.</w:t>
      </w:r>
    </w:p>
    <w:p w14:paraId="32493AD3" w14:textId="77777777" w:rsidR="00BB259C" w:rsidRPr="0032033F" w:rsidRDefault="00BB259C"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Τα δικαιώματα προτίμησης θα ασκηθούν κατά τις εργάσιμες ημέρες και ώρες, καθ’ όλη τη διάρκεια της περιόδου άσκησης των δικαιωμάτων προτίμησης, μέσω τ</w:t>
      </w:r>
      <w:r w:rsidR="004E7247" w:rsidRPr="0032033F">
        <w:rPr>
          <w:rFonts w:ascii="Arial" w:hAnsi="Arial" w:cs="Arial"/>
          <w:sz w:val="20"/>
          <w:szCs w:val="20"/>
        </w:rPr>
        <w:t>ου δικτύου</w:t>
      </w:r>
      <w:r w:rsidRPr="0032033F">
        <w:rPr>
          <w:rFonts w:ascii="Arial" w:hAnsi="Arial" w:cs="Arial"/>
          <w:sz w:val="20"/>
          <w:szCs w:val="20"/>
        </w:rPr>
        <w:t xml:space="preserve"> </w:t>
      </w:r>
      <w:r w:rsidR="004E7247" w:rsidRPr="0032033F">
        <w:rPr>
          <w:rFonts w:ascii="Arial" w:hAnsi="Arial" w:cs="Arial"/>
          <w:sz w:val="20"/>
          <w:szCs w:val="20"/>
        </w:rPr>
        <w:t xml:space="preserve">καταστημάτων της Τράπεζας ή των </w:t>
      </w:r>
      <w:r w:rsidRPr="0032033F">
        <w:rPr>
          <w:rFonts w:ascii="Arial" w:hAnsi="Arial" w:cs="Arial"/>
          <w:sz w:val="20"/>
          <w:szCs w:val="20"/>
        </w:rPr>
        <w:t xml:space="preserve">Συμμετεχόντων των λογαριασμών αξιογράφων των μετόχων (Α.Ε.Π.Ε.Υ. ή θεματοφυλακή τράπεζας), με την υποβολή αίτησης προς αυτούς. </w:t>
      </w:r>
    </w:p>
    <w:p w14:paraId="3E627A62" w14:textId="77777777" w:rsidR="00BB259C" w:rsidRPr="0032033F" w:rsidRDefault="004F3A8D"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Το</w:t>
      </w:r>
      <w:r w:rsidR="00BB259C" w:rsidRPr="0032033F">
        <w:rPr>
          <w:rFonts w:ascii="Arial" w:hAnsi="Arial" w:cs="Arial"/>
          <w:sz w:val="20"/>
          <w:szCs w:val="20"/>
        </w:rPr>
        <w:t xml:space="preserve"> συνολικό αντίτιμο των Νέων Μετοχών</w:t>
      </w:r>
      <w:r w:rsidR="00090730" w:rsidRPr="0032033F">
        <w:rPr>
          <w:rFonts w:ascii="Arial" w:hAnsi="Arial" w:cs="Arial"/>
          <w:sz w:val="20"/>
          <w:szCs w:val="20"/>
        </w:rPr>
        <w:t xml:space="preserve"> ΑΜΚ</w:t>
      </w:r>
      <w:r w:rsidR="00BB259C" w:rsidRPr="0032033F">
        <w:rPr>
          <w:rFonts w:ascii="Arial" w:hAnsi="Arial" w:cs="Arial"/>
          <w:sz w:val="20"/>
          <w:szCs w:val="20"/>
        </w:rPr>
        <w:t xml:space="preserve"> που αντιστοιχούν στο ασκούμενο δικαίωμα προτίμησής θα πρέπει να έχει πιστωθεί κατά τη λήξη της προθεσμίας άσκησης των δικαιωμάτων προτίμησης (με μέριμνα του ασκούντος μετόχου ή του Συμμετέχοντα μέσω του οποίου ασκεί τα δικαιώματα προτίμησης, </w:t>
      </w:r>
      <w:r w:rsidR="001819DA" w:rsidRPr="0032033F">
        <w:rPr>
          <w:rFonts w:ascii="Arial" w:hAnsi="Arial" w:cs="Arial"/>
          <w:sz w:val="20"/>
          <w:szCs w:val="20"/>
        </w:rPr>
        <w:t xml:space="preserve">κατά </w:t>
      </w:r>
      <w:r w:rsidR="00BB259C" w:rsidRPr="0032033F">
        <w:rPr>
          <w:rFonts w:ascii="Arial" w:hAnsi="Arial" w:cs="Arial"/>
          <w:sz w:val="20"/>
          <w:szCs w:val="20"/>
        </w:rPr>
        <w:t xml:space="preserve">περίπτωση) στον ειδικό λογαριασμό που έχει ανοιχθεί για την </w:t>
      </w:r>
      <w:r w:rsidR="001819DA" w:rsidRPr="0032033F">
        <w:rPr>
          <w:rFonts w:ascii="Arial" w:hAnsi="Arial" w:cs="Arial"/>
          <w:sz w:val="20"/>
          <w:szCs w:val="20"/>
        </w:rPr>
        <w:t>Αύξηση</w:t>
      </w:r>
      <w:r w:rsidR="00BB259C" w:rsidRPr="0032033F">
        <w:rPr>
          <w:rFonts w:ascii="Arial" w:hAnsi="Arial" w:cs="Arial"/>
          <w:sz w:val="20"/>
          <w:szCs w:val="20"/>
        </w:rPr>
        <w:t xml:space="preserve"> στην Τράπεζα, άλλως η άσκηση των αντίστοιχων δικαιωμάτων προτίμησης θα θεωρείται ως μη γεγενημένη.</w:t>
      </w:r>
      <w:r w:rsidR="00090730" w:rsidRPr="0032033F">
        <w:rPr>
          <w:rFonts w:ascii="Arial" w:hAnsi="Arial" w:cs="Arial"/>
          <w:sz w:val="20"/>
          <w:szCs w:val="20"/>
        </w:rPr>
        <w:t xml:space="preserve"> Η λήξη της προθεσμίας άσκησης των δικαιωμάτων προτίμησης αποτελεί και την προθεσμία εμπρόθεσμης καταβολής του συνολικού αντιτίμου των νέων μετοχών που αντιστοιχούν στο ασκούμενο δικαίωμα προτίμησης κατά τους όρους του άρθρου 20 του ν. 4548/2018.</w:t>
      </w:r>
    </w:p>
    <w:p w14:paraId="62FDD140" w14:textId="77777777" w:rsidR="00090730" w:rsidRPr="0032033F" w:rsidRDefault="00BB259C"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Μετά την άσκηση των δικαιωμάτων προτίμησης τους, οι εγγραφόμενοι θα λαμβάνουν σχετική απόδειξη, η οποία δεν αποτελεί προσωρινό τίτλο και δεν είναι διαπραγματεύσιμη ή μεταβιβάσιμη.</w:t>
      </w:r>
    </w:p>
    <w:p w14:paraId="3E516150" w14:textId="77777777" w:rsidR="00090730" w:rsidRPr="0032033F" w:rsidRDefault="00BB259C"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Σε περίπτωση περισσοτέρων της μίας εγγραφής από το ίδιο πρόσωπο με βάση τα καταγεγραμμένα στοιχεία στο Σ.Α.Τ., το σύνολο των εν λόγω εγγραφών θα αντιμετωπίζεται ως ενιαία εγγραφή.</w:t>
      </w:r>
    </w:p>
    <w:p w14:paraId="530F0477" w14:textId="77777777" w:rsidR="00090730" w:rsidRPr="0032033F" w:rsidRDefault="00BB259C"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Τα δικαιώματα προτίμησης, τα οποία δεν θα ασκηθούν μέχρι τη λήξη της σχετικής προθεσμίας για την άσκησή τους αποσβένονται και παύουν να ισχύουν.</w:t>
      </w:r>
    </w:p>
    <w:p w14:paraId="022B313C" w14:textId="77777777" w:rsidR="00090730" w:rsidRPr="0032033F" w:rsidRDefault="00BB259C"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Οι επενδυτές που ασκούν δικαίωμα προτίμησης δεν επιβαρύνονται με κόστη εκκαθάρισης και πίστωσης των Νέων Μετοχών</w:t>
      </w:r>
      <w:r w:rsidR="00090730" w:rsidRPr="0032033F">
        <w:rPr>
          <w:rFonts w:ascii="Arial" w:hAnsi="Arial" w:cs="Arial"/>
          <w:sz w:val="20"/>
          <w:szCs w:val="20"/>
        </w:rPr>
        <w:t xml:space="preserve"> ΑΜΚ</w:t>
      </w:r>
      <w:r w:rsidRPr="0032033F">
        <w:rPr>
          <w:rFonts w:ascii="Arial" w:hAnsi="Arial" w:cs="Arial"/>
          <w:sz w:val="20"/>
          <w:szCs w:val="20"/>
        </w:rPr>
        <w:t xml:space="preserve"> τους και με οποιοδήποτε άλλο κόστος. Για την αγορά δικαιωμάτων προτίμησης ο αγοραστής επιβαρύνεται με τα προβλεπόμενα έξοδα που έχει </w:t>
      </w:r>
      <w:r w:rsidRPr="0032033F">
        <w:rPr>
          <w:rFonts w:ascii="Arial" w:hAnsi="Arial" w:cs="Arial"/>
          <w:sz w:val="20"/>
          <w:szCs w:val="20"/>
        </w:rPr>
        <w:lastRenderedPageBreak/>
        <w:t>συμφωνήσει με την Α.Ε.Π.Ε.Υ. ή την τράπεζα που συνεργάζεται καθώς και με τις χρεώσεις (μεταβιβαστικά) που ισχύουν από την ΕΛ.Κ.Α.Τ.</w:t>
      </w:r>
    </w:p>
    <w:p w14:paraId="4E0C82C5" w14:textId="77777777" w:rsidR="00090730" w:rsidRPr="0032033F" w:rsidRDefault="00BB259C"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Οι Νέες Μετοχές</w:t>
      </w:r>
      <w:r w:rsidR="00090730" w:rsidRPr="0032033F">
        <w:rPr>
          <w:rFonts w:ascii="Arial" w:hAnsi="Arial" w:cs="Arial"/>
          <w:sz w:val="20"/>
          <w:szCs w:val="20"/>
        </w:rPr>
        <w:t xml:space="preserve"> ΑΜΚ</w:t>
      </w:r>
      <w:r w:rsidRPr="0032033F">
        <w:rPr>
          <w:rFonts w:ascii="Arial" w:hAnsi="Arial" w:cs="Arial"/>
          <w:sz w:val="20"/>
          <w:szCs w:val="20"/>
        </w:rPr>
        <w:t>, θα αποδοθούν στους δικαιούχους σε άυλη μορφή με πίστωση στους λογαριασμούς αξιογράφων που τηρούνται στο Σ.Α.Τ., που έχουν δηλωθεί από τους δικαιούχους.</w:t>
      </w:r>
    </w:p>
    <w:p w14:paraId="51018D58" w14:textId="77777777" w:rsidR="00090730" w:rsidRPr="0032033F" w:rsidRDefault="00BB259C"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Δεν θα εκδοθούν κλάσματα μετοχών. Τυχόν κλάσματα μετοχών που αντιστοιχούν στα δικαιώματα προτίμησης που ασκούνται θα αθροίζονται στον αμέσως μικρότερο ακέραιο αριθμό μετοχών ανά δικαιούχο κατά την άσκηση, ενώ δεν θα είναι δυνατή η άσκηση δικαιωμάτων για το τυχόν υπολειπόμενο κλάσμα μετοχής.</w:t>
      </w:r>
    </w:p>
    <w:p w14:paraId="43984847" w14:textId="77777777" w:rsidR="003E7298" w:rsidRPr="0032033F" w:rsidRDefault="00BB259C"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 xml:space="preserve">Σε περίπτωση που για οποιοδήποτε λόγο πρέπει να επιστραφεί στους </w:t>
      </w:r>
      <w:proofErr w:type="spellStart"/>
      <w:r w:rsidRPr="0032033F">
        <w:rPr>
          <w:rFonts w:ascii="Arial" w:hAnsi="Arial" w:cs="Arial"/>
          <w:sz w:val="20"/>
          <w:szCs w:val="20"/>
        </w:rPr>
        <w:t>ασκήσαντες</w:t>
      </w:r>
      <w:proofErr w:type="spellEnd"/>
      <w:r w:rsidRPr="0032033F">
        <w:rPr>
          <w:rFonts w:ascii="Arial" w:hAnsi="Arial" w:cs="Arial"/>
          <w:sz w:val="20"/>
          <w:szCs w:val="20"/>
        </w:rPr>
        <w:t xml:space="preserve"> δικαιώματα προτίμησης το καταβληθέν αντίτιμο των Νέων Μετοχών</w:t>
      </w:r>
      <w:r w:rsidR="00090730" w:rsidRPr="0032033F">
        <w:rPr>
          <w:rFonts w:ascii="Arial" w:hAnsi="Arial" w:cs="Arial"/>
          <w:sz w:val="20"/>
          <w:szCs w:val="20"/>
        </w:rPr>
        <w:t xml:space="preserve"> ΑΜΚ</w:t>
      </w:r>
      <w:r w:rsidRPr="0032033F">
        <w:rPr>
          <w:rFonts w:ascii="Arial" w:hAnsi="Arial" w:cs="Arial"/>
          <w:sz w:val="20"/>
          <w:szCs w:val="20"/>
        </w:rPr>
        <w:t>, αυτό θα επιστρέφεται ατόκως</w:t>
      </w:r>
      <w:r w:rsidR="00090730" w:rsidRPr="0032033F">
        <w:rPr>
          <w:rFonts w:ascii="Arial" w:hAnsi="Arial" w:cs="Arial"/>
          <w:sz w:val="20"/>
          <w:szCs w:val="20"/>
        </w:rPr>
        <w:t>.</w:t>
      </w:r>
    </w:p>
    <w:p w14:paraId="11486318" w14:textId="44D5BFAF" w:rsidR="004B7D45" w:rsidRPr="00B36FCA" w:rsidRDefault="004B7D45" w:rsidP="00B36FCA">
      <w:pPr>
        <w:spacing w:line="360" w:lineRule="auto"/>
        <w:jc w:val="both"/>
        <w:rPr>
          <w:rFonts w:ascii="Arial" w:hAnsi="Arial" w:cs="Arial"/>
          <w:sz w:val="20"/>
          <w:szCs w:val="20"/>
          <w:lang w:val="el-GR"/>
        </w:rPr>
      </w:pPr>
      <w:r w:rsidRPr="00B36FCA">
        <w:rPr>
          <w:rFonts w:ascii="Arial" w:hAnsi="Arial" w:cs="Arial"/>
          <w:sz w:val="20"/>
          <w:szCs w:val="20"/>
          <w:lang w:val="el-GR"/>
        </w:rPr>
        <w:t xml:space="preserve">Σημειώνεται ότι </w:t>
      </w:r>
      <w:r w:rsidRPr="00B36FCA">
        <w:rPr>
          <w:rFonts w:ascii="Arial" w:hAnsi="Arial" w:cs="Arial"/>
          <w:sz w:val="20"/>
          <w:szCs w:val="20"/>
        </w:rPr>
        <w:t>o</w:t>
      </w:r>
      <w:r w:rsidRPr="00B36FCA">
        <w:rPr>
          <w:rFonts w:ascii="Arial" w:hAnsi="Arial" w:cs="Arial"/>
          <w:sz w:val="20"/>
          <w:szCs w:val="20"/>
          <w:lang w:val="el-GR"/>
        </w:rPr>
        <w:t xml:space="preserve">ι μέτοχοι της Παγκρήτια </w:t>
      </w:r>
      <w:r w:rsidRPr="00B36FCA">
        <w:rPr>
          <w:rFonts w:ascii="Arial" w:hAnsi="Arial" w:cs="Arial"/>
          <w:sz w:val="20"/>
          <w:szCs w:val="20"/>
        </w:rPr>
        <w:t>T</w:t>
      </w:r>
      <w:proofErr w:type="spellStart"/>
      <w:r w:rsidRPr="00B36FCA">
        <w:rPr>
          <w:rFonts w:ascii="Arial" w:hAnsi="Arial" w:cs="Arial"/>
          <w:sz w:val="20"/>
          <w:szCs w:val="20"/>
          <w:lang w:val="el-GR"/>
        </w:rPr>
        <w:t>ράπεζα</w:t>
      </w:r>
      <w:proofErr w:type="spellEnd"/>
      <w:r w:rsidRPr="00B36FCA">
        <w:rPr>
          <w:rFonts w:ascii="Arial" w:hAnsi="Arial" w:cs="Arial"/>
          <w:sz w:val="20"/>
          <w:szCs w:val="20"/>
          <w:lang w:val="el-GR"/>
        </w:rPr>
        <w:t xml:space="preserve"> Α.Ε. που έγιναν μέτοχοι της Τράπεζας ως αποτέλεσμα της συγχώνευσης των δύο πιστωτικών ιδρυμάτων και δεν έχουν γνωστοποιήσει στην Τράπεζα (ή, προγενέστερα, την Παγκρήτια Τράπεζα Α.Ε.) τα στοιχεία της μερίδας και του λογαριασμού αξιογράφων τους στο </w:t>
      </w:r>
      <w:r w:rsidR="00424A56">
        <w:rPr>
          <w:rFonts w:ascii="Arial" w:hAnsi="Arial" w:cs="Arial"/>
          <w:sz w:val="20"/>
          <w:szCs w:val="20"/>
          <w:lang w:val="el-GR"/>
        </w:rPr>
        <w:t>Σ.Α.Τ</w:t>
      </w:r>
      <w:r w:rsidRPr="00B36FCA">
        <w:rPr>
          <w:rFonts w:ascii="Arial" w:hAnsi="Arial" w:cs="Arial"/>
          <w:sz w:val="20"/>
          <w:szCs w:val="20"/>
          <w:lang w:val="el-GR"/>
        </w:rPr>
        <w:t xml:space="preserve">, με αποτέλεσμα οι μετοχές τους να είναι καταχωρημένες στον συγκεντρωτικό λογαριασμό αξιογράφων στη μερίδα </w:t>
      </w:r>
      <w:r w:rsidR="009F17E2">
        <w:rPr>
          <w:rFonts w:ascii="Arial" w:hAnsi="Arial" w:cs="Arial"/>
          <w:sz w:val="20"/>
          <w:szCs w:val="20"/>
          <w:lang w:val="el-GR"/>
        </w:rPr>
        <w:t xml:space="preserve">Εκδότη </w:t>
      </w:r>
      <w:r w:rsidRPr="00B36FCA">
        <w:rPr>
          <w:rFonts w:ascii="Arial" w:hAnsi="Arial" w:cs="Arial"/>
          <w:sz w:val="20"/>
          <w:szCs w:val="20"/>
          <w:lang w:val="el-GR"/>
        </w:rPr>
        <w:t xml:space="preserve">της Τράπεζας στο Σ.Α.Τ., θα πρέπει να μεταφέρουν τις μετοχές τους στο λογαριασμό αξιογράφων τους, προκειμένου να μπορούν να  διαπραγματευτούν ή/και να ασκήσουν τα δικαιώματα προτίμησής τους στην Αύξηση και να αιτηθούν την απόκτηση Τίτλων Κτήσης Μετοχών. Για να πραγματοποιηθεί η μεταφορά των μετοχών τους στους λογαριασμούς αξιογράφων τους, οι εν λόγω μέτοχοι θα </w:t>
      </w:r>
      <w:r w:rsidRPr="00E61017">
        <w:rPr>
          <w:rFonts w:ascii="Arial" w:hAnsi="Arial" w:cs="Arial"/>
          <w:sz w:val="20"/>
          <w:szCs w:val="20"/>
          <w:lang w:val="el-GR"/>
        </w:rPr>
        <w:t xml:space="preserve">πρέπει να γνωστοποιήσουν στην Τράπεζα τα στοιχεία της μερίδας και του λογαριασμού αξιογράφων τους στο Σ.Α.Τ. και να δώσουν εντολή προς τον </w:t>
      </w:r>
      <w:proofErr w:type="spellStart"/>
      <w:r w:rsidRPr="00E61017">
        <w:rPr>
          <w:rFonts w:ascii="Arial" w:hAnsi="Arial" w:cs="Arial"/>
          <w:sz w:val="20"/>
          <w:szCs w:val="20"/>
          <w:lang w:val="el-GR"/>
        </w:rPr>
        <w:t>Συμμετέχοντά</w:t>
      </w:r>
      <w:proofErr w:type="spellEnd"/>
      <w:r w:rsidRPr="00E61017">
        <w:rPr>
          <w:rFonts w:ascii="Arial" w:hAnsi="Arial" w:cs="Arial"/>
          <w:sz w:val="20"/>
          <w:szCs w:val="20"/>
          <w:lang w:val="el-GR"/>
        </w:rPr>
        <w:t xml:space="preserve"> τους (πιστωτικό ίδρυμα ή επενδυτική εταιρεία) για την αποδοχή της μεταφοράς των μετοχών τους στον λογαριασμό αξιογράφων τους. Με βάση το αναμενόμενο χρονοδιάγραμμα της Αύξησης, οι μεταφορές των μετοχών θα δύνανται να πραγματοποιηθούν </w:t>
      </w:r>
      <w:r w:rsidR="00424A56" w:rsidRPr="00E61017">
        <w:rPr>
          <w:rFonts w:ascii="Arial" w:hAnsi="Arial" w:cs="Arial"/>
          <w:sz w:val="20"/>
          <w:szCs w:val="20"/>
          <w:lang w:val="el-GR"/>
        </w:rPr>
        <w:t>με ημερομηνία διακανονισμού συναλλαγών μεταφοράς έως τις 1</w:t>
      </w:r>
      <w:r w:rsidR="00071912" w:rsidRPr="00E61017">
        <w:rPr>
          <w:rFonts w:ascii="Arial" w:hAnsi="Arial" w:cs="Arial"/>
          <w:sz w:val="20"/>
          <w:szCs w:val="20"/>
          <w:lang w:val="el-GR"/>
        </w:rPr>
        <w:t>7</w:t>
      </w:r>
      <w:r w:rsidR="00424A56" w:rsidRPr="00E61017">
        <w:rPr>
          <w:rFonts w:ascii="Arial" w:hAnsi="Arial" w:cs="Arial"/>
          <w:sz w:val="20"/>
          <w:szCs w:val="20"/>
          <w:lang w:val="el-GR"/>
        </w:rPr>
        <w:t xml:space="preserve"> Οκτωβρίου 2024, </w:t>
      </w:r>
      <w:r w:rsidRPr="00E61017">
        <w:rPr>
          <w:rFonts w:ascii="Arial" w:hAnsi="Arial" w:cs="Arial"/>
          <w:sz w:val="20"/>
          <w:szCs w:val="20"/>
          <w:lang w:val="el-GR"/>
        </w:rPr>
        <w:t>λόγω της προσωρινής παύσης διαπραγμάτευσης</w:t>
      </w:r>
      <w:r w:rsidR="00424A56" w:rsidRPr="00E61017">
        <w:rPr>
          <w:rFonts w:ascii="Arial" w:hAnsi="Arial" w:cs="Arial"/>
          <w:sz w:val="20"/>
          <w:szCs w:val="20"/>
          <w:lang w:val="el-GR"/>
        </w:rPr>
        <w:t xml:space="preserve"> κατά την περίοδο από 1</w:t>
      </w:r>
      <w:r w:rsidR="00071912" w:rsidRPr="00E61017">
        <w:rPr>
          <w:rFonts w:ascii="Arial" w:hAnsi="Arial" w:cs="Arial"/>
          <w:sz w:val="20"/>
          <w:szCs w:val="20"/>
          <w:lang w:val="el-GR"/>
        </w:rPr>
        <w:t>6</w:t>
      </w:r>
      <w:r w:rsidR="00424A56" w:rsidRPr="00E61017">
        <w:rPr>
          <w:rFonts w:ascii="Arial" w:hAnsi="Arial" w:cs="Arial"/>
          <w:sz w:val="20"/>
          <w:szCs w:val="20"/>
          <w:lang w:val="el-GR"/>
        </w:rPr>
        <w:t xml:space="preserve"> Οκτωβρίου 2024 έως 1</w:t>
      </w:r>
      <w:r w:rsidR="00071912" w:rsidRPr="00E61017">
        <w:rPr>
          <w:rFonts w:ascii="Arial" w:hAnsi="Arial" w:cs="Arial"/>
          <w:sz w:val="20"/>
          <w:szCs w:val="20"/>
          <w:lang w:val="el-GR"/>
        </w:rPr>
        <w:t>8</w:t>
      </w:r>
      <w:r w:rsidR="00424A56" w:rsidRPr="00E61017">
        <w:rPr>
          <w:rFonts w:ascii="Arial" w:hAnsi="Arial" w:cs="Arial"/>
          <w:sz w:val="20"/>
          <w:szCs w:val="20"/>
          <w:lang w:val="el-GR"/>
        </w:rPr>
        <w:t xml:space="preserve"> Οκτωβρίου 2024,</w:t>
      </w:r>
      <w:r w:rsidRPr="00E61017">
        <w:rPr>
          <w:rFonts w:ascii="Arial" w:hAnsi="Arial" w:cs="Arial"/>
          <w:sz w:val="20"/>
          <w:szCs w:val="20"/>
          <w:lang w:val="el-GR"/>
        </w:rPr>
        <w:t xml:space="preserve"> στο πλαίσιο του </w:t>
      </w:r>
      <w:r w:rsidRPr="00E61017">
        <w:rPr>
          <w:rFonts w:ascii="Arial" w:hAnsi="Arial" w:cs="Arial"/>
          <w:sz w:val="20"/>
          <w:szCs w:val="20"/>
        </w:rPr>
        <w:t>Reverse</w:t>
      </w:r>
      <w:r w:rsidRPr="00E61017">
        <w:rPr>
          <w:rFonts w:ascii="Arial" w:hAnsi="Arial" w:cs="Arial"/>
          <w:sz w:val="20"/>
          <w:szCs w:val="20"/>
          <w:lang w:val="el-GR"/>
        </w:rPr>
        <w:t xml:space="preserve"> </w:t>
      </w:r>
      <w:r w:rsidRPr="00E61017">
        <w:rPr>
          <w:rFonts w:ascii="Arial" w:hAnsi="Arial" w:cs="Arial"/>
          <w:sz w:val="20"/>
          <w:szCs w:val="20"/>
        </w:rPr>
        <w:t>Split</w:t>
      </w:r>
      <w:r w:rsidRPr="00E61017">
        <w:rPr>
          <w:rFonts w:ascii="Arial" w:hAnsi="Arial" w:cs="Arial"/>
          <w:sz w:val="20"/>
          <w:szCs w:val="20"/>
          <w:lang w:val="el-GR"/>
        </w:rPr>
        <w:t xml:space="preserve"> στις υφιστάμενες μετοχές της Τράπεζας. Αναφορικά με μετόχους οι οποίοι γνωστοποιούν στην Τράπεζα τα στοιχεία τους</w:t>
      </w:r>
      <w:r w:rsidR="00372640" w:rsidRPr="00E61017">
        <w:rPr>
          <w:rFonts w:ascii="Arial" w:hAnsi="Arial" w:cs="Arial"/>
          <w:sz w:val="20"/>
          <w:szCs w:val="20"/>
          <w:lang w:val="el-GR"/>
        </w:rPr>
        <w:t xml:space="preserve">, και δίνουν τις σχετικές εντολές προς τους </w:t>
      </w:r>
      <w:proofErr w:type="spellStart"/>
      <w:r w:rsidR="00372640" w:rsidRPr="00E61017">
        <w:rPr>
          <w:rFonts w:ascii="Arial" w:hAnsi="Arial" w:cs="Arial"/>
          <w:sz w:val="20"/>
          <w:szCs w:val="20"/>
          <w:lang w:val="el-GR"/>
        </w:rPr>
        <w:t>Συμμετέχοντές</w:t>
      </w:r>
      <w:proofErr w:type="spellEnd"/>
      <w:r w:rsidR="00372640" w:rsidRPr="00E61017">
        <w:rPr>
          <w:rFonts w:ascii="Arial" w:hAnsi="Arial" w:cs="Arial"/>
          <w:sz w:val="20"/>
          <w:szCs w:val="20"/>
          <w:lang w:val="el-GR"/>
        </w:rPr>
        <w:t xml:space="preserve"> τους</w:t>
      </w:r>
      <w:r w:rsidRPr="00E61017">
        <w:rPr>
          <w:rFonts w:ascii="Arial" w:hAnsi="Arial" w:cs="Arial"/>
          <w:sz w:val="20"/>
          <w:szCs w:val="20"/>
          <w:lang w:val="el-GR"/>
        </w:rPr>
        <w:t>, σύμφωνα με τα παραπάνω, μετά τις 1</w:t>
      </w:r>
      <w:r w:rsidR="00071912" w:rsidRPr="00E61017">
        <w:rPr>
          <w:rFonts w:ascii="Arial" w:hAnsi="Arial" w:cs="Arial"/>
          <w:sz w:val="20"/>
          <w:szCs w:val="20"/>
          <w:lang w:val="el-GR"/>
        </w:rPr>
        <w:t>4</w:t>
      </w:r>
      <w:r w:rsidRPr="00E61017">
        <w:rPr>
          <w:rFonts w:ascii="Arial" w:hAnsi="Arial" w:cs="Arial"/>
          <w:sz w:val="20"/>
          <w:szCs w:val="20"/>
          <w:lang w:val="el-GR"/>
        </w:rPr>
        <w:t xml:space="preserve"> Οκτωβρίου 2024, η Τράπεζα θα δώσει εντολή για τη μεταφορά των μετοχών τους (και των σχετικών δικαιωμάτων προτίμησης</w:t>
      </w:r>
      <w:r w:rsidR="00372640" w:rsidRPr="00E61017">
        <w:rPr>
          <w:rFonts w:ascii="Arial" w:hAnsi="Arial" w:cs="Arial"/>
          <w:sz w:val="20"/>
          <w:szCs w:val="20"/>
          <w:lang w:val="el-GR"/>
        </w:rPr>
        <w:t>)</w:t>
      </w:r>
      <w:r w:rsidRPr="00E61017">
        <w:rPr>
          <w:rFonts w:ascii="Arial" w:hAnsi="Arial" w:cs="Arial"/>
          <w:sz w:val="20"/>
          <w:szCs w:val="20"/>
          <w:lang w:val="el-GR"/>
        </w:rPr>
        <w:t xml:space="preserve"> </w:t>
      </w:r>
      <w:r w:rsidR="00372640" w:rsidRPr="00E61017">
        <w:rPr>
          <w:rFonts w:ascii="Arial" w:hAnsi="Arial" w:cs="Arial"/>
          <w:sz w:val="20"/>
          <w:szCs w:val="20"/>
          <w:lang w:val="el-GR"/>
        </w:rPr>
        <w:t>μετά</w:t>
      </w:r>
      <w:r w:rsidR="00424A56" w:rsidRPr="00E61017">
        <w:rPr>
          <w:rFonts w:ascii="Arial" w:hAnsi="Arial" w:cs="Arial"/>
          <w:sz w:val="20"/>
          <w:szCs w:val="20"/>
          <w:lang w:val="el-GR"/>
        </w:rPr>
        <w:t xml:space="preserve"> </w:t>
      </w:r>
      <w:r w:rsidRPr="00E61017">
        <w:rPr>
          <w:rFonts w:ascii="Arial" w:hAnsi="Arial" w:cs="Arial"/>
          <w:sz w:val="20"/>
          <w:szCs w:val="20"/>
          <w:lang w:val="el-GR"/>
        </w:rPr>
        <w:t xml:space="preserve">τις </w:t>
      </w:r>
      <w:r w:rsidR="002A60E5" w:rsidRPr="00E61017">
        <w:rPr>
          <w:rFonts w:ascii="Arial" w:hAnsi="Arial" w:cs="Arial"/>
          <w:sz w:val="20"/>
          <w:szCs w:val="20"/>
          <w:lang w:val="el-GR"/>
        </w:rPr>
        <w:t>21</w:t>
      </w:r>
      <w:r w:rsidRPr="00E61017">
        <w:rPr>
          <w:rFonts w:ascii="Arial" w:hAnsi="Arial" w:cs="Arial"/>
          <w:sz w:val="20"/>
          <w:szCs w:val="20"/>
          <w:lang w:val="el-GR"/>
        </w:rPr>
        <w:t xml:space="preserve"> Οκτωβρίου 2024, χωρίς να μπορεί να παρασχεθεί διαβεβαίωση ότι οι εν λόγω μεταφορές θα έχουν ολοκληρωθεί πριν από τη λήξη της περιόδου διαπραγμάτευσης ή άσκησης των δικαιωμάτων προτίμησης.</w:t>
      </w:r>
      <w:r w:rsidRPr="00B36FCA">
        <w:rPr>
          <w:rFonts w:ascii="Arial" w:hAnsi="Arial" w:cs="Arial"/>
          <w:sz w:val="20"/>
          <w:szCs w:val="20"/>
          <w:lang w:val="el-GR"/>
        </w:rPr>
        <w:t xml:space="preserve"> </w:t>
      </w:r>
    </w:p>
    <w:p w14:paraId="4419A76E" w14:textId="5C225D9B" w:rsidR="00805C95" w:rsidRPr="0032033F" w:rsidRDefault="00805C95" w:rsidP="00075628">
      <w:pPr>
        <w:spacing w:line="360" w:lineRule="auto"/>
        <w:jc w:val="both"/>
        <w:rPr>
          <w:rFonts w:ascii="Arial" w:hAnsi="Arial" w:cs="Arial"/>
          <w:b/>
          <w:bCs/>
          <w:sz w:val="20"/>
          <w:szCs w:val="20"/>
          <w:lang w:val="el-GR"/>
        </w:rPr>
      </w:pPr>
      <w:r w:rsidRPr="0032033F">
        <w:rPr>
          <w:rFonts w:ascii="Arial" w:hAnsi="Arial" w:cs="Arial"/>
          <w:b/>
          <w:bCs/>
          <w:sz w:val="20"/>
          <w:szCs w:val="20"/>
          <w:lang w:val="el-GR"/>
        </w:rPr>
        <w:t>(Β) ΤΙΤΛΟΙ ΚΤΗΣΗΣ ΜΕΤΟΧΩΝ</w:t>
      </w:r>
    </w:p>
    <w:p w14:paraId="2739066C" w14:textId="77777777" w:rsidR="00B8404A" w:rsidRPr="0032033F" w:rsidRDefault="00F6599B" w:rsidP="00075628">
      <w:pPr>
        <w:spacing w:line="360" w:lineRule="auto"/>
        <w:jc w:val="both"/>
        <w:rPr>
          <w:rFonts w:ascii="Arial" w:hAnsi="Arial" w:cs="Arial"/>
          <w:sz w:val="20"/>
          <w:szCs w:val="20"/>
          <w:lang w:val="el-GR"/>
        </w:rPr>
      </w:pPr>
      <w:r w:rsidRPr="0032033F">
        <w:rPr>
          <w:rFonts w:ascii="Arial" w:hAnsi="Arial" w:cs="Arial"/>
          <w:sz w:val="20"/>
          <w:szCs w:val="20"/>
          <w:lang w:val="el-GR"/>
        </w:rPr>
        <w:t xml:space="preserve">Παράλληλα με τις Νέες Μετοχές ΑΜΚ, από την Τράπεζα προσφέρονται </w:t>
      </w:r>
      <w:r w:rsidR="00805C95" w:rsidRPr="0032033F">
        <w:rPr>
          <w:rFonts w:ascii="Arial" w:hAnsi="Arial" w:cs="Arial"/>
          <w:sz w:val="20"/>
          <w:szCs w:val="20"/>
          <w:lang w:val="el-GR"/>
        </w:rPr>
        <w:t>έως 359.469.360 Τίτλοι Κτήσης Μετοχών</w:t>
      </w:r>
      <w:r w:rsidRPr="0032033F">
        <w:rPr>
          <w:rFonts w:ascii="Arial" w:hAnsi="Arial" w:cs="Arial"/>
          <w:sz w:val="20"/>
          <w:szCs w:val="20"/>
          <w:lang w:val="el-GR"/>
        </w:rPr>
        <w:t>, καθένας από τους οποίους θα παρέχει στο δικαιούχο του το δικαίωμα απόκτησης τρεισήμισι (3,5) νέων κοινών ονομαστικών μετοχών (ονομαστικής αξίας €0,05 εκάστης) της Τράπεζας, σε τιμή ίση με €0,05 ανά νέα μετοχή (η «</w:t>
      </w:r>
      <w:r w:rsidRPr="0032033F">
        <w:rPr>
          <w:rFonts w:ascii="Arial" w:hAnsi="Arial" w:cs="Arial"/>
          <w:b/>
          <w:bCs/>
          <w:sz w:val="20"/>
          <w:szCs w:val="20"/>
          <w:lang w:val="el-GR"/>
        </w:rPr>
        <w:t>Τιμή Άσκησης</w:t>
      </w:r>
      <w:r w:rsidRPr="0032033F">
        <w:rPr>
          <w:rFonts w:ascii="Arial" w:hAnsi="Arial" w:cs="Arial"/>
          <w:sz w:val="20"/>
          <w:szCs w:val="20"/>
          <w:lang w:val="el-GR"/>
        </w:rPr>
        <w:t xml:space="preserve">»). </w:t>
      </w:r>
    </w:p>
    <w:p w14:paraId="51B82072" w14:textId="77777777" w:rsidR="00B8404A" w:rsidRPr="0032033F" w:rsidRDefault="00F6599B" w:rsidP="00075628">
      <w:pPr>
        <w:spacing w:line="360" w:lineRule="auto"/>
        <w:jc w:val="both"/>
        <w:rPr>
          <w:rFonts w:ascii="Arial" w:hAnsi="Arial" w:cs="Arial"/>
          <w:sz w:val="20"/>
          <w:szCs w:val="20"/>
          <w:lang w:val="el-GR"/>
        </w:rPr>
      </w:pPr>
      <w:r w:rsidRPr="0032033F">
        <w:rPr>
          <w:rFonts w:ascii="Arial" w:hAnsi="Arial" w:cs="Arial"/>
          <w:sz w:val="20"/>
          <w:szCs w:val="20"/>
          <w:lang w:val="el-GR"/>
        </w:rPr>
        <w:lastRenderedPageBreak/>
        <w:t xml:space="preserve">Οι Τίτλοι Κτήσης Μετοχών </w:t>
      </w:r>
      <w:r w:rsidR="00805C95" w:rsidRPr="0032033F">
        <w:rPr>
          <w:rFonts w:ascii="Arial" w:hAnsi="Arial" w:cs="Arial"/>
          <w:sz w:val="20"/>
          <w:szCs w:val="20"/>
          <w:lang w:val="el-GR"/>
        </w:rPr>
        <w:t>δεν θα εισαχθούν προς διαπραγμάτευση στην Ρυθμιζόμενη Αγορά Αξιών του Χ.Α.</w:t>
      </w:r>
      <w:r w:rsidRPr="0032033F">
        <w:rPr>
          <w:rFonts w:ascii="Arial" w:hAnsi="Arial" w:cs="Arial"/>
          <w:sz w:val="20"/>
          <w:szCs w:val="20"/>
          <w:lang w:val="el-GR"/>
        </w:rPr>
        <w:t xml:space="preserve"> ή άλλη αγορά διαπραγμάτευσης</w:t>
      </w:r>
      <w:r w:rsidR="00B8404A" w:rsidRPr="0032033F">
        <w:rPr>
          <w:rFonts w:ascii="Arial" w:hAnsi="Arial" w:cs="Arial"/>
          <w:sz w:val="20"/>
          <w:szCs w:val="20"/>
          <w:lang w:val="el-GR"/>
        </w:rPr>
        <w:t xml:space="preserve">, και </w:t>
      </w:r>
      <w:r w:rsidR="00805C95" w:rsidRPr="0032033F">
        <w:rPr>
          <w:rFonts w:ascii="Arial" w:hAnsi="Arial" w:cs="Arial"/>
          <w:sz w:val="20"/>
          <w:szCs w:val="20"/>
          <w:lang w:val="el-GR"/>
        </w:rPr>
        <w:t>προσφέρονται χωρίς αντάλλαγμα σε επενδυτές που εγγράφονται και θα τους κατανεμηθούν Νέες Μετοχές ΑΜΚ στο πλαίσιο της Αύξησης. Η εγγραφή για μία Νέα Μετοχή ΑΜΚ δίνει το δικαίωμα κατανομής ενός Τίτλου</w:t>
      </w:r>
      <w:r w:rsidRPr="0032033F">
        <w:rPr>
          <w:rFonts w:ascii="Arial" w:hAnsi="Arial" w:cs="Arial"/>
          <w:sz w:val="20"/>
          <w:szCs w:val="20"/>
          <w:lang w:val="el-GR"/>
        </w:rPr>
        <w:t xml:space="preserve"> Κτήσης Μετοχών, εφόσον ο δικαιούχος υποβάλλει αίτηση για την απόκτησή του</w:t>
      </w:r>
      <w:r w:rsidR="00805C95" w:rsidRPr="0032033F">
        <w:rPr>
          <w:rFonts w:ascii="Arial" w:hAnsi="Arial" w:cs="Arial"/>
          <w:sz w:val="20"/>
          <w:szCs w:val="20"/>
          <w:lang w:val="el-GR"/>
        </w:rPr>
        <w:t>.</w:t>
      </w:r>
      <w:r w:rsidRPr="0032033F">
        <w:rPr>
          <w:rFonts w:ascii="Arial" w:hAnsi="Arial" w:cs="Arial"/>
          <w:sz w:val="20"/>
          <w:szCs w:val="20"/>
          <w:lang w:val="el-GR"/>
        </w:rPr>
        <w:t xml:space="preserve"> Επενδυτές οι οποίοι συμμετέχουν στην Αύξηση και δεν υποβάλλουν αίτηση για την απόκτηση Τ</w:t>
      </w:r>
      <w:r w:rsidR="00E528C0" w:rsidRPr="0032033F">
        <w:rPr>
          <w:rFonts w:ascii="Arial" w:hAnsi="Arial" w:cs="Arial"/>
          <w:sz w:val="20"/>
          <w:szCs w:val="20"/>
          <w:lang w:val="el-GR"/>
        </w:rPr>
        <w:t>ίτλων</w:t>
      </w:r>
      <w:r w:rsidRPr="0032033F">
        <w:rPr>
          <w:rFonts w:ascii="Arial" w:hAnsi="Arial" w:cs="Arial"/>
          <w:sz w:val="20"/>
          <w:szCs w:val="20"/>
          <w:lang w:val="el-GR"/>
        </w:rPr>
        <w:t xml:space="preserve"> Κτήσης Μετοχών δεν θα λάβουν Τίτλους Κτήσης Μετοχών.</w:t>
      </w:r>
      <w:r w:rsidR="00805C95" w:rsidRPr="0032033F">
        <w:rPr>
          <w:rFonts w:ascii="Arial" w:hAnsi="Arial" w:cs="Arial"/>
          <w:sz w:val="20"/>
          <w:szCs w:val="20"/>
          <w:lang w:val="el-GR"/>
        </w:rPr>
        <w:t xml:space="preserve"> </w:t>
      </w:r>
    </w:p>
    <w:p w14:paraId="1FC18CA2" w14:textId="77777777" w:rsidR="00A21156" w:rsidRPr="0032033F" w:rsidRDefault="00A21156" w:rsidP="00075628">
      <w:pPr>
        <w:spacing w:line="360" w:lineRule="auto"/>
        <w:jc w:val="both"/>
        <w:rPr>
          <w:rFonts w:ascii="Arial" w:hAnsi="Arial" w:cs="Arial"/>
          <w:sz w:val="20"/>
          <w:szCs w:val="20"/>
          <w:lang w:val="el-GR"/>
        </w:rPr>
      </w:pPr>
      <w:r w:rsidRPr="0032033F">
        <w:rPr>
          <w:rFonts w:ascii="Arial" w:hAnsi="Arial" w:cs="Arial"/>
          <w:sz w:val="20"/>
          <w:szCs w:val="20"/>
          <w:lang w:val="el-GR"/>
        </w:rPr>
        <w:t xml:space="preserve">Οι κάτοχοι Τίτλων Κτήσης Μετοχών δύνανται </w:t>
      </w:r>
      <w:r w:rsidR="00F6599B" w:rsidRPr="0032033F">
        <w:rPr>
          <w:rFonts w:ascii="Arial" w:hAnsi="Arial" w:cs="Arial"/>
          <w:sz w:val="20"/>
          <w:szCs w:val="20"/>
          <w:lang w:val="el-GR"/>
        </w:rPr>
        <w:t>να ασκήσουν τους Τίτλους Κτήσης Μετοχών που θα τους κατανεμηθούν από την ημέρα έκδοσης αυτών και για περίοδο είκοσι (20) ημερών από την ανωτέρω ημέρα (η «</w:t>
      </w:r>
      <w:r w:rsidR="00F6599B" w:rsidRPr="0032033F">
        <w:rPr>
          <w:rFonts w:ascii="Arial" w:hAnsi="Arial" w:cs="Arial"/>
          <w:b/>
          <w:bCs/>
          <w:sz w:val="20"/>
          <w:szCs w:val="20"/>
          <w:lang w:val="el-GR"/>
        </w:rPr>
        <w:t>Περίοδος Ενάσκησης</w:t>
      </w:r>
      <w:r w:rsidR="00F6599B" w:rsidRPr="0032033F">
        <w:rPr>
          <w:rFonts w:ascii="Arial" w:hAnsi="Arial" w:cs="Arial"/>
          <w:sz w:val="20"/>
          <w:szCs w:val="20"/>
          <w:lang w:val="el-GR"/>
        </w:rPr>
        <w:t>»). Η Περίοδος Ενάσκησης δύναται να παραταθεί με απόφαση του Διοικητικού Συμβουλίου της Τράπεζας.</w:t>
      </w:r>
    </w:p>
    <w:p w14:paraId="5F3CE6CF" w14:textId="77777777" w:rsidR="00471C9A" w:rsidRPr="00B36FCA" w:rsidRDefault="00805C95" w:rsidP="00075628">
      <w:pPr>
        <w:spacing w:line="360" w:lineRule="auto"/>
        <w:jc w:val="both"/>
        <w:rPr>
          <w:rFonts w:ascii="Arial" w:hAnsi="Arial" w:cs="Arial"/>
          <w:sz w:val="20"/>
          <w:szCs w:val="20"/>
          <w:lang w:val="el-GR"/>
        </w:rPr>
      </w:pPr>
      <w:r w:rsidRPr="0032033F">
        <w:rPr>
          <w:rFonts w:ascii="Arial" w:hAnsi="Arial" w:cs="Arial"/>
          <w:sz w:val="20"/>
          <w:szCs w:val="20"/>
          <w:lang w:val="el-GR"/>
        </w:rPr>
        <w:t xml:space="preserve">Μετά την ενάσκηση των Τίτλων </w:t>
      </w:r>
      <w:r w:rsidR="00F6599B" w:rsidRPr="0032033F">
        <w:rPr>
          <w:rFonts w:ascii="Arial" w:hAnsi="Arial" w:cs="Arial"/>
          <w:sz w:val="20"/>
          <w:szCs w:val="20"/>
          <w:lang w:val="el-GR"/>
        </w:rPr>
        <w:t xml:space="preserve">Κτήσης Μετοχών </w:t>
      </w:r>
      <w:r w:rsidRPr="0032033F">
        <w:rPr>
          <w:rFonts w:ascii="Arial" w:hAnsi="Arial" w:cs="Arial"/>
          <w:sz w:val="20"/>
          <w:szCs w:val="20"/>
          <w:lang w:val="el-GR"/>
        </w:rPr>
        <w:t xml:space="preserve">από τους κατόχους τους, </w:t>
      </w:r>
      <w:r w:rsidR="00F6599B" w:rsidRPr="0032033F">
        <w:rPr>
          <w:rFonts w:ascii="Arial" w:hAnsi="Arial" w:cs="Arial"/>
          <w:sz w:val="20"/>
          <w:szCs w:val="20"/>
          <w:lang w:val="el-GR"/>
        </w:rPr>
        <w:t xml:space="preserve">υπό την παραδοχή της έκδοσης και άσκησης του συνόλου αυτών και εφόσον δεν προκύψουν κλασματικά, </w:t>
      </w:r>
      <w:r w:rsidRPr="0032033F">
        <w:rPr>
          <w:rFonts w:ascii="Arial" w:hAnsi="Arial" w:cs="Arial"/>
          <w:sz w:val="20"/>
          <w:szCs w:val="20"/>
          <w:lang w:val="el-GR"/>
        </w:rPr>
        <w:t>θα εκδοθούν 1.258.142.760 νέες κοινές ονομαστικές μετοχές, ονομαστική</w:t>
      </w:r>
      <w:r w:rsidR="00B8404A" w:rsidRPr="0032033F">
        <w:rPr>
          <w:rFonts w:ascii="Arial" w:hAnsi="Arial" w:cs="Arial"/>
          <w:sz w:val="20"/>
          <w:szCs w:val="20"/>
          <w:lang w:val="el-GR"/>
        </w:rPr>
        <w:t>ς</w:t>
      </w:r>
      <w:r w:rsidRPr="0032033F">
        <w:rPr>
          <w:rFonts w:ascii="Arial" w:hAnsi="Arial" w:cs="Arial"/>
          <w:sz w:val="20"/>
          <w:szCs w:val="20"/>
          <w:lang w:val="el-GR"/>
        </w:rPr>
        <w:t xml:space="preserve"> αξία</w:t>
      </w:r>
      <w:r w:rsidR="00B8404A" w:rsidRPr="0032033F">
        <w:rPr>
          <w:rFonts w:ascii="Arial" w:hAnsi="Arial" w:cs="Arial"/>
          <w:sz w:val="20"/>
          <w:szCs w:val="20"/>
          <w:lang w:val="el-GR"/>
        </w:rPr>
        <w:t>ς</w:t>
      </w:r>
      <w:r w:rsidRPr="0032033F">
        <w:rPr>
          <w:rFonts w:ascii="Arial" w:hAnsi="Arial" w:cs="Arial"/>
          <w:sz w:val="20"/>
          <w:szCs w:val="20"/>
          <w:lang w:val="el-GR"/>
        </w:rPr>
        <w:t xml:space="preserve"> € 0,05 </w:t>
      </w:r>
      <w:r w:rsidR="00B8404A" w:rsidRPr="0032033F">
        <w:rPr>
          <w:rFonts w:ascii="Arial" w:hAnsi="Arial" w:cs="Arial"/>
          <w:sz w:val="20"/>
          <w:szCs w:val="20"/>
          <w:lang w:val="el-GR"/>
        </w:rPr>
        <w:t xml:space="preserve">έκαστη, και το κεφάλαιο της Τράπεζας θα ισούται με </w:t>
      </w:r>
      <w:r w:rsidR="008822A2" w:rsidRPr="0032033F">
        <w:rPr>
          <w:rFonts w:ascii="Arial" w:hAnsi="Arial" w:cs="Arial"/>
          <w:sz w:val="20"/>
          <w:szCs w:val="20"/>
          <w:lang w:val="el-GR"/>
        </w:rPr>
        <w:t>€80.907.138,2</w:t>
      </w:r>
      <w:r w:rsidR="005A0CC7" w:rsidRPr="0032033F">
        <w:rPr>
          <w:rFonts w:ascii="Arial" w:hAnsi="Arial" w:cs="Arial"/>
          <w:sz w:val="20"/>
          <w:szCs w:val="20"/>
          <w:lang w:val="el-GR"/>
        </w:rPr>
        <w:t>0</w:t>
      </w:r>
      <w:r w:rsidR="00B8404A" w:rsidRPr="0032033F">
        <w:rPr>
          <w:rFonts w:ascii="Arial" w:hAnsi="Arial" w:cs="Arial"/>
          <w:sz w:val="20"/>
          <w:szCs w:val="20"/>
          <w:lang w:val="el-GR"/>
        </w:rPr>
        <w:t xml:space="preserve"> διαιρούμενο σε </w:t>
      </w:r>
      <w:r w:rsidR="008822A2" w:rsidRPr="0032033F">
        <w:rPr>
          <w:rFonts w:ascii="Arial" w:hAnsi="Arial" w:cs="Arial"/>
          <w:sz w:val="20"/>
          <w:szCs w:val="20"/>
          <w:lang w:val="el-GR"/>
        </w:rPr>
        <w:t xml:space="preserve">1.618.142.764 </w:t>
      </w:r>
      <w:r w:rsidR="00B8404A" w:rsidRPr="0032033F">
        <w:rPr>
          <w:rFonts w:ascii="Arial" w:hAnsi="Arial" w:cs="Arial"/>
          <w:sz w:val="20"/>
          <w:szCs w:val="20"/>
          <w:lang w:val="el-GR"/>
        </w:rPr>
        <w:t>κοινές, ονομαστικές, μετά ψήφου μετοχές, ονομαστικής αξίας €0,05 η καθεμία. Οι μετοχές της Τράπεζας που θα εκδοθούν από την ενάσκηση των Τίτλων Κτήσης Μετοχών</w:t>
      </w:r>
      <w:r w:rsidRPr="0032033F">
        <w:rPr>
          <w:rFonts w:ascii="Arial" w:hAnsi="Arial" w:cs="Arial"/>
          <w:sz w:val="20"/>
          <w:szCs w:val="20"/>
          <w:lang w:val="el-GR"/>
        </w:rPr>
        <w:t xml:space="preserve"> θα εισαχθούν προς διαπραγμάτευση στην Κύρια Αγορά της Ρυθμιζόμενης Αγοράς Αξιών του Χ.Α.</w:t>
      </w:r>
      <w:r w:rsidR="00B8404A" w:rsidRPr="0032033F">
        <w:rPr>
          <w:rFonts w:ascii="Arial" w:hAnsi="Arial" w:cs="Arial"/>
          <w:sz w:val="20"/>
          <w:szCs w:val="20"/>
          <w:lang w:val="el-GR"/>
        </w:rPr>
        <w:t xml:space="preserve"> μετά την πάροδο της </w:t>
      </w:r>
      <w:r w:rsidR="00C722C5" w:rsidRPr="0032033F">
        <w:rPr>
          <w:rFonts w:ascii="Arial" w:hAnsi="Arial" w:cs="Arial"/>
          <w:sz w:val="20"/>
          <w:szCs w:val="20"/>
          <w:lang w:val="el-GR"/>
        </w:rPr>
        <w:t>Περιόδου</w:t>
      </w:r>
      <w:r w:rsidR="00B8404A" w:rsidRPr="0032033F">
        <w:rPr>
          <w:rFonts w:ascii="Arial" w:hAnsi="Arial" w:cs="Arial"/>
          <w:sz w:val="20"/>
          <w:szCs w:val="20"/>
          <w:lang w:val="el-GR"/>
        </w:rPr>
        <w:t xml:space="preserve"> Ενάσκησης. Τα συνολικά </w:t>
      </w:r>
      <w:proofErr w:type="spellStart"/>
      <w:r w:rsidR="00B8404A" w:rsidRPr="0032033F">
        <w:rPr>
          <w:rFonts w:ascii="Arial" w:hAnsi="Arial" w:cs="Arial"/>
          <w:sz w:val="20"/>
          <w:szCs w:val="20"/>
          <w:lang w:val="el-GR"/>
        </w:rPr>
        <w:t>αντληθέντα</w:t>
      </w:r>
      <w:proofErr w:type="spellEnd"/>
      <w:r w:rsidR="00B8404A" w:rsidRPr="0032033F">
        <w:rPr>
          <w:rFonts w:ascii="Arial" w:hAnsi="Arial" w:cs="Arial"/>
          <w:sz w:val="20"/>
          <w:szCs w:val="20"/>
          <w:lang w:val="el-GR"/>
        </w:rPr>
        <w:t xml:space="preserve"> κεφάλαια από την ενάσκηση των Τίτλων Κτήσης Μετοχών, σε περίπτωση που εκδοθεί και ασκηθεί το σύνολο αυτών, θα ανέλθουν σε ποσό €</w:t>
      </w:r>
      <w:r w:rsidR="005A0CC7" w:rsidRPr="00DD7132">
        <w:rPr>
          <w:rFonts w:ascii="Arial" w:hAnsi="Arial" w:cs="Arial"/>
          <w:sz w:val="20"/>
          <w:szCs w:val="20"/>
          <w:lang w:val="el-GR"/>
        </w:rPr>
        <w:t>62.907.138</w:t>
      </w:r>
      <w:r w:rsidR="00B8404A" w:rsidRPr="0032033F">
        <w:rPr>
          <w:rFonts w:ascii="Arial" w:hAnsi="Arial" w:cs="Arial"/>
          <w:sz w:val="20"/>
          <w:szCs w:val="20"/>
          <w:lang w:val="el-GR"/>
        </w:rPr>
        <w:t>.</w:t>
      </w:r>
    </w:p>
    <w:p w14:paraId="5803D8C6" w14:textId="77777777" w:rsidR="00090730" w:rsidRPr="0032033F" w:rsidRDefault="00090730" w:rsidP="00075628">
      <w:pPr>
        <w:spacing w:line="360" w:lineRule="auto"/>
        <w:jc w:val="both"/>
        <w:rPr>
          <w:rFonts w:ascii="Arial" w:hAnsi="Arial" w:cs="Arial"/>
          <w:b/>
          <w:bCs/>
          <w:sz w:val="20"/>
          <w:szCs w:val="20"/>
          <w:lang w:val="el-GR"/>
        </w:rPr>
      </w:pPr>
      <w:r w:rsidRPr="0032033F">
        <w:rPr>
          <w:rFonts w:ascii="Arial" w:hAnsi="Arial" w:cs="Arial"/>
          <w:b/>
          <w:bCs/>
          <w:sz w:val="20"/>
          <w:szCs w:val="20"/>
          <w:lang w:val="el-GR"/>
        </w:rPr>
        <w:t xml:space="preserve">Διαδικασία </w:t>
      </w:r>
      <w:r w:rsidR="0070698C" w:rsidRPr="0032033F">
        <w:rPr>
          <w:rFonts w:ascii="Arial" w:hAnsi="Arial" w:cs="Arial"/>
          <w:b/>
          <w:bCs/>
          <w:sz w:val="20"/>
          <w:szCs w:val="20"/>
          <w:lang w:val="el-GR"/>
        </w:rPr>
        <w:t>απόκτησης</w:t>
      </w:r>
      <w:r w:rsidRPr="0032033F">
        <w:rPr>
          <w:rFonts w:ascii="Arial" w:hAnsi="Arial" w:cs="Arial"/>
          <w:b/>
          <w:bCs/>
          <w:sz w:val="20"/>
          <w:szCs w:val="20"/>
          <w:lang w:val="el-GR"/>
        </w:rPr>
        <w:t xml:space="preserve"> των Τίτλων</w:t>
      </w:r>
      <w:r w:rsidR="00B8404A" w:rsidRPr="0032033F">
        <w:rPr>
          <w:rFonts w:ascii="Arial" w:hAnsi="Arial" w:cs="Arial"/>
          <w:b/>
          <w:bCs/>
          <w:sz w:val="20"/>
          <w:szCs w:val="20"/>
          <w:lang w:val="el-GR"/>
        </w:rPr>
        <w:t xml:space="preserve"> Κτήσης Μετοχών</w:t>
      </w:r>
    </w:p>
    <w:p w14:paraId="269FF7DA" w14:textId="77777777" w:rsidR="00C332DD" w:rsidRPr="0032033F" w:rsidRDefault="00C332DD" w:rsidP="00075628">
      <w:pPr>
        <w:spacing w:line="360" w:lineRule="auto"/>
        <w:jc w:val="both"/>
        <w:rPr>
          <w:rFonts w:ascii="Arial" w:hAnsi="Arial" w:cs="Arial"/>
          <w:sz w:val="20"/>
          <w:szCs w:val="20"/>
          <w:lang w:val="el-GR"/>
        </w:rPr>
      </w:pPr>
      <w:r w:rsidRPr="0032033F">
        <w:rPr>
          <w:rFonts w:ascii="Arial" w:hAnsi="Arial" w:cs="Arial"/>
          <w:sz w:val="20"/>
          <w:szCs w:val="20"/>
          <w:lang w:val="el-GR"/>
        </w:rPr>
        <w:t xml:space="preserve">Η διαδικασία απόκτησης των Τίτλων </w:t>
      </w:r>
      <w:r w:rsidR="00B8404A" w:rsidRPr="0032033F">
        <w:rPr>
          <w:rFonts w:ascii="Arial" w:hAnsi="Arial" w:cs="Arial"/>
          <w:sz w:val="20"/>
          <w:szCs w:val="20"/>
          <w:lang w:val="el-GR"/>
        </w:rPr>
        <w:t xml:space="preserve">Κτήσης Μετοχών </w:t>
      </w:r>
      <w:r w:rsidRPr="0032033F">
        <w:rPr>
          <w:rFonts w:ascii="Arial" w:hAnsi="Arial" w:cs="Arial"/>
          <w:sz w:val="20"/>
          <w:szCs w:val="20"/>
          <w:lang w:val="el-GR"/>
        </w:rPr>
        <w:t>θα είναι η ακόλουθη:</w:t>
      </w:r>
    </w:p>
    <w:p w14:paraId="61F42A74" w14:textId="0BD7B445" w:rsidR="0070698C" w:rsidRPr="0032033F" w:rsidRDefault="0070698C"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Τα πρόσωπα που εγγράφονται για τις Νέες Μετοχές ΑΜΚ θα έχουν το δικαίωμα να αιτηθούν ταυτόχρονα την απόκτηση Τίτλων</w:t>
      </w:r>
      <w:r w:rsidR="00B8404A" w:rsidRPr="0032033F">
        <w:rPr>
          <w:rFonts w:ascii="Arial" w:hAnsi="Arial" w:cs="Arial"/>
          <w:sz w:val="20"/>
          <w:szCs w:val="20"/>
        </w:rPr>
        <w:t xml:space="preserve"> Κτήσης Μετοχών</w:t>
      </w:r>
      <w:r w:rsidR="00C332DD" w:rsidRPr="0032033F">
        <w:rPr>
          <w:rFonts w:ascii="Arial" w:hAnsi="Arial" w:cs="Arial"/>
          <w:sz w:val="20"/>
          <w:szCs w:val="20"/>
        </w:rPr>
        <w:t xml:space="preserve">, </w:t>
      </w:r>
      <w:r w:rsidRPr="0032033F">
        <w:rPr>
          <w:rFonts w:ascii="Arial" w:hAnsi="Arial" w:cs="Arial"/>
          <w:sz w:val="20"/>
          <w:szCs w:val="20"/>
        </w:rPr>
        <w:t>χωρίς αντάλλαγμα, σε αναλογία 1 Τίτλο</w:t>
      </w:r>
      <w:r w:rsidR="00B8404A" w:rsidRPr="0032033F">
        <w:rPr>
          <w:rFonts w:ascii="Arial" w:hAnsi="Arial" w:cs="Arial"/>
          <w:sz w:val="20"/>
          <w:szCs w:val="20"/>
        </w:rPr>
        <w:t>ς Κτήσης Μετοχών</w:t>
      </w:r>
      <w:r w:rsidRPr="0032033F">
        <w:rPr>
          <w:rFonts w:ascii="Arial" w:hAnsi="Arial" w:cs="Arial"/>
          <w:sz w:val="20"/>
          <w:szCs w:val="20"/>
        </w:rPr>
        <w:t xml:space="preserve"> για κάθε</w:t>
      </w:r>
      <w:r w:rsidR="004E20A6" w:rsidRPr="0032033F">
        <w:rPr>
          <w:rFonts w:ascii="Arial" w:hAnsi="Arial" w:cs="Arial"/>
          <w:sz w:val="20"/>
          <w:szCs w:val="20"/>
        </w:rPr>
        <w:t xml:space="preserve"> 1</w:t>
      </w:r>
      <w:r w:rsidRPr="0032033F">
        <w:rPr>
          <w:rFonts w:ascii="Arial" w:hAnsi="Arial" w:cs="Arial"/>
          <w:sz w:val="20"/>
          <w:szCs w:val="20"/>
        </w:rPr>
        <w:t xml:space="preserve"> Νέα Μετοχή ΑΜΚ </w:t>
      </w:r>
      <w:r w:rsidR="00C332DD" w:rsidRPr="0032033F">
        <w:rPr>
          <w:rFonts w:ascii="Arial" w:hAnsi="Arial" w:cs="Arial"/>
          <w:sz w:val="20"/>
          <w:szCs w:val="20"/>
        </w:rPr>
        <w:t xml:space="preserve">για την οποία </w:t>
      </w:r>
      <w:r w:rsidRPr="0032033F">
        <w:rPr>
          <w:rFonts w:ascii="Arial" w:hAnsi="Arial" w:cs="Arial"/>
          <w:sz w:val="20"/>
          <w:szCs w:val="20"/>
        </w:rPr>
        <w:t>εγγράφονται στην Αύξηση, δηλαδή ο μέγιστος αριθμός Τίτλων</w:t>
      </w:r>
      <w:r w:rsidR="00B8404A" w:rsidRPr="0032033F">
        <w:rPr>
          <w:rFonts w:ascii="Arial" w:hAnsi="Arial" w:cs="Arial"/>
          <w:sz w:val="20"/>
          <w:szCs w:val="20"/>
        </w:rPr>
        <w:t xml:space="preserve"> Κτήσης Μετοχών</w:t>
      </w:r>
      <w:r w:rsidRPr="0032033F">
        <w:rPr>
          <w:rFonts w:ascii="Arial" w:hAnsi="Arial" w:cs="Arial"/>
          <w:sz w:val="20"/>
          <w:szCs w:val="20"/>
        </w:rPr>
        <w:t xml:space="preserve"> που δικαιούται κάθε πρόσωπο θα είναι ίσος με τον αριθμό των Νέων Μετοχών ΑΜΚ για τις οποίες εγγράφ</w:t>
      </w:r>
      <w:r w:rsidR="00C332DD" w:rsidRPr="0032033F">
        <w:rPr>
          <w:rFonts w:ascii="Arial" w:hAnsi="Arial" w:cs="Arial"/>
          <w:sz w:val="20"/>
          <w:szCs w:val="20"/>
        </w:rPr>
        <w:t>εται</w:t>
      </w:r>
      <w:r w:rsidRPr="0032033F">
        <w:rPr>
          <w:rFonts w:ascii="Arial" w:hAnsi="Arial" w:cs="Arial"/>
          <w:sz w:val="20"/>
          <w:szCs w:val="20"/>
        </w:rPr>
        <w:t>. Η προσφορά των Τίτλων</w:t>
      </w:r>
      <w:r w:rsidR="00B8404A" w:rsidRPr="0032033F">
        <w:rPr>
          <w:rFonts w:ascii="Arial" w:hAnsi="Arial" w:cs="Arial"/>
          <w:sz w:val="20"/>
          <w:szCs w:val="20"/>
        </w:rPr>
        <w:t xml:space="preserve"> Κτήσης Μετοχών</w:t>
      </w:r>
      <w:r w:rsidRPr="0032033F">
        <w:rPr>
          <w:rFonts w:ascii="Arial" w:hAnsi="Arial" w:cs="Arial"/>
          <w:sz w:val="20"/>
          <w:szCs w:val="20"/>
        </w:rPr>
        <w:t xml:space="preserve"> θα διεξαχθεί παράλληλα με την περίοδο άσκησης των δικαιωμάτων προτίμησης στην Αύξηση και θα διαρκέσει δεκατέσσερις (14) ημερολογιακές ημέρες</w:t>
      </w:r>
      <w:r w:rsidR="00B8404A" w:rsidRPr="0032033F">
        <w:rPr>
          <w:rFonts w:ascii="Arial" w:hAnsi="Arial" w:cs="Arial"/>
          <w:sz w:val="20"/>
          <w:szCs w:val="20"/>
        </w:rPr>
        <w:t xml:space="preserve">, ήτοι </w:t>
      </w:r>
      <w:r w:rsidR="00B8404A" w:rsidRPr="0032033F">
        <w:rPr>
          <w:rFonts w:ascii="Arial" w:hAnsi="Arial" w:cs="Arial"/>
          <w:b/>
          <w:bCs/>
          <w:sz w:val="20"/>
          <w:szCs w:val="20"/>
        </w:rPr>
        <w:t>από την</w:t>
      </w:r>
      <w:r w:rsidR="00B8404A" w:rsidRPr="0032033F">
        <w:rPr>
          <w:rFonts w:ascii="Arial" w:hAnsi="Arial" w:cs="Arial"/>
          <w:sz w:val="20"/>
          <w:szCs w:val="20"/>
        </w:rPr>
        <w:t xml:space="preserve"> </w:t>
      </w:r>
      <w:r w:rsidR="00987B65" w:rsidRPr="00987B65">
        <w:rPr>
          <w:rFonts w:ascii="Arial" w:hAnsi="Arial" w:cs="Arial"/>
          <w:b/>
          <w:bCs/>
          <w:sz w:val="20"/>
          <w:szCs w:val="20"/>
        </w:rPr>
        <w:t>21</w:t>
      </w:r>
      <w:r w:rsidR="00B8404A" w:rsidRPr="0032033F">
        <w:rPr>
          <w:rFonts w:ascii="Arial" w:hAnsi="Arial" w:cs="Arial"/>
          <w:b/>
          <w:bCs/>
          <w:sz w:val="20"/>
          <w:szCs w:val="20"/>
        </w:rPr>
        <w:t xml:space="preserve">.10.2024 έως την </w:t>
      </w:r>
      <w:r w:rsidR="00987B65" w:rsidRPr="00987B65">
        <w:rPr>
          <w:rFonts w:ascii="Arial" w:hAnsi="Arial" w:cs="Arial"/>
          <w:b/>
          <w:bCs/>
          <w:sz w:val="20"/>
          <w:szCs w:val="20"/>
        </w:rPr>
        <w:t>04</w:t>
      </w:r>
      <w:r w:rsidR="00B8404A" w:rsidRPr="0032033F">
        <w:rPr>
          <w:rFonts w:ascii="Arial" w:hAnsi="Arial" w:cs="Arial"/>
          <w:b/>
          <w:bCs/>
          <w:sz w:val="20"/>
          <w:szCs w:val="20"/>
        </w:rPr>
        <w:t>.</w:t>
      </w:r>
      <w:r w:rsidR="00987B65" w:rsidRPr="00987B65">
        <w:rPr>
          <w:rFonts w:ascii="Arial" w:hAnsi="Arial" w:cs="Arial"/>
          <w:b/>
          <w:bCs/>
          <w:sz w:val="20"/>
          <w:szCs w:val="20"/>
        </w:rPr>
        <w:t>11</w:t>
      </w:r>
      <w:r w:rsidR="00B8404A" w:rsidRPr="0032033F">
        <w:rPr>
          <w:rFonts w:ascii="Arial" w:hAnsi="Arial" w:cs="Arial"/>
          <w:b/>
          <w:bCs/>
          <w:sz w:val="20"/>
          <w:szCs w:val="20"/>
        </w:rPr>
        <w:t>.2024</w:t>
      </w:r>
      <w:r w:rsidRPr="0032033F">
        <w:rPr>
          <w:rFonts w:ascii="Arial" w:hAnsi="Arial" w:cs="Arial"/>
          <w:sz w:val="20"/>
          <w:szCs w:val="20"/>
        </w:rPr>
        <w:t>.</w:t>
      </w:r>
    </w:p>
    <w:p w14:paraId="6F0D902F" w14:textId="77777777" w:rsidR="000A4CD4" w:rsidRPr="0032033F" w:rsidRDefault="000A4CD4"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Η αίτηση</w:t>
      </w:r>
      <w:r w:rsidR="0070698C" w:rsidRPr="0032033F">
        <w:rPr>
          <w:rFonts w:ascii="Arial" w:hAnsi="Arial" w:cs="Arial"/>
          <w:sz w:val="20"/>
          <w:szCs w:val="20"/>
        </w:rPr>
        <w:t xml:space="preserve"> για την απόκτηση Τίτλων</w:t>
      </w:r>
      <w:r w:rsidRPr="0032033F">
        <w:rPr>
          <w:rFonts w:ascii="Arial" w:hAnsi="Arial" w:cs="Arial"/>
          <w:sz w:val="20"/>
          <w:szCs w:val="20"/>
        </w:rPr>
        <w:t xml:space="preserve"> Κτήσης Μετοχών</w:t>
      </w:r>
      <w:r w:rsidR="0070698C" w:rsidRPr="0032033F">
        <w:rPr>
          <w:rFonts w:ascii="Arial" w:hAnsi="Arial" w:cs="Arial"/>
          <w:sz w:val="20"/>
          <w:szCs w:val="20"/>
        </w:rPr>
        <w:t xml:space="preserve"> </w:t>
      </w:r>
      <w:r w:rsidRPr="0032033F">
        <w:rPr>
          <w:rFonts w:ascii="Arial" w:hAnsi="Arial" w:cs="Arial"/>
          <w:sz w:val="20"/>
          <w:szCs w:val="20"/>
        </w:rPr>
        <w:t xml:space="preserve">υποβάλλεται </w:t>
      </w:r>
      <w:r w:rsidR="0070698C" w:rsidRPr="0032033F">
        <w:rPr>
          <w:rFonts w:ascii="Arial" w:hAnsi="Arial" w:cs="Arial"/>
          <w:sz w:val="20"/>
          <w:szCs w:val="20"/>
        </w:rPr>
        <w:t xml:space="preserve">ταυτόχρονα με </w:t>
      </w:r>
      <w:r w:rsidRPr="0032033F">
        <w:rPr>
          <w:rFonts w:ascii="Arial" w:hAnsi="Arial" w:cs="Arial"/>
          <w:sz w:val="20"/>
          <w:szCs w:val="20"/>
        </w:rPr>
        <w:t xml:space="preserve">την άσκηση των δικαιωμάτων </w:t>
      </w:r>
      <w:r w:rsidR="0070698C" w:rsidRPr="0032033F">
        <w:rPr>
          <w:rFonts w:ascii="Arial" w:hAnsi="Arial" w:cs="Arial"/>
          <w:sz w:val="20"/>
          <w:szCs w:val="20"/>
        </w:rPr>
        <w:t xml:space="preserve">προτίμησης για εγγραφή στις Νέες Μετοχές ΑΜΚ κατά τις εργάσιμες ημέρες και ώρες, καθ’ όλη τη διάρκεια της περιόδου ενάσκησής τους, σε καταστήματα της </w:t>
      </w:r>
      <w:r w:rsidR="00166451">
        <w:rPr>
          <w:rFonts w:ascii="Arial" w:hAnsi="Arial" w:cs="Arial"/>
          <w:sz w:val="20"/>
          <w:szCs w:val="20"/>
        </w:rPr>
        <w:t>Τράπεζας</w:t>
      </w:r>
      <w:r w:rsidR="0070698C" w:rsidRPr="0032033F">
        <w:rPr>
          <w:rFonts w:ascii="Arial" w:hAnsi="Arial" w:cs="Arial"/>
          <w:sz w:val="20"/>
          <w:szCs w:val="20"/>
        </w:rPr>
        <w:t xml:space="preserve"> ή μέσω των Συμμετεχόντων στους Λογαριασμούς Αξιών των </w:t>
      </w:r>
      <w:r w:rsidR="00C332DD" w:rsidRPr="0032033F">
        <w:rPr>
          <w:rFonts w:ascii="Arial" w:hAnsi="Arial" w:cs="Arial"/>
          <w:sz w:val="20"/>
          <w:szCs w:val="20"/>
        </w:rPr>
        <w:t>μ</w:t>
      </w:r>
      <w:r w:rsidR="0070698C" w:rsidRPr="0032033F">
        <w:rPr>
          <w:rFonts w:ascii="Arial" w:hAnsi="Arial" w:cs="Arial"/>
          <w:sz w:val="20"/>
          <w:szCs w:val="20"/>
        </w:rPr>
        <w:t xml:space="preserve">ετόχων με την υποβολή σχετικού αιτήματος. </w:t>
      </w:r>
      <w:r w:rsidR="00E26723" w:rsidRPr="0032033F">
        <w:rPr>
          <w:rFonts w:ascii="Arial" w:hAnsi="Arial" w:cs="Arial"/>
          <w:sz w:val="20"/>
          <w:szCs w:val="20"/>
        </w:rPr>
        <w:t xml:space="preserve">Εάν οι επενδυτές δεν υποβάλλουν αίτηση για την απόκτηση </w:t>
      </w:r>
      <w:r w:rsidR="00B8404A" w:rsidRPr="0032033F">
        <w:rPr>
          <w:rFonts w:ascii="Arial" w:hAnsi="Arial" w:cs="Arial"/>
          <w:sz w:val="20"/>
          <w:szCs w:val="20"/>
        </w:rPr>
        <w:t>Τίτλων Κτήσης Μετοχών</w:t>
      </w:r>
      <w:r w:rsidR="00E26723" w:rsidRPr="0032033F">
        <w:rPr>
          <w:rFonts w:ascii="Arial" w:hAnsi="Arial" w:cs="Arial"/>
          <w:sz w:val="20"/>
          <w:szCs w:val="20"/>
        </w:rPr>
        <w:t>, δεν θα τους κατανεμηθούν Τίτλοι</w:t>
      </w:r>
      <w:r w:rsidR="00B8404A" w:rsidRPr="0032033F">
        <w:rPr>
          <w:rFonts w:ascii="Arial" w:hAnsi="Arial" w:cs="Arial"/>
          <w:sz w:val="20"/>
          <w:szCs w:val="20"/>
        </w:rPr>
        <w:t xml:space="preserve"> Κτήσης Μετοχών</w:t>
      </w:r>
      <w:r w:rsidR="00E26723" w:rsidRPr="0032033F">
        <w:rPr>
          <w:rFonts w:ascii="Arial" w:hAnsi="Arial" w:cs="Arial"/>
          <w:sz w:val="20"/>
          <w:szCs w:val="20"/>
        </w:rPr>
        <w:t>.</w:t>
      </w:r>
      <w:r w:rsidRPr="0032033F">
        <w:rPr>
          <w:rFonts w:ascii="Arial" w:hAnsi="Arial" w:cs="Arial"/>
          <w:sz w:val="20"/>
          <w:szCs w:val="20"/>
        </w:rPr>
        <w:t xml:space="preserve"> Σε περίπτωση περισσότερων της μίας αίτησης από το ίδιο πρόσωπο, το σύνολο των εν λόγω αιτήσεων θα θεωρείται ως μία αίτηση.</w:t>
      </w:r>
    </w:p>
    <w:p w14:paraId="7661586D" w14:textId="77777777" w:rsidR="000A4CD4" w:rsidRPr="0032033F" w:rsidRDefault="000A4CD4"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lastRenderedPageBreak/>
        <w:t>Ταυτόχρονα με την αίτηση για απόκτηση Τίτλων Κτήσης Μετοχών, οι επενδυτές θα έχουν την επιλογή (χωρίς να υποχρεούνται) να ασκήσουν τους Τίτλους Κτήσης Μετοχών τους οποίους αιτούνται, καταβάλλοντας την αντίστοιχη Τιμή Άσκησης (ήτοι €0,05 * αριθμό μετοχών στους οποίους αντιστοιχούν οι Τίτλοι Κτήσης Μετοχών τους οποίους αιτούνται), υπό την προϋπόθεση ότι οι Τίτλοι Κτήσης Μετοχών θα εκδοθούν και θα τους κατανεμηθούν</w:t>
      </w:r>
      <w:r w:rsidR="0070698C" w:rsidRPr="0032033F">
        <w:rPr>
          <w:rFonts w:ascii="Arial" w:hAnsi="Arial" w:cs="Arial"/>
          <w:sz w:val="20"/>
          <w:szCs w:val="20"/>
        </w:rPr>
        <w:t xml:space="preserve">. </w:t>
      </w:r>
      <w:r w:rsidR="00E26723" w:rsidRPr="0032033F">
        <w:rPr>
          <w:rFonts w:ascii="Arial" w:hAnsi="Arial" w:cs="Arial"/>
          <w:sz w:val="20"/>
          <w:szCs w:val="20"/>
        </w:rPr>
        <w:t>Εάν για οποιονδήποτε λόγο, η τιμή άσκησης που καταβλήθηκε για την άσκηση των Τίτλων</w:t>
      </w:r>
      <w:r w:rsidR="00A21156" w:rsidRPr="0032033F">
        <w:rPr>
          <w:rFonts w:ascii="Arial" w:hAnsi="Arial" w:cs="Arial"/>
          <w:sz w:val="20"/>
          <w:szCs w:val="20"/>
        </w:rPr>
        <w:t xml:space="preserve"> Κτήσης Μετοχών</w:t>
      </w:r>
      <w:r w:rsidR="00E26723" w:rsidRPr="0032033F">
        <w:rPr>
          <w:rFonts w:ascii="Arial" w:hAnsi="Arial" w:cs="Arial"/>
          <w:sz w:val="20"/>
          <w:szCs w:val="20"/>
        </w:rPr>
        <w:t xml:space="preserve"> πρέπει να επιστραφεί σε όσους άσκησαν τους Τίτλους</w:t>
      </w:r>
      <w:r w:rsidR="00A21156" w:rsidRPr="0032033F">
        <w:rPr>
          <w:rFonts w:ascii="Arial" w:hAnsi="Arial" w:cs="Arial"/>
          <w:sz w:val="20"/>
          <w:szCs w:val="20"/>
        </w:rPr>
        <w:t xml:space="preserve"> Κτήσης Μετοχών</w:t>
      </w:r>
      <w:r w:rsidR="00E26723" w:rsidRPr="0032033F">
        <w:rPr>
          <w:rFonts w:ascii="Arial" w:hAnsi="Arial" w:cs="Arial"/>
          <w:sz w:val="20"/>
          <w:szCs w:val="20"/>
        </w:rPr>
        <w:t>, σύμφωνα με τα ανωτέρω, αυτό θα γίνει άτοκα.</w:t>
      </w:r>
      <w:r w:rsidRPr="0032033F">
        <w:rPr>
          <w:rFonts w:ascii="Arial" w:hAnsi="Arial" w:cs="Arial"/>
          <w:sz w:val="20"/>
          <w:szCs w:val="20"/>
        </w:rPr>
        <w:t xml:space="preserve"> Μετά την άσκηση του δικαιώματος απόκτησης Τίτλων Κτήσης Μετοχών, οι επενδυτές θα λάβουν σχετική απόδειξη, η οποία δεν θα θεωρείται προσωρινός τίτλος αξίας και δεν θα είναι διαπραγματεύσιμη ή μεταβιβάσιμη. </w:t>
      </w:r>
    </w:p>
    <w:p w14:paraId="0F8A4975" w14:textId="77777777" w:rsidR="00C332DD" w:rsidRPr="0032033F" w:rsidRDefault="00C332DD" w:rsidP="00075628">
      <w:pPr>
        <w:pStyle w:val="ListParagraph"/>
        <w:numPr>
          <w:ilvl w:val="0"/>
          <w:numId w:val="3"/>
        </w:numPr>
        <w:spacing w:line="360" w:lineRule="auto"/>
        <w:jc w:val="both"/>
        <w:rPr>
          <w:rFonts w:ascii="Arial" w:hAnsi="Arial" w:cs="Arial"/>
          <w:sz w:val="20"/>
          <w:szCs w:val="20"/>
        </w:rPr>
      </w:pPr>
      <w:r w:rsidRPr="0032033F">
        <w:rPr>
          <w:rFonts w:ascii="Arial" w:hAnsi="Arial" w:cs="Arial"/>
          <w:sz w:val="20"/>
          <w:szCs w:val="20"/>
        </w:rPr>
        <w:t>Μετά το τέλος της περιόδου εγγραφής για τις Νέες Μετοχές ΑΜΚ και τους Τίτλους</w:t>
      </w:r>
      <w:r w:rsidR="000A4CD4" w:rsidRPr="0032033F">
        <w:rPr>
          <w:rFonts w:ascii="Arial" w:hAnsi="Arial" w:cs="Arial"/>
          <w:sz w:val="20"/>
          <w:szCs w:val="20"/>
        </w:rPr>
        <w:t xml:space="preserve"> Κτήσης Μετοχών</w:t>
      </w:r>
      <w:r w:rsidRPr="0032033F">
        <w:rPr>
          <w:rFonts w:ascii="Arial" w:hAnsi="Arial" w:cs="Arial"/>
          <w:sz w:val="20"/>
          <w:szCs w:val="20"/>
        </w:rPr>
        <w:t>, το Διοικητικό Συμβούλιο της Attica Bank θα αποφασίσει για την κατανομή και την έκδοση των Τίτλων</w:t>
      </w:r>
      <w:r w:rsidR="00A21156" w:rsidRPr="0032033F">
        <w:rPr>
          <w:rFonts w:ascii="Arial" w:hAnsi="Arial" w:cs="Arial"/>
          <w:sz w:val="20"/>
          <w:szCs w:val="20"/>
        </w:rPr>
        <w:t xml:space="preserve"> Κτήσης Μετοχών</w:t>
      </w:r>
      <w:r w:rsidRPr="0032033F">
        <w:rPr>
          <w:rFonts w:ascii="Arial" w:hAnsi="Arial" w:cs="Arial"/>
          <w:sz w:val="20"/>
          <w:szCs w:val="20"/>
        </w:rPr>
        <w:t xml:space="preserve"> στους δικαιούχους τους. </w:t>
      </w:r>
    </w:p>
    <w:p w14:paraId="1B9C26BD" w14:textId="7DFA735D" w:rsidR="00C677C3" w:rsidRPr="0032033F" w:rsidRDefault="00C332DD" w:rsidP="00B36FCA">
      <w:pPr>
        <w:pStyle w:val="ListParagraph"/>
        <w:numPr>
          <w:ilvl w:val="0"/>
          <w:numId w:val="3"/>
        </w:numPr>
        <w:spacing w:line="360" w:lineRule="auto"/>
        <w:jc w:val="both"/>
      </w:pPr>
      <w:r w:rsidRPr="0032033F">
        <w:rPr>
          <w:rFonts w:ascii="Arial" w:hAnsi="Arial" w:cs="Arial"/>
          <w:sz w:val="20"/>
          <w:szCs w:val="20"/>
        </w:rPr>
        <w:t>Δεν θα εκδοθούν τίτλοι για τους Τίτλους</w:t>
      </w:r>
      <w:r w:rsidR="000A4CD4" w:rsidRPr="0032033F">
        <w:rPr>
          <w:rFonts w:ascii="Arial" w:hAnsi="Arial" w:cs="Arial"/>
          <w:sz w:val="20"/>
          <w:szCs w:val="20"/>
        </w:rPr>
        <w:t xml:space="preserve"> Κτήσης Μετοχών. </w:t>
      </w:r>
      <w:r w:rsidRPr="0032033F">
        <w:rPr>
          <w:rFonts w:ascii="Arial" w:hAnsi="Arial" w:cs="Arial"/>
          <w:sz w:val="20"/>
          <w:szCs w:val="20"/>
        </w:rPr>
        <w:t xml:space="preserve">Οι δικαιούχοι θα καταχωριστούν στο μητρώο </w:t>
      </w:r>
      <w:r w:rsidR="00A21156" w:rsidRPr="0032033F">
        <w:rPr>
          <w:rFonts w:ascii="Arial" w:hAnsi="Arial" w:cs="Arial"/>
          <w:sz w:val="20"/>
          <w:szCs w:val="20"/>
        </w:rPr>
        <w:t xml:space="preserve">κατόχων </w:t>
      </w:r>
      <w:r w:rsidRPr="0032033F">
        <w:rPr>
          <w:rFonts w:ascii="Arial" w:hAnsi="Arial" w:cs="Arial"/>
          <w:sz w:val="20"/>
          <w:szCs w:val="20"/>
        </w:rPr>
        <w:t>Τίτλων</w:t>
      </w:r>
      <w:r w:rsidR="00A21156" w:rsidRPr="0032033F">
        <w:rPr>
          <w:rFonts w:ascii="Arial" w:hAnsi="Arial" w:cs="Arial"/>
          <w:sz w:val="20"/>
          <w:szCs w:val="20"/>
        </w:rPr>
        <w:t xml:space="preserve"> Κτήσης Μετοχών</w:t>
      </w:r>
      <w:r w:rsidRPr="0032033F">
        <w:rPr>
          <w:rFonts w:ascii="Arial" w:hAnsi="Arial" w:cs="Arial"/>
          <w:sz w:val="20"/>
          <w:szCs w:val="20"/>
        </w:rPr>
        <w:t xml:space="preserve">, το οποίο θα τηρείται και θα ενημερώνεται από </w:t>
      </w:r>
      <w:r w:rsidR="000A4CD4" w:rsidRPr="0032033F">
        <w:rPr>
          <w:rFonts w:ascii="Arial" w:hAnsi="Arial" w:cs="Arial"/>
          <w:sz w:val="20"/>
          <w:szCs w:val="20"/>
        </w:rPr>
        <w:t>την Τράπεζα</w:t>
      </w:r>
      <w:r w:rsidRPr="0032033F">
        <w:rPr>
          <w:rFonts w:ascii="Arial" w:hAnsi="Arial" w:cs="Arial"/>
          <w:sz w:val="20"/>
          <w:szCs w:val="20"/>
        </w:rPr>
        <w:t xml:space="preserve">. Τα πρόσωπα που είναι καταχωρισμένα ως </w:t>
      </w:r>
      <w:r w:rsidR="000A4CD4" w:rsidRPr="0032033F">
        <w:rPr>
          <w:rFonts w:ascii="Arial" w:hAnsi="Arial" w:cs="Arial"/>
          <w:sz w:val="20"/>
          <w:szCs w:val="20"/>
        </w:rPr>
        <w:t>κ</w:t>
      </w:r>
      <w:r w:rsidRPr="0032033F">
        <w:rPr>
          <w:rFonts w:ascii="Arial" w:hAnsi="Arial" w:cs="Arial"/>
          <w:sz w:val="20"/>
          <w:szCs w:val="20"/>
        </w:rPr>
        <w:t xml:space="preserve">άτοχοι Τίτλων </w:t>
      </w:r>
      <w:r w:rsidR="000A4CD4" w:rsidRPr="0032033F">
        <w:rPr>
          <w:rFonts w:ascii="Arial" w:hAnsi="Arial" w:cs="Arial"/>
          <w:sz w:val="20"/>
          <w:szCs w:val="20"/>
        </w:rPr>
        <w:t xml:space="preserve">Κτήσης Μετοχών </w:t>
      </w:r>
      <w:r w:rsidRPr="0032033F">
        <w:rPr>
          <w:rFonts w:ascii="Arial" w:hAnsi="Arial" w:cs="Arial"/>
          <w:sz w:val="20"/>
          <w:szCs w:val="20"/>
        </w:rPr>
        <w:t>στο μητρώο θα θεωρούνται οι νόμιμοι κάτοχοι των Τίτλων έναντι της Attica Bank.</w:t>
      </w:r>
    </w:p>
    <w:p w14:paraId="5086D2DD" w14:textId="77777777" w:rsidR="00EC1CB5" w:rsidRPr="0032033F" w:rsidRDefault="0015600D" w:rsidP="00C677C3">
      <w:pPr>
        <w:spacing w:line="360" w:lineRule="auto"/>
        <w:jc w:val="both"/>
        <w:rPr>
          <w:rFonts w:ascii="Arial" w:hAnsi="Arial" w:cs="Arial"/>
          <w:b/>
          <w:bCs/>
          <w:sz w:val="20"/>
          <w:szCs w:val="20"/>
          <w:lang w:val="el-GR"/>
        </w:rPr>
      </w:pPr>
      <w:r w:rsidRPr="0032033F">
        <w:rPr>
          <w:rFonts w:ascii="Arial" w:hAnsi="Arial" w:cs="Arial"/>
          <w:b/>
          <w:bCs/>
          <w:sz w:val="20"/>
          <w:szCs w:val="20"/>
          <w:lang w:val="el-GR"/>
        </w:rPr>
        <w:t>Δυνατότητα Υπαναχώρησ</w:t>
      </w:r>
      <w:r w:rsidR="00E445F2" w:rsidRPr="0032033F">
        <w:rPr>
          <w:rFonts w:ascii="Arial" w:hAnsi="Arial" w:cs="Arial"/>
          <w:b/>
          <w:bCs/>
          <w:sz w:val="20"/>
          <w:szCs w:val="20"/>
          <w:lang w:val="el-GR"/>
        </w:rPr>
        <w:t>η</w:t>
      </w:r>
      <w:r w:rsidRPr="0032033F">
        <w:rPr>
          <w:rFonts w:ascii="Arial" w:hAnsi="Arial" w:cs="Arial"/>
          <w:b/>
          <w:bCs/>
          <w:sz w:val="20"/>
          <w:szCs w:val="20"/>
          <w:lang w:val="el-GR"/>
        </w:rPr>
        <w:t>ς</w:t>
      </w:r>
      <w:r w:rsidR="00854B44" w:rsidRPr="0032033F">
        <w:rPr>
          <w:rFonts w:ascii="Arial" w:hAnsi="Arial" w:cs="Arial"/>
          <w:b/>
          <w:bCs/>
          <w:sz w:val="20"/>
          <w:szCs w:val="20"/>
          <w:lang w:val="el-GR"/>
        </w:rPr>
        <w:t xml:space="preserve">  </w:t>
      </w:r>
    </w:p>
    <w:p w14:paraId="5F543695" w14:textId="77777777" w:rsidR="00E445F2" w:rsidRPr="0032033F" w:rsidRDefault="00E445F2" w:rsidP="00075628">
      <w:pPr>
        <w:spacing w:line="360" w:lineRule="auto"/>
        <w:jc w:val="both"/>
        <w:rPr>
          <w:rFonts w:ascii="Arial" w:hAnsi="Arial" w:cs="Arial"/>
          <w:sz w:val="20"/>
          <w:szCs w:val="20"/>
          <w:lang w:val="el-GR"/>
        </w:rPr>
      </w:pPr>
      <w:r w:rsidRPr="0032033F">
        <w:rPr>
          <w:rFonts w:ascii="Arial" w:hAnsi="Arial" w:cs="Arial"/>
          <w:sz w:val="20"/>
          <w:szCs w:val="20"/>
          <w:lang w:val="el-GR"/>
        </w:rPr>
        <w:t>Σε περίπτωση που ανακύπτουν σημαντικά νέα στοιχεία, ουσιώδη σφάλματα ή ουσιώδεις ανακρίβειες, που μπορούν να επηρεάσουν την αξιολόγηση των Νέων Μετοχών</w:t>
      </w:r>
      <w:r w:rsidR="00090730" w:rsidRPr="0032033F">
        <w:rPr>
          <w:rFonts w:ascii="Arial" w:hAnsi="Arial" w:cs="Arial"/>
          <w:sz w:val="20"/>
          <w:szCs w:val="20"/>
          <w:lang w:val="el-GR"/>
        </w:rPr>
        <w:t xml:space="preserve"> ΑΜΚ</w:t>
      </w:r>
      <w:r w:rsidR="000A4CD4" w:rsidRPr="0032033F">
        <w:rPr>
          <w:rFonts w:ascii="Arial" w:hAnsi="Arial" w:cs="Arial"/>
          <w:sz w:val="20"/>
          <w:szCs w:val="20"/>
          <w:lang w:val="el-GR"/>
        </w:rPr>
        <w:t xml:space="preserve">, των Τίτλων Κτήσης Μετοχών ή/και των μετοχών που θα </w:t>
      </w:r>
      <w:r w:rsidR="00A21156" w:rsidRPr="0032033F">
        <w:rPr>
          <w:rFonts w:ascii="Arial" w:hAnsi="Arial" w:cs="Arial"/>
          <w:sz w:val="20"/>
          <w:szCs w:val="20"/>
          <w:lang w:val="el-GR"/>
        </w:rPr>
        <w:t>εκδοθούν κατόπιν</w:t>
      </w:r>
      <w:r w:rsidR="000A4CD4" w:rsidRPr="0032033F">
        <w:rPr>
          <w:rFonts w:ascii="Arial" w:hAnsi="Arial" w:cs="Arial"/>
          <w:sz w:val="20"/>
          <w:szCs w:val="20"/>
          <w:lang w:val="el-GR"/>
        </w:rPr>
        <w:t xml:space="preserve"> ενάσκηση</w:t>
      </w:r>
      <w:r w:rsidR="00A21156" w:rsidRPr="0032033F">
        <w:rPr>
          <w:rFonts w:ascii="Arial" w:hAnsi="Arial" w:cs="Arial"/>
          <w:sz w:val="20"/>
          <w:szCs w:val="20"/>
          <w:lang w:val="el-GR"/>
        </w:rPr>
        <w:t>ς</w:t>
      </w:r>
      <w:r w:rsidR="000A4CD4" w:rsidRPr="0032033F">
        <w:rPr>
          <w:rFonts w:ascii="Arial" w:hAnsi="Arial" w:cs="Arial"/>
          <w:sz w:val="20"/>
          <w:szCs w:val="20"/>
          <w:lang w:val="el-GR"/>
        </w:rPr>
        <w:t xml:space="preserve"> των Τίτλων Κτήσης Μετοχών, που ανακύπτει ή διαπιστώνεται </w:t>
      </w:r>
      <w:r w:rsidRPr="0032033F">
        <w:rPr>
          <w:rFonts w:ascii="Arial" w:hAnsi="Arial" w:cs="Arial"/>
          <w:sz w:val="20"/>
          <w:szCs w:val="20"/>
          <w:lang w:val="el-GR"/>
        </w:rPr>
        <w:t xml:space="preserve">κατά την περίοδο που μεσολαβεί από την έγκριση του Ενημερωτικού Δελτίου </w:t>
      </w:r>
      <w:r w:rsidR="000F0D50" w:rsidRPr="0032033F">
        <w:rPr>
          <w:rFonts w:ascii="Arial" w:hAnsi="Arial" w:cs="Arial"/>
          <w:sz w:val="20"/>
          <w:szCs w:val="20"/>
          <w:lang w:val="el-GR"/>
        </w:rPr>
        <w:t xml:space="preserve">(όπως αυτό ορίζεται κατωτέρω) </w:t>
      </w:r>
      <w:r w:rsidRPr="0032033F">
        <w:rPr>
          <w:rFonts w:ascii="Arial" w:hAnsi="Arial" w:cs="Arial"/>
          <w:sz w:val="20"/>
          <w:szCs w:val="20"/>
          <w:lang w:val="el-GR"/>
        </w:rPr>
        <w:t xml:space="preserve">έως τη λήξη της </w:t>
      </w:r>
      <w:r w:rsidR="000C3DE2" w:rsidRPr="0032033F">
        <w:rPr>
          <w:rFonts w:ascii="Arial" w:hAnsi="Arial" w:cs="Arial"/>
          <w:sz w:val="20"/>
          <w:szCs w:val="20"/>
          <w:lang w:val="el-GR"/>
        </w:rPr>
        <w:t>δ</w:t>
      </w:r>
      <w:r w:rsidRPr="0032033F">
        <w:rPr>
          <w:rFonts w:ascii="Arial" w:hAnsi="Arial" w:cs="Arial"/>
          <w:sz w:val="20"/>
          <w:szCs w:val="20"/>
          <w:lang w:val="el-GR"/>
        </w:rPr>
        <w:t xml:space="preserve">ημόσιας </w:t>
      </w:r>
      <w:r w:rsidR="000C3DE2" w:rsidRPr="0032033F">
        <w:rPr>
          <w:rFonts w:ascii="Arial" w:hAnsi="Arial" w:cs="Arial"/>
          <w:sz w:val="20"/>
          <w:szCs w:val="20"/>
          <w:lang w:val="el-GR"/>
        </w:rPr>
        <w:t>π</w:t>
      </w:r>
      <w:r w:rsidRPr="0032033F">
        <w:rPr>
          <w:rFonts w:ascii="Arial" w:hAnsi="Arial" w:cs="Arial"/>
          <w:sz w:val="20"/>
          <w:szCs w:val="20"/>
          <w:lang w:val="el-GR"/>
        </w:rPr>
        <w:t xml:space="preserve">ροσφοράς </w:t>
      </w:r>
      <w:r w:rsidR="000C3DE2" w:rsidRPr="0032033F">
        <w:rPr>
          <w:rFonts w:ascii="Arial" w:hAnsi="Arial" w:cs="Arial"/>
          <w:sz w:val="20"/>
          <w:szCs w:val="20"/>
          <w:lang w:val="el-GR"/>
        </w:rPr>
        <w:t>των Νέων Μετοχών</w:t>
      </w:r>
      <w:r w:rsidR="00090730" w:rsidRPr="0032033F">
        <w:rPr>
          <w:rFonts w:ascii="Arial" w:hAnsi="Arial" w:cs="Arial"/>
          <w:sz w:val="20"/>
          <w:szCs w:val="20"/>
          <w:lang w:val="el-GR"/>
        </w:rPr>
        <w:t xml:space="preserve"> ΑΜΚ</w:t>
      </w:r>
      <w:r w:rsidR="000C3DE2" w:rsidRPr="0032033F">
        <w:rPr>
          <w:rFonts w:ascii="Arial" w:hAnsi="Arial" w:cs="Arial"/>
          <w:sz w:val="20"/>
          <w:szCs w:val="20"/>
          <w:lang w:val="el-GR"/>
        </w:rPr>
        <w:t xml:space="preserve"> </w:t>
      </w:r>
      <w:r w:rsidR="00A21156" w:rsidRPr="0032033F">
        <w:rPr>
          <w:rFonts w:ascii="Arial" w:hAnsi="Arial" w:cs="Arial"/>
          <w:sz w:val="20"/>
          <w:szCs w:val="20"/>
          <w:lang w:val="el-GR"/>
        </w:rPr>
        <w:t xml:space="preserve">και των Τίτλων Κτήσης Μετοχών ή </w:t>
      </w:r>
      <w:r w:rsidRPr="0032033F">
        <w:rPr>
          <w:rFonts w:ascii="Arial" w:hAnsi="Arial" w:cs="Arial"/>
          <w:sz w:val="20"/>
          <w:szCs w:val="20"/>
          <w:lang w:val="el-GR"/>
        </w:rPr>
        <w:t xml:space="preserve">την έναρξη διαπραγμάτευσης </w:t>
      </w:r>
      <w:r w:rsidR="00285592" w:rsidRPr="0032033F">
        <w:rPr>
          <w:rFonts w:ascii="Arial" w:hAnsi="Arial" w:cs="Arial"/>
          <w:sz w:val="20"/>
          <w:szCs w:val="20"/>
          <w:lang w:val="el-GR"/>
        </w:rPr>
        <w:t>των Νέων Μετοχών ΑΜΚ ή των μετοχών που θα εκδοθούν κατόπιν της ενάσκησης των Τίτλων</w:t>
      </w:r>
      <w:r w:rsidR="00A21156" w:rsidRPr="0032033F">
        <w:rPr>
          <w:rFonts w:ascii="Arial" w:hAnsi="Arial" w:cs="Arial"/>
          <w:sz w:val="20"/>
          <w:szCs w:val="20"/>
          <w:lang w:val="el-GR"/>
        </w:rPr>
        <w:t xml:space="preserve"> Κτήσης Μετοχών</w:t>
      </w:r>
      <w:r w:rsidRPr="0032033F">
        <w:rPr>
          <w:rFonts w:ascii="Arial" w:hAnsi="Arial" w:cs="Arial"/>
          <w:sz w:val="20"/>
          <w:szCs w:val="20"/>
          <w:lang w:val="el-GR"/>
        </w:rPr>
        <w:t>, οποιοδήποτε συμβεί αργότερα, η Τράπεζα υποχρεούται σε δημοσίευση συμπληρώματος του Ενημερωτικού Δελτίου, σύμφωνα με το άρθρο 23 του Κανονισμού (ΕΕ) 2017/1129, ως ισχύει</w:t>
      </w:r>
      <w:r w:rsidR="000C3DE2" w:rsidRPr="0032033F">
        <w:rPr>
          <w:rFonts w:ascii="Arial" w:hAnsi="Arial" w:cs="Arial"/>
          <w:sz w:val="20"/>
          <w:szCs w:val="20"/>
          <w:lang w:val="el-GR"/>
        </w:rPr>
        <w:t>, χωρίς αδικαιολόγητη καθυστέρηση, σύμφωνα με τουλάχιστον ίδιες ρυθμίσεις με εκείνες που εφαρμόσθηκαν όταν δημοσιεύθηκε το Ενημερωτικό Δελτίο</w:t>
      </w:r>
      <w:r w:rsidRPr="0032033F">
        <w:rPr>
          <w:rFonts w:ascii="Arial" w:hAnsi="Arial" w:cs="Arial"/>
          <w:sz w:val="20"/>
          <w:szCs w:val="20"/>
          <w:lang w:val="el-GR"/>
        </w:rPr>
        <w:t>.</w:t>
      </w:r>
    </w:p>
    <w:p w14:paraId="3CBEEB37" w14:textId="126269D4" w:rsidR="005B213F" w:rsidRPr="0032033F" w:rsidRDefault="00E445F2" w:rsidP="00075628">
      <w:pPr>
        <w:spacing w:line="360" w:lineRule="auto"/>
        <w:jc w:val="both"/>
        <w:rPr>
          <w:rFonts w:ascii="Arial" w:hAnsi="Arial" w:cs="Arial"/>
          <w:sz w:val="20"/>
          <w:szCs w:val="20"/>
          <w:lang w:val="el-GR"/>
        </w:rPr>
      </w:pPr>
      <w:r w:rsidRPr="0032033F">
        <w:rPr>
          <w:rFonts w:ascii="Arial" w:hAnsi="Arial" w:cs="Arial"/>
          <w:sz w:val="20"/>
          <w:szCs w:val="20"/>
          <w:lang w:val="el-GR"/>
        </w:rPr>
        <w:t>Σε περίπτωση δημοσίευσης συμπληρώματος Ενημερωτικού Δελτίου, σύμφωνα με το άρθρο 23 παρ. 2 του Κανονισμού (ΕΕ) 2017/1129,</w:t>
      </w:r>
      <w:r w:rsidR="00A21156" w:rsidRPr="0032033F">
        <w:rPr>
          <w:rFonts w:ascii="Arial" w:hAnsi="Arial" w:cs="Arial"/>
          <w:sz w:val="20"/>
          <w:szCs w:val="20"/>
          <w:lang w:val="el-GR"/>
        </w:rPr>
        <w:t xml:space="preserve"> οι </w:t>
      </w:r>
      <w:r w:rsidRPr="0032033F">
        <w:rPr>
          <w:rFonts w:ascii="Arial" w:hAnsi="Arial" w:cs="Arial"/>
          <w:sz w:val="20"/>
          <w:szCs w:val="20"/>
          <w:lang w:val="el-GR"/>
        </w:rPr>
        <w:t>επενδυτές οι οποίοι έχουν ήδη συμφωνήσει να εγγραφούν για την απόκτηση Νέων Μετοχών</w:t>
      </w:r>
      <w:r w:rsidR="00285592" w:rsidRPr="0032033F">
        <w:rPr>
          <w:rFonts w:ascii="Arial" w:hAnsi="Arial" w:cs="Arial"/>
          <w:sz w:val="20"/>
          <w:szCs w:val="20"/>
          <w:lang w:val="el-GR"/>
        </w:rPr>
        <w:t xml:space="preserve"> ΑΜΚ ή/και Τίτλων</w:t>
      </w:r>
      <w:r w:rsidR="00A21156" w:rsidRPr="0032033F">
        <w:rPr>
          <w:rFonts w:ascii="Arial" w:hAnsi="Arial" w:cs="Arial"/>
          <w:sz w:val="20"/>
          <w:szCs w:val="20"/>
          <w:lang w:val="el-GR"/>
        </w:rPr>
        <w:t xml:space="preserve"> Κτήσης Μετοχών</w:t>
      </w:r>
      <w:r w:rsidRPr="0032033F">
        <w:rPr>
          <w:rFonts w:ascii="Arial" w:hAnsi="Arial" w:cs="Arial"/>
          <w:sz w:val="20"/>
          <w:szCs w:val="20"/>
          <w:lang w:val="el-GR"/>
        </w:rPr>
        <w:t xml:space="preserve"> πριν από τη δημοσίευση του συμπληρώματος, δύνανται να υπαναχωρήσουν από την εγγραφή τους, εντός της οριζόμενης προθεσμίας στο συμπλήρω</w:t>
      </w:r>
      <w:r w:rsidR="005B213F" w:rsidRPr="0032033F">
        <w:rPr>
          <w:rFonts w:ascii="Arial" w:hAnsi="Arial" w:cs="Arial"/>
          <w:sz w:val="20"/>
          <w:szCs w:val="20"/>
          <w:lang w:val="el-GR"/>
        </w:rPr>
        <w:t>μα (η οποία δεν δύναται να είναι μικρότερη των</w:t>
      </w:r>
      <w:r w:rsidRPr="0032033F">
        <w:rPr>
          <w:rFonts w:ascii="Arial" w:hAnsi="Arial" w:cs="Arial"/>
          <w:sz w:val="20"/>
          <w:szCs w:val="20"/>
          <w:lang w:val="el-GR"/>
        </w:rPr>
        <w:t xml:space="preserve"> </w:t>
      </w:r>
      <w:r w:rsidR="00090730" w:rsidRPr="0032033F">
        <w:rPr>
          <w:rFonts w:ascii="Arial" w:hAnsi="Arial" w:cs="Arial"/>
          <w:sz w:val="20"/>
          <w:szCs w:val="20"/>
          <w:lang w:val="el-GR"/>
        </w:rPr>
        <w:t xml:space="preserve">δύο </w:t>
      </w:r>
      <w:r w:rsidRPr="0032033F">
        <w:rPr>
          <w:rFonts w:ascii="Arial" w:hAnsi="Arial" w:cs="Arial"/>
          <w:sz w:val="20"/>
          <w:szCs w:val="20"/>
          <w:lang w:val="el-GR"/>
        </w:rPr>
        <w:t>(</w:t>
      </w:r>
      <w:r w:rsidR="00090730" w:rsidRPr="0032033F">
        <w:rPr>
          <w:rFonts w:ascii="Arial" w:hAnsi="Arial" w:cs="Arial"/>
          <w:sz w:val="20"/>
          <w:szCs w:val="20"/>
          <w:lang w:val="el-GR"/>
        </w:rPr>
        <w:t>2</w:t>
      </w:r>
      <w:r w:rsidRPr="0032033F">
        <w:rPr>
          <w:rFonts w:ascii="Arial" w:hAnsi="Arial" w:cs="Arial"/>
          <w:sz w:val="20"/>
          <w:szCs w:val="20"/>
          <w:lang w:val="el-GR"/>
        </w:rPr>
        <w:t>) εργασίμων ημερών από τη δημοσίευση του συμπληρώματος</w:t>
      </w:r>
      <w:r w:rsidR="000C3DE2" w:rsidRPr="0032033F">
        <w:rPr>
          <w:rFonts w:ascii="Arial" w:hAnsi="Arial" w:cs="Arial"/>
          <w:sz w:val="20"/>
          <w:szCs w:val="20"/>
          <w:lang w:val="el-GR"/>
        </w:rPr>
        <w:t>)</w:t>
      </w:r>
      <w:r w:rsidRPr="0032033F">
        <w:rPr>
          <w:rFonts w:ascii="Arial" w:hAnsi="Arial" w:cs="Arial"/>
          <w:sz w:val="20"/>
          <w:szCs w:val="20"/>
          <w:lang w:val="el-GR"/>
        </w:rPr>
        <w:t>.</w:t>
      </w:r>
    </w:p>
    <w:p w14:paraId="396FE4F7" w14:textId="77777777" w:rsidR="00987B65" w:rsidRDefault="00987B65" w:rsidP="00075628">
      <w:pPr>
        <w:spacing w:line="360" w:lineRule="auto"/>
        <w:jc w:val="both"/>
        <w:rPr>
          <w:rFonts w:ascii="Arial" w:hAnsi="Arial" w:cs="Arial"/>
          <w:b/>
          <w:bCs/>
          <w:sz w:val="20"/>
          <w:szCs w:val="20"/>
          <w:lang w:val="el-GR"/>
        </w:rPr>
      </w:pPr>
    </w:p>
    <w:p w14:paraId="348F3074" w14:textId="77777777" w:rsidR="00987B65" w:rsidRDefault="00987B65" w:rsidP="00075628">
      <w:pPr>
        <w:spacing w:line="360" w:lineRule="auto"/>
        <w:jc w:val="both"/>
        <w:rPr>
          <w:rFonts w:ascii="Arial" w:hAnsi="Arial" w:cs="Arial"/>
          <w:b/>
          <w:bCs/>
          <w:sz w:val="20"/>
          <w:szCs w:val="20"/>
          <w:lang w:val="el-GR"/>
        </w:rPr>
      </w:pPr>
    </w:p>
    <w:p w14:paraId="035264D7" w14:textId="14AFBA6A" w:rsidR="004561E2" w:rsidRPr="0032033F" w:rsidRDefault="005B213F" w:rsidP="00075628">
      <w:pPr>
        <w:spacing w:line="360" w:lineRule="auto"/>
        <w:jc w:val="both"/>
        <w:rPr>
          <w:rFonts w:ascii="Arial" w:hAnsi="Arial" w:cs="Arial"/>
          <w:b/>
          <w:bCs/>
          <w:sz w:val="20"/>
          <w:szCs w:val="20"/>
          <w:lang w:val="el-GR"/>
        </w:rPr>
      </w:pPr>
      <w:r w:rsidRPr="0032033F">
        <w:rPr>
          <w:rFonts w:ascii="Arial" w:hAnsi="Arial" w:cs="Arial"/>
          <w:b/>
          <w:bCs/>
          <w:sz w:val="20"/>
          <w:szCs w:val="20"/>
          <w:lang w:val="el-GR"/>
        </w:rPr>
        <w:lastRenderedPageBreak/>
        <w:t>Ενημερωτικό Δελτίο</w:t>
      </w:r>
    </w:p>
    <w:p w14:paraId="0AF34701" w14:textId="3CBF0FE9" w:rsidR="00CC3C69" w:rsidRPr="00B36FCA" w:rsidRDefault="004561E2" w:rsidP="00075628">
      <w:pPr>
        <w:spacing w:line="360" w:lineRule="auto"/>
        <w:jc w:val="both"/>
        <w:rPr>
          <w:rFonts w:ascii="Arial" w:hAnsi="Arial" w:cs="Arial"/>
          <w:sz w:val="20"/>
          <w:szCs w:val="20"/>
          <w:lang w:val="el-GR"/>
        </w:rPr>
      </w:pPr>
      <w:r w:rsidRPr="0032033F">
        <w:rPr>
          <w:rFonts w:ascii="Arial" w:hAnsi="Arial" w:cs="Arial"/>
          <w:sz w:val="20"/>
          <w:szCs w:val="20"/>
          <w:lang w:val="el-GR"/>
        </w:rPr>
        <w:t>Περαιτέρω πληροφορίες για την Τράπεζα, τις Νέες Μετοχές</w:t>
      </w:r>
      <w:r w:rsidR="00090730" w:rsidRPr="0032033F">
        <w:rPr>
          <w:rFonts w:ascii="Arial" w:hAnsi="Arial" w:cs="Arial"/>
          <w:sz w:val="20"/>
          <w:szCs w:val="20"/>
          <w:lang w:val="el-GR"/>
        </w:rPr>
        <w:t xml:space="preserve"> ΑΜΚ</w:t>
      </w:r>
      <w:r w:rsidR="00285592" w:rsidRPr="0032033F">
        <w:rPr>
          <w:rFonts w:ascii="Arial" w:hAnsi="Arial" w:cs="Arial"/>
          <w:sz w:val="20"/>
          <w:szCs w:val="20"/>
          <w:lang w:val="el-GR"/>
        </w:rPr>
        <w:t>,</w:t>
      </w:r>
      <w:r w:rsidRPr="0032033F">
        <w:rPr>
          <w:rFonts w:ascii="Arial" w:hAnsi="Arial" w:cs="Arial"/>
          <w:sz w:val="20"/>
          <w:szCs w:val="20"/>
          <w:lang w:val="el-GR"/>
        </w:rPr>
        <w:t xml:space="preserve"> την Αύξηση</w:t>
      </w:r>
      <w:r w:rsidR="00285592" w:rsidRPr="0032033F">
        <w:rPr>
          <w:rFonts w:ascii="Arial" w:hAnsi="Arial" w:cs="Arial"/>
          <w:sz w:val="20"/>
          <w:szCs w:val="20"/>
          <w:lang w:val="el-GR"/>
        </w:rPr>
        <w:t xml:space="preserve">, </w:t>
      </w:r>
      <w:r w:rsidR="00A21156" w:rsidRPr="0032033F">
        <w:rPr>
          <w:rFonts w:ascii="Arial" w:hAnsi="Arial" w:cs="Arial"/>
          <w:sz w:val="20"/>
          <w:szCs w:val="20"/>
          <w:lang w:val="el-GR"/>
        </w:rPr>
        <w:t>τους</w:t>
      </w:r>
      <w:r w:rsidR="00285592" w:rsidRPr="0032033F">
        <w:rPr>
          <w:rFonts w:ascii="Arial" w:hAnsi="Arial" w:cs="Arial"/>
          <w:sz w:val="20"/>
          <w:szCs w:val="20"/>
          <w:lang w:val="el-GR"/>
        </w:rPr>
        <w:t xml:space="preserve">  Τίτλ</w:t>
      </w:r>
      <w:r w:rsidR="00A21156" w:rsidRPr="0032033F">
        <w:rPr>
          <w:rFonts w:ascii="Arial" w:hAnsi="Arial" w:cs="Arial"/>
          <w:sz w:val="20"/>
          <w:szCs w:val="20"/>
          <w:lang w:val="el-GR"/>
        </w:rPr>
        <w:t>ους Κτήσης Μετοχών και τις μετοχές που θα εκδοθούν μετά την ενάσκησή τους,</w:t>
      </w:r>
      <w:r w:rsidRPr="0032033F">
        <w:rPr>
          <w:rFonts w:ascii="Arial" w:hAnsi="Arial" w:cs="Arial"/>
          <w:sz w:val="20"/>
          <w:szCs w:val="20"/>
          <w:lang w:val="el-GR"/>
        </w:rPr>
        <w:t xml:space="preserve"> περιλαμβάνονται στο </w:t>
      </w:r>
      <w:r w:rsidR="00CC3C69" w:rsidRPr="0032033F">
        <w:rPr>
          <w:rFonts w:ascii="Arial" w:hAnsi="Arial" w:cs="Arial"/>
          <w:sz w:val="20"/>
          <w:szCs w:val="20"/>
          <w:lang w:val="el-GR"/>
        </w:rPr>
        <w:t xml:space="preserve">ενιαίο κείμενο του </w:t>
      </w:r>
      <w:r w:rsidR="000C3DE2" w:rsidRPr="0032033F">
        <w:rPr>
          <w:rFonts w:ascii="Arial" w:hAnsi="Arial" w:cs="Arial"/>
          <w:sz w:val="20"/>
          <w:szCs w:val="20"/>
          <w:lang w:val="el-GR"/>
        </w:rPr>
        <w:t>ενημερωτικού Δελτίου (το «</w:t>
      </w:r>
      <w:r w:rsidR="00CC3C69" w:rsidRPr="0032033F">
        <w:rPr>
          <w:rFonts w:ascii="Arial" w:hAnsi="Arial" w:cs="Arial"/>
          <w:b/>
          <w:sz w:val="20"/>
          <w:szCs w:val="20"/>
          <w:lang w:val="el-GR"/>
        </w:rPr>
        <w:t>Ενημερωτικ</w:t>
      </w:r>
      <w:r w:rsidR="000C3DE2" w:rsidRPr="0032033F">
        <w:rPr>
          <w:rFonts w:ascii="Arial" w:hAnsi="Arial" w:cs="Arial"/>
          <w:b/>
          <w:sz w:val="20"/>
          <w:szCs w:val="20"/>
          <w:lang w:val="el-GR"/>
        </w:rPr>
        <w:t>ό</w:t>
      </w:r>
      <w:r w:rsidR="00CC3C69" w:rsidRPr="0032033F">
        <w:rPr>
          <w:rFonts w:ascii="Arial" w:hAnsi="Arial" w:cs="Arial"/>
          <w:b/>
          <w:sz w:val="20"/>
          <w:szCs w:val="20"/>
          <w:lang w:val="el-GR"/>
        </w:rPr>
        <w:t xml:space="preserve"> Δελτίο</w:t>
      </w:r>
      <w:r w:rsidR="000C3DE2" w:rsidRPr="0032033F">
        <w:rPr>
          <w:rFonts w:ascii="Arial" w:hAnsi="Arial" w:cs="Arial"/>
          <w:sz w:val="20"/>
          <w:szCs w:val="20"/>
          <w:lang w:val="el-GR"/>
        </w:rPr>
        <w:t>»)</w:t>
      </w:r>
      <w:r w:rsidR="00CC3C69" w:rsidRPr="0032033F">
        <w:rPr>
          <w:rFonts w:ascii="Arial" w:hAnsi="Arial" w:cs="Arial"/>
          <w:sz w:val="20"/>
          <w:szCs w:val="20"/>
          <w:lang w:val="el-GR"/>
        </w:rPr>
        <w:t xml:space="preserve">, το οποίο περιλαμβάνει </w:t>
      </w:r>
      <w:r w:rsidR="000C3DE2" w:rsidRPr="0032033F">
        <w:rPr>
          <w:rFonts w:ascii="Arial" w:hAnsi="Arial" w:cs="Arial"/>
          <w:sz w:val="20"/>
          <w:szCs w:val="20"/>
          <w:lang w:val="el-GR"/>
        </w:rPr>
        <w:t xml:space="preserve">(α) το περιληπτικό σημείωμα, </w:t>
      </w:r>
      <w:r w:rsidR="00C6781F" w:rsidRPr="0032033F">
        <w:rPr>
          <w:rFonts w:ascii="Arial" w:hAnsi="Arial" w:cs="Arial"/>
          <w:sz w:val="20"/>
          <w:szCs w:val="20"/>
          <w:lang w:val="el-GR"/>
        </w:rPr>
        <w:t>(β) το έγγραφο αναφοράς</w:t>
      </w:r>
      <w:r w:rsidR="00285592" w:rsidRPr="0032033F">
        <w:rPr>
          <w:rFonts w:ascii="Arial" w:hAnsi="Arial" w:cs="Arial"/>
          <w:sz w:val="20"/>
          <w:szCs w:val="20"/>
          <w:lang w:val="el-GR"/>
        </w:rPr>
        <w:t>,</w:t>
      </w:r>
      <w:r w:rsidR="00CC3C69" w:rsidRPr="0032033F">
        <w:rPr>
          <w:rFonts w:ascii="Arial" w:hAnsi="Arial" w:cs="Arial"/>
          <w:sz w:val="20"/>
          <w:szCs w:val="20"/>
          <w:lang w:val="el-GR"/>
        </w:rPr>
        <w:t xml:space="preserve"> </w:t>
      </w:r>
      <w:r w:rsidR="00C6781F" w:rsidRPr="0032033F">
        <w:rPr>
          <w:rFonts w:ascii="Arial" w:hAnsi="Arial" w:cs="Arial"/>
          <w:sz w:val="20"/>
          <w:szCs w:val="20"/>
          <w:lang w:val="el-GR"/>
        </w:rPr>
        <w:t>(γ) το σημείωμα</w:t>
      </w:r>
      <w:r w:rsidR="00184499" w:rsidRPr="0032033F">
        <w:rPr>
          <w:rFonts w:ascii="Arial" w:hAnsi="Arial" w:cs="Arial"/>
          <w:sz w:val="20"/>
          <w:szCs w:val="20"/>
          <w:lang w:val="el-GR"/>
        </w:rPr>
        <w:t xml:space="preserve"> μετοχικού τίτλου</w:t>
      </w:r>
      <w:r w:rsidR="00C6781F" w:rsidRPr="0032033F">
        <w:rPr>
          <w:rFonts w:ascii="Arial" w:hAnsi="Arial" w:cs="Arial"/>
          <w:sz w:val="20"/>
          <w:szCs w:val="20"/>
          <w:lang w:val="el-GR"/>
        </w:rPr>
        <w:t xml:space="preserve"> </w:t>
      </w:r>
      <w:r w:rsidR="00285592" w:rsidRPr="0032033F">
        <w:rPr>
          <w:rFonts w:ascii="Arial" w:hAnsi="Arial" w:cs="Arial"/>
          <w:sz w:val="20"/>
          <w:szCs w:val="20"/>
          <w:lang w:val="el-GR"/>
        </w:rPr>
        <w:t>αναφορικά με τη δημόσια προσφορά και την εισαγωγή προς διαπραγμάτευση των Νέων Μετοχών ΑΜΚ στην Κύρια Αγορά του Χρηματιστηρίου Αθηνών, και (δ) το σημείωμα εκδιδόμενων τίτλων αναφορικά με τη δημόσια προσφορά των Τίτλων</w:t>
      </w:r>
      <w:r w:rsidR="00A21156" w:rsidRPr="0032033F">
        <w:rPr>
          <w:rFonts w:ascii="Arial" w:hAnsi="Arial" w:cs="Arial"/>
          <w:sz w:val="20"/>
          <w:szCs w:val="20"/>
          <w:lang w:val="el-GR"/>
        </w:rPr>
        <w:t xml:space="preserve"> Κτήσης Μετοχών</w:t>
      </w:r>
      <w:r w:rsidR="00285592" w:rsidRPr="0032033F">
        <w:rPr>
          <w:rFonts w:ascii="Arial" w:hAnsi="Arial" w:cs="Arial"/>
          <w:sz w:val="20"/>
          <w:szCs w:val="20"/>
          <w:lang w:val="el-GR"/>
        </w:rPr>
        <w:t xml:space="preserve"> και την εισαγωγή προς διαπραγμάτευση στην Κύρια Αγορά του </w:t>
      </w:r>
      <w:r w:rsidR="00285592" w:rsidRPr="00B36FCA">
        <w:rPr>
          <w:rFonts w:ascii="Arial" w:hAnsi="Arial" w:cs="Arial"/>
          <w:sz w:val="20"/>
          <w:szCs w:val="20"/>
          <w:lang w:val="el-GR"/>
        </w:rPr>
        <w:t>Χρηματιστηρίου Αθηνών των νέων μετοχών της Τράπεζας που θα εκδοθούν μετά την ενάσκηση των Τίτλων</w:t>
      </w:r>
      <w:r w:rsidR="00A21156" w:rsidRPr="00B36FCA">
        <w:rPr>
          <w:rFonts w:ascii="Arial" w:hAnsi="Arial" w:cs="Arial"/>
          <w:sz w:val="20"/>
          <w:szCs w:val="20"/>
          <w:lang w:val="el-GR"/>
        </w:rPr>
        <w:t xml:space="preserve"> Κτήσης Μετοχών</w:t>
      </w:r>
      <w:r w:rsidR="00285592" w:rsidRPr="00B36FCA">
        <w:rPr>
          <w:rFonts w:ascii="Arial" w:hAnsi="Arial" w:cs="Arial"/>
          <w:sz w:val="20"/>
          <w:szCs w:val="20"/>
          <w:lang w:val="el-GR"/>
        </w:rPr>
        <w:t xml:space="preserve">, καθένα εκ των οποίων </w:t>
      </w:r>
      <w:r w:rsidR="0052304C" w:rsidRPr="00B36FCA">
        <w:rPr>
          <w:rFonts w:ascii="Arial" w:hAnsi="Arial" w:cs="Arial"/>
          <w:sz w:val="20"/>
          <w:szCs w:val="20"/>
          <w:lang w:val="el-GR"/>
        </w:rPr>
        <w:t xml:space="preserve">έχει </w:t>
      </w:r>
      <w:r w:rsidR="00285592" w:rsidRPr="00B36FCA">
        <w:rPr>
          <w:rFonts w:ascii="Arial" w:hAnsi="Arial" w:cs="Arial"/>
          <w:sz w:val="20"/>
          <w:szCs w:val="20"/>
          <w:lang w:val="el-GR"/>
        </w:rPr>
        <w:t>ε</w:t>
      </w:r>
      <w:r w:rsidR="00795676" w:rsidRPr="00B36FCA">
        <w:rPr>
          <w:rFonts w:ascii="Arial" w:hAnsi="Arial" w:cs="Arial"/>
          <w:sz w:val="20"/>
          <w:szCs w:val="20"/>
          <w:lang w:val="el-GR"/>
        </w:rPr>
        <w:t>γκρ</w:t>
      </w:r>
      <w:r w:rsidR="0052304C" w:rsidRPr="00B36FCA">
        <w:rPr>
          <w:rFonts w:ascii="Arial" w:hAnsi="Arial" w:cs="Arial"/>
          <w:sz w:val="20"/>
          <w:szCs w:val="20"/>
          <w:lang w:val="el-GR"/>
        </w:rPr>
        <w:t>ιθεί</w:t>
      </w:r>
      <w:r w:rsidR="00C6781F" w:rsidRPr="00B36FCA">
        <w:rPr>
          <w:rFonts w:ascii="Arial" w:hAnsi="Arial" w:cs="Arial"/>
          <w:sz w:val="20"/>
          <w:szCs w:val="20"/>
          <w:lang w:val="el-GR"/>
        </w:rPr>
        <w:t xml:space="preserve"> από το Διοικητικό Συμβούλιο της Ε.Κ. στις </w:t>
      </w:r>
      <w:r w:rsidR="00982CCE" w:rsidRPr="00982CCE">
        <w:rPr>
          <w:rFonts w:ascii="Arial" w:hAnsi="Arial" w:cs="Arial"/>
          <w:sz w:val="20"/>
          <w:szCs w:val="20"/>
          <w:lang w:val="el-GR"/>
        </w:rPr>
        <w:t>14</w:t>
      </w:r>
      <w:r w:rsidR="00285592" w:rsidRPr="00B36FCA">
        <w:rPr>
          <w:rFonts w:ascii="Arial" w:hAnsi="Arial" w:cs="Arial"/>
          <w:sz w:val="20"/>
          <w:szCs w:val="20"/>
          <w:lang w:val="el-GR"/>
        </w:rPr>
        <w:t xml:space="preserve"> Οκτωβρίου 2024</w:t>
      </w:r>
      <w:r w:rsidR="00CC3C69" w:rsidRPr="00B36FCA">
        <w:rPr>
          <w:rFonts w:ascii="Arial" w:hAnsi="Arial" w:cs="Arial"/>
          <w:sz w:val="20"/>
          <w:szCs w:val="20"/>
          <w:lang w:val="el-GR"/>
        </w:rPr>
        <w:t xml:space="preserve">, </w:t>
      </w:r>
      <w:r w:rsidR="00091DD3" w:rsidRPr="00B36FCA">
        <w:rPr>
          <w:rFonts w:ascii="Arial" w:hAnsi="Arial" w:cs="Arial"/>
          <w:sz w:val="20"/>
          <w:szCs w:val="20"/>
          <w:lang w:val="el-GR"/>
        </w:rPr>
        <w:t>και</w:t>
      </w:r>
      <w:r w:rsidR="00CC3C69" w:rsidRPr="00B36FCA">
        <w:rPr>
          <w:rFonts w:ascii="Arial" w:hAnsi="Arial" w:cs="Arial"/>
          <w:sz w:val="20"/>
          <w:szCs w:val="20"/>
          <w:lang w:val="el-GR"/>
        </w:rPr>
        <w:t xml:space="preserve"> θα είναι διαθέσιμο στο επενδυτικό κοινό, σύμφωνα με το</w:t>
      </w:r>
      <w:r w:rsidR="00091DD3" w:rsidRPr="00B36FCA">
        <w:rPr>
          <w:rFonts w:ascii="Arial" w:hAnsi="Arial" w:cs="Arial"/>
          <w:sz w:val="20"/>
          <w:szCs w:val="20"/>
          <w:lang w:val="el-GR"/>
        </w:rPr>
        <w:t xml:space="preserve"> </w:t>
      </w:r>
      <w:r w:rsidR="00CC3C69" w:rsidRPr="00B36FCA">
        <w:rPr>
          <w:rFonts w:ascii="Arial" w:hAnsi="Arial" w:cs="Arial"/>
          <w:sz w:val="20"/>
          <w:szCs w:val="20"/>
          <w:lang w:val="el-GR"/>
        </w:rPr>
        <w:t xml:space="preserve">άρθρο 21 παρ. 2 του Κανονισμού (ΕΕ) 2017/1129, όπως ισχύει, σε ηλεκτρονική μορφή </w:t>
      </w:r>
      <w:r w:rsidR="00091DD3" w:rsidRPr="00B36FCA">
        <w:rPr>
          <w:rFonts w:ascii="Arial" w:hAnsi="Arial" w:cs="Arial"/>
          <w:sz w:val="20"/>
          <w:szCs w:val="20"/>
          <w:lang w:val="el-GR"/>
        </w:rPr>
        <w:t xml:space="preserve">στις </w:t>
      </w:r>
      <w:r w:rsidR="00CC3C69" w:rsidRPr="00B36FCA">
        <w:rPr>
          <w:rFonts w:ascii="Arial" w:hAnsi="Arial" w:cs="Arial"/>
          <w:sz w:val="20"/>
          <w:szCs w:val="20"/>
          <w:lang w:val="el-GR"/>
        </w:rPr>
        <w:t>ακόλουθες ιστοσελίδες:</w:t>
      </w:r>
    </w:p>
    <w:p w14:paraId="31F79C00" w14:textId="77777777" w:rsidR="00D34354" w:rsidRPr="00B36FCA" w:rsidRDefault="00D34354" w:rsidP="00D34354">
      <w:pPr>
        <w:pStyle w:val="ListParagraph"/>
        <w:numPr>
          <w:ilvl w:val="0"/>
          <w:numId w:val="4"/>
        </w:numPr>
        <w:tabs>
          <w:tab w:val="left" w:pos="284"/>
        </w:tabs>
        <w:spacing w:line="360" w:lineRule="auto"/>
        <w:jc w:val="both"/>
        <w:rPr>
          <w:rFonts w:ascii="Arial" w:eastAsia="Times New Roman" w:hAnsi="Arial" w:cs="Arial"/>
          <w:sz w:val="20"/>
          <w:szCs w:val="20"/>
          <w:lang w:val="it-IT" w:eastAsia="el-GR"/>
        </w:rPr>
      </w:pPr>
      <w:r w:rsidRPr="00B36FCA">
        <w:rPr>
          <w:rFonts w:ascii="Arial" w:hAnsi="Arial" w:cs="Arial"/>
          <w:sz w:val="20"/>
          <w:szCs w:val="20"/>
        </w:rPr>
        <w:t>της</w:t>
      </w:r>
      <w:r w:rsidRPr="00B36FCA">
        <w:rPr>
          <w:rFonts w:ascii="Arial" w:hAnsi="Arial" w:cs="Arial"/>
          <w:sz w:val="20"/>
          <w:szCs w:val="20"/>
          <w:lang w:val="it-IT"/>
        </w:rPr>
        <w:t xml:space="preserve"> Attica Bank:</w:t>
      </w:r>
      <w:r w:rsidRPr="00B36FCA">
        <w:rPr>
          <w:rFonts w:ascii="Arial" w:eastAsia="Times New Roman" w:hAnsi="Arial" w:cs="Arial"/>
          <w:sz w:val="20"/>
          <w:szCs w:val="20"/>
          <w:lang w:val="it-IT" w:eastAsia="el-GR"/>
        </w:rPr>
        <w:t xml:space="preserve"> </w:t>
      </w:r>
      <w:bookmarkStart w:id="2" w:name="_Hlk179473284"/>
      <w:r w:rsidR="00355D60" w:rsidRPr="00B36FCA">
        <w:fldChar w:fldCharType="begin"/>
      </w:r>
      <w:r w:rsidR="00355D60" w:rsidRPr="00B36FCA">
        <w:rPr>
          <w:rFonts w:ascii="Arial" w:hAnsi="Arial" w:cs="Arial"/>
          <w:sz w:val="20"/>
          <w:szCs w:val="20"/>
          <w:lang w:val="en-US"/>
        </w:rPr>
        <w:instrText>HYPERLINK "https://www.atticabank.gr/el/group/investors/" \l "enimerotika-deltia"</w:instrText>
      </w:r>
      <w:r w:rsidR="00355D60" w:rsidRPr="00B36FCA">
        <w:fldChar w:fldCharType="separate"/>
      </w:r>
      <w:r w:rsidR="00355D60" w:rsidRPr="00B36FCA">
        <w:rPr>
          <w:rStyle w:val="Hyperlink"/>
          <w:rFonts w:ascii="Arial" w:hAnsi="Arial" w:cs="Arial"/>
          <w:sz w:val="20"/>
          <w:szCs w:val="20"/>
          <w:lang w:val="it-IT"/>
        </w:rPr>
        <w:t>https://www.atticabank.gr/el/group/investors/#enimerotika-deltia</w:t>
      </w:r>
      <w:r w:rsidR="00355D60" w:rsidRPr="00B36FCA">
        <w:rPr>
          <w:rStyle w:val="Hyperlink"/>
          <w:rFonts w:ascii="Arial" w:hAnsi="Arial" w:cs="Arial"/>
          <w:sz w:val="20"/>
          <w:szCs w:val="20"/>
          <w:lang w:val="it-IT"/>
        </w:rPr>
        <w:fldChar w:fldCharType="end"/>
      </w:r>
      <w:r w:rsidR="00355D60" w:rsidRPr="00B36FCA">
        <w:rPr>
          <w:rFonts w:ascii="Arial" w:hAnsi="Arial" w:cs="Arial"/>
          <w:sz w:val="20"/>
          <w:szCs w:val="20"/>
          <w:lang w:val="it-IT"/>
        </w:rPr>
        <w:t xml:space="preserve"> </w:t>
      </w:r>
      <w:bookmarkEnd w:id="2"/>
    </w:p>
    <w:p w14:paraId="03288409" w14:textId="77777777" w:rsidR="00D34354" w:rsidRPr="00B36FCA" w:rsidRDefault="00D34354" w:rsidP="00D34354">
      <w:pPr>
        <w:pStyle w:val="ListParagraph"/>
        <w:numPr>
          <w:ilvl w:val="0"/>
          <w:numId w:val="4"/>
        </w:numPr>
        <w:tabs>
          <w:tab w:val="left" w:pos="284"/>
        </w:tabs>
        <w:spacing w:line="360" w:lineRule="auto"/>
        <w:jc w:val="both"/>
        <w:rPr>
          <w:rFonts w:ascii="Arial" w:eastAsia="Times New Roman" w:hAnsi="Arial" w:cs="Arial"/>
          <w:sz w:val="20"/>
          <w:szCs w:val="20"/>
          <w:lang w:eastAsia="el-GR"/>
        </w:rPr>
      </w:pPr>
      <w:r w:rsidRPr="00B36FCA">
        <w:rPr>
          <w:rFonts w:ascii="Arial" w:hAnsi="Arial" w:cs="Arial"/>
          <w:sz w:val="20"/>
          <w:szCs w:val="20"/>
        </w:rPr>
        <w:t>του Χ.Α.:</w:t>
      </w:r>
      <w:r w:rsidRPr="00B36FCA">
        <w:rPr>
          <w:rFonts w:ascii="Arial" w:eastAsia="Times New Roman" w:hAnsi="Arial" w:cs="Arial"/>
          <w:sz w:val="20"/>
          <w:szCs w:val="20"/>
          <w:lang w:eastAsia="el-GR"/>
        </w:rPr>
        <w:t xml:space="preserve"> </w:t>
      </w:r>
      <w:bookmarkStart w:id="3" w:name="_Hlk179473296"/>
      <w:r w:rsidRPr="00B36FCA">
        <w:fldChar w:fldCharType="begin"/>
      </w:r>
      <w:r w:rsidRPr="00B36FCA">
        <w:rPr>
          <w:rFonts w:ascii="Arial" w:hAnsi="Arial" w:cs="Arial"/>
          <w:sz w:val="20"/>
          <w:szCs w:val="20"/>
        </w:rPr>
        <w:instrText>HYPERLINK "http://www.helex.gr/el/web/guest/company-prospectus"</w:instrText>
      </w:r>
      <w:r w:rsidRPr="00B36FCA">
        <w:fldChar w:fldCharType="separate"/>
      </w:r>
      <w:r w:rsidRPr="00B36FCA">
        <w:rPr>
          <w:rStyle w:val="Hyperlink"/>
          <w:rFonts w:ascii="Arial" w:eastAsia="Times New Roman" w:hAnsi="Arial" w:cs="Arial"/>
          <w:sz w:val="20"/>
          <w:szCs w:val="20"/>
          <w:lang w:val="en-US" w:eastAsia="el-GR"/>
        </w:rPr>
        <w:t>http</w:t>
      </w:r>
      <w:r w:rsidRPr="00B36FCA">
        <w:rPr>
          <w:rStyle w:val="Hyperlink"/>
          <w:rFonts w:ascii="Arial" w:eastAsia="Times New Roman" w:hAnsi="Arial" w:cs="Arial"/>
          <w:sz w:val="20"/>
          <w:szCs w:val="20"/>
          <w:lang w:eastAsia="el-GR"/>
        </w:rPr>
        <w:t>://</w:t>
      </w:r>
      <w:r w:rsidRPr="00B36FCA">
        <w:rPr>
          <w:rStyle w:val="Hyperlink"/>
          <w:rFonts w:ascii="Arial" w:eastAsia="Times New Roman" w:hAnsi="Arial" w:cs="Arial"/>
          <w:sz w:val="20"/>
          <w:szCs w:val="20"/>
          <w:lang w:val="en-US" w:eastAsia="el-GR"/>
        </w:rPr>
        <w:t>www</w:t>
      </w:r>
      <w:r w:rsidRPr="00B36FCA">
        <w:rPr>
          <w:rStyle w:val="Hyperlink"/>
          <w:rFonts w:ascii="Arial" w:eastAsia="Times New Roman" w:hAnsi="Arial" w:cs="Arial"/>
          <w:sz w:val="20"/>
          <w:szCs w:val="20"/>
          <w:lang w:eastAsia="el-GR"/>
        </w:rPr>
        <w:t>.</w:t>
      </w:r>
      <w:proofErr w:type="spellStart"/>
      <w:r w:rsidRPr="00B36FCA">
        <w:rPr>
          <w:rStyle w:val="Hyperlink"/>
          <w:rFonts w:ascii="Arial" w:eastAsia="Times New Roman" w:hAnsi="Arial" w:cs="Arial"/>
          <w:sz w:val="20"/>
          <w:szCs w:val="20"/>
          <w:lang w:val="en-US" w:eastAsia="el-GR"/>
        </w:rPr>
        <w:t>helex</w:t>
      </w:r>
      <w:proofErr w:type="spellEnd"/>
      <w:r w:rsidRPr="00B36FCA">
        <w:rPr>
          <w:rStyle w:val="Hyperlink"/>
          <w:rFonts w:ascii="Arial" w:eastAsia="Times New Roman" w:hAnsi="Arial" w:cs="Arial"/>
          <w:sz w:val="20"/>
          <w:szCs w:val="20"/>
          <w:lang w:eastAsia="el-GR"/>
        </w:rPr>
        <w:t>.</w:t>
      </w:r>
      <w:r w:rsidRPr="00B36FCA">
        <w:rPr>
          <w:rStyle w:val="Hyperlink"/>
          <w:rFonts w:ascii="Arial" w:eastAsia="Times New Roman" w:hAnsi="Arial" w:cs="Arial"/>
          <w:sz w:val="20"/>
          <w:szCs w:val="20"/>
          <w:lang w:val="en-US" w:eastAsia="el-GR"/>
        </w:rPr>
        <w:t>gr</w:t>
      </w:r>
      <w:r w:rsidRPr="00B36FCA">
        <w:rPr>
          <w:rStyle w:val="Hyperlink"/>
          <w:rFonts w:ascii="Arial" w:eastAsia="Times New Roman" w:hAnsi="Arial" w:cs="Arial"/>
          <w:sz w:val="20"/>
          <w:szCs w:val="20"/>
          <w:lang w:eastAsia="el-GR"/>
        </w:rPr>
        <w:t>/</w:t>
      </w:r>
      <w:proofErr w:type="spellStart"/>
      <w:r w:rsidRPr="00B36FCA">
        <w:rPr>
          <w:rStyle w:val="Hyperlink"/>
          <w:rFonts w:ascii="Arial" w:eastAsia="Times New Roman" w:hAnsi="Arial" w:cs="Arial"/>
          <w:sz w:val="20"/>
          <w:szCs w:val="20"/>
          <w:lang w:val="en-US" w:eastAsia="el-GR"/>
        </w:rPr>
        <w:t>el</w:t>
      </w:r>
      <w:proofErr w:type="spellEnd"/>
      <w:r w:rsidRPr="00B36FCA">
        <w:rPr>
          <w:rStyle w:val="Hyperlink"/>
          <w:rFonts w:ascii="Arial" w:eastAsia="Times New Roman" w:hAnsi="Arial" w:cs="Arial"/>
          <w:sz w:val="20"/>
          <w:szCs w:val="20"/>
          <w:lang w:eastAsia="el-GR"/>
        </w:rPr>
        <w:t>/</w:t>
      </w:r>
      <w:r w:rsidRPr="00B36FCA">
        <w:rPr>
          <w:rStyle w:val="Hyperlink"/>
          <w:rFonts w:ascii="Arial" w:eastAsia="Times New Roman" w:hAnsi="Arial" w:cs="Arial"/>
          <w:sz w:val="20"/>
          <w:szCs w:val="20"/>
          <w:lang w:val="en-US" w:eastAsia="el-GR"/>
        </w:rPr>
        <w:t>web</w:t>
      </w:r>
      <w:r w:rsidRPr="00B36FCA">
        <w:rPr>
          <w:rStyle w:val="Hyperlink"/>
          <w:rFonts w:ascii="Arial" w:eastAsia="Times New Roman" w:hAnsi="Arial" w:cs="Arial"/>
          <w:sz w:val="20"/>
          <w:szCs w:val="20"/>
          <w:lang w:eastAsia="el-GR"/>
        </w:rPr>
        <w:t>/</w:t>
      </w:r>
      <w:r w:rsidRPr="00B36FCA">
        <w:rPr>
          <w:rStyle w:val="Hyperlink"/>
          <w:rFonts w:ascii="Arial" w:eastAsia="Times New Roman" w:hAnsi="Arial" w:cs="Arial"/>
          <w:sz w:val="20"/>
          <w:szCs w:val="20"/>
          <w:lang w:val="en-US" w:eastAsia="el-GR"/>
        </w:rPr>
        <w:t>guest</w:t>
      </w:r>
      <w:r w:rsidRPr="00B36FCA">
        <w:rPr>
          <w:rStyle w:val="Hyperlink"/>
          <w:rFonts w:ascii="Arial" w:eastAsia="Times New Roman" w:hAnsi="Arial" w:cs="Arial"/>
          <w:sz w:val="20"/>
          <w:szCs w:val="20"/>
          <w:lang w:eastAsia="el-GR"/>
        </w:rPr>
        <w:t>/</w:t>
      </w:r>
      <w:r w:rsidRPr="00B36FCA">
        <w:rPr>
          <w:rStyle w:val="Hyperlink"/>
          <w:rFonts w:ascii="Arial" w:eastAsia="Times New Roman" w:hAnsi="Arial" w:cs="Arial"/>
          <w:sz w:val="20"/>
          <w:szCs w:val="20"/>
          <w:lang w:val="en-US" w:eastAsia="el-GR"/>
        </w:rPr>
        <w:t>company</w:t>
      </w:r>
      <w:r w:rsidRPr="00B36FCA">
        <w:rPr>
          <w:rStyle w:val="Hyperlink"/>
          <w:rFonts w:ascii="Arial" w:eastAsia="Times New Roman" w:hAnsi="Arial" w:cs="Arial"/>
          <w:sz w:val="20"/>
          <w:szCs w:val="20"/>
          <w:lang w:eastAsia="el-GR"/>
        </w:rPr>
        <w:t>-</w:t>
      </w:r>
      <w:r w:rsidRPr="00B36FCA">
        <w:rPr>
          <w:rStyle w:val="Hyperlink"/>
          <w:rFonts w:ascii="Arial" w:eastAsia="Times New Roman" w:hAnsi="Arial" w:cs="Arial"/>
          <w:sz w:val="20"/>
          <w:szCs w:val="20"/>
          <w:lang w:val="en-US" w:eastAsia="el-GR"/>
        </w:rPr>
        <w:t>prospectus</w:t>
      </w:r>
      <w:r w:rsidRPr="00B36FCA">
        <w:rPr>
          <w:rStyle w:val="Hyperlink"/>
          <w:rFonts w:ascii="Arial" w:eastAsia="Times New Roman" w:hAnsi="Arial" w:cs="Arial"/>
          <w:sz w:val="20"/>
          <w:szCs w:val="20"/>
          <w:lang w:val="en-US" w:eastAsia="el-GR"/>
        </w:rPr>
        <w:fldChar w:fldCharType="end"/>
      </w:r>
      <w:r w:rsidRPr="00B36FCA">
        <w:rPr>
          <w:rFonts w:ascii="Arial" w:eastAsia="Times New Roman" w:hAnsi="Arial" w:cs="Arial"/>
          <w:sz w:val="20"/>
          <w:szCs w:val="20"/>
          <w:lang w:eastAsia="el-GR"/>
        </w:rPr>
        <w:t xml:space="preserve"> </w:t>
      </w:r>
      <w:bookmarkEnd w:id="3"/>
    </w:p>
    <w:p w14:paraId="445E01E8" w14:textId="77777777" w:rsidR="0052304C" w:rsidRPr="00B36FCA" w:rsidRDefault="0052304C" w:rsidP="00D34354">
      <w:pPr>
        <w:spacing w:line="360" w:lineRule="auto"/>
        <w:jc w:val="both"/>
        <w:rPr>
          <w:rFonts w:ascii="Arial" w:hAnsi="Arial" w:cs="Arial"/>
          <w:sz w:val="20"/>
          <w:szCs w:val="20"/>
          <w:lang w:val="el-GR"/>
        </w:rPr>
      </w:pPr>
      <w:r w:rsidRPr="00B36FCA">
        <w:rPr>
          <w:rFonts w:ascii="Arial" w:eastAsia="Times New Roman" w:hAnsi="Arial" w:cs="Arial"/>
          <w:sz w:val="20"/>
          <w:szCs w:val="20"/>
          <w:lang w:val="el-GR" w:eastAsia="el-GR"/>
        </w:rPr>
        <w:t xml:space="preserve">Επίσης, το ενιαίο κείμενο του Ενημερωτικού Δελτίου θα είναι δωρεάν διαθέσιμο στο επενδυτικό κοινό και σε έντυπη μορφή, εφόσον ζητηθεί, στο δίκτυο καταστημάτων της </w:t>
      </w:r>
      <w:r w:rsidR="00166451" w:rsidRPr="00B36FCA">
        <w:rPr>
          <w:rFonts w:ascii="Arial" w:eastAsia="Times New Roman" w:hAnsi="Arial" w:cs="Arial"/>
          <w:sz w:val="20"/>
          <w:szCs w:val="20"/>
          <w:lang w:val="el-GR" w:eastAsia="el-GR"/>
        </w:rPr>
        <w:t>Τράπεζας</w:t>
      </w:r>
      <w:r w:rsidRPr="00B36FCA">
        <w:rPr>
          <w:rFonts w:ascii="Arial" w:eastAsia="Times New Roman" w:hAnsi="Arial" w:cs="Arial"/>
          <w:sz w:val="20"/>
          <w:szCs w:val="20"/>
          <w:lang w:val="el-GR" w:eastAsia="el-GR"/>
        </w:rPr>
        <w:t>.</w:t>
      </w:r>
    </w:p>
    <w:p w14:paraId="657BFF0E" w14:textId="77777777" w:rsidR="00EB1740" w:rsidRPr="00B36FCA" w:rsidRDefault="00EB1740" w:rsidP="00075628">
      <w:pPr>
        <w:spacing w:before="240" w:line="360" w:lineRule="auto"/>
        <w:jc w:val="both"/>
        <w:rPr>
          <w:rFonts w:ascii="Arial" w:eastAsia="Times New Roman" w:hAnsi="Arial" w:cs="Arial"/>
          <w:sz w:val="20"/>
          <w:szCs w:val="20"/>
          <w:lang w:val="el-GR" w:eastAsia="el-GR"/>
        </w:rPr>
      </w:pPr>
      <w:r w:rsidRPr="00B36FCA">
        <w:rPr>
          <w:rFonts w:ascii="Arial" w:eastAsia="Times New Roman" w:hAnsi="Arial" w:cs="Arial"/>
          <w:sz w:val="20"/>
          <w:szCs w:val="20"/>
          <w:lang w:val="el-GR" w:eastAsia="el-GR"/>
        </w:rPr>
        <w:t xml:space="preserve">Για περισσότερες πληροφορίες, οι επενδυτές μπορούν να απευθύνονται </w:t>
      </w:r>
      <w:r w:rsidR="00166451" w:rsidRPr="00B36FCA">
        <w:rPr>
          <w:rFonts w:ascii="Arial" w:eastAsia="Times New Roman" w:hAnsi="Arial" w:cs="Arial"/>
          <w:sz w:val="20"/>
          <w:szCs w:val="20"/>
          <w:lang w:val="el-GR" w:eastAsia="el-GR"/>
        </w:rPr>
        <w:t xml:space="preserve">στο κάτωθι </w:t>
      </w:r>
      <w:r w:rsidR="00166451" w:rsidRPr="00B36FCA">
        <w:rPr>
          <w:rFonts w:ascii="Arial" w:eastAsia="Times New Roman" w:hAnsi="Arial" w:cs="Arial"/>
          <w:sz w:val="20"/>
          <w:szCs w:val="20"/>
          <w:lang w:eastAsia="el-GR"/>
        </w:rPr>
        <w:t>email</w:t>
      </w:r>
      <w:r w:rsidR="00166451" w:rsidRPr="00B36FCA">
        <w:rPr>
          <w:rFonts w:ascii="Arial" w:eastAsia="Times New Roman" w:hAnsi="Arial" w:cs="Arial"/>
          <w:sz w:val="20"/>
          <w:szCs w:val="20"/>
          <w:lang w:val="el-GR" w:eastAsia="el-GR"/>
        </w:rPr>
        <w:t xml:space="preserve"> </w:t>
      </w:r>
      <w:hyperlink w:history="1">
        <w:r w:rsidR="00166451" w:rsidRPr="00B36FCA">
          <w:rPr>
            <w:rStyle w:val="Hyperlink"/>
            <w:rFonts w:ascii="Arial" w:eastAsia="Times New Roman" w:hAnsi="Arial" w:cs="Arial"/>
            <w:sz w:val="20"/>
            <w:szCs w:val="20"/>
            <w:lang w:eastAsia="el-GR"/>
          </w:rPr>
          <w:t>info</w:t>
        </w:r>
        <w:r w:rsidR="00166451" w:rsidRPr="00B36FCA">
          <w:rPr>
            <w:rStyle w:val="Hyperlink"/>
            <w:rFonts w:ascii="Arial" w:eastAsia="Times New Roman" w:hAnsi="Arial" w:cs="Arial"/>
            <w:sz w:val="20"/>
            <w:szCs w:val="20"/>
            <w:lang w:val="el-GR" w:eastAsia="el-GR"/>
          </w:rPr>
          <w:t>@</w:t>
        </w:r>
        <w:proofErr w:type="spellStart"/>
        <w:r w:rsidR="00166451" w:rsidRPr="00B36FCA">
          <w:rPr>
            <w:rStyle w:val="Hyperlink"/>
            <w:rFonts w:ascii="Arial" w:eastAsia="Times New Roman" w:hAnsi="Arial" w:cs="Arial"/>
            <w:sz w:val="20"/>
            <w:szCs w:val="20"/>
            <w:lang w:eastAsia="el-GR"/>
          </w:rPr>
          <w:t>atticabank</w:t>
        </w:r>
        <w:proofErr w:type="spellEnd"/>
        <w:r w:rsidR="00166451" w:rsidRPr="00B36FCA">
          <w:rPr>
            <w:rStyle w:val="Hyperlink"/>
            <w:rFonts w:ascii="Arial" w:eastAsia="Times New Roman" w:hAnsi="Arial" w:cs="Arial"/>
            <w:sz w:val="20"/>
            <w:szCs w:val="20"/>
            <w:lang w:val="el-GR" w:eastAsia="el-GR"/>
          </w:rPr>
          <w:t>.</w:t>
        </w:r>
        <w:r w:rsidR="00166451" w:rsidRPr="00B36FCA">
          <w:rPr>
            <w:rStyle w:val="Hyperlink"/>
            <w:rFonts w:ascii="Arial" w:eastAsia="Times New Roman" w:hAnsi="Arial" w:cs="Arial"/>
            <w:sz w:val="20"/>
            <w:szCs w:val="20"/>
            <w:lang w:eastAsia="el-GR"/>
          </w:rPr>
          <w:t>gr</w:t>
        </w:r>
      </w:hyperlink>
      <w:r w:rsidR="00166451" w:rsidRPr="00B36FCA">
        <w:rPr>
          <w:rFonts w:ascii="Arial" w:eastAsia="Times New Roman" w:hAnsi="Arial" w:cs="Arial"/>
          <w:sz w:val="20"/>
          <w:szCs w:val="20"/>
          <w:lang w:val="el-GR" w:eastAsia="el-GR"/>
        </w:rPr>
        <w:t xml:space="preserve"> </w:t>
      </w:r>
    </w:p>
    <w:p w14:paraId="60F4A61C" w14:textId="77777777" w:rsidR="00235D81" w:rsidRPr="0032033F" w:rsidRDefault="00235D81" w:rsidP="002E5DE1">
      <w:pPr>
        <w:jc w:val="both"/>
        <w:rPr>
          <w:rFonts w:ascii="Arial" w:hAnsi="Arial" w:cs="Arial"/>
          <w:sz w:val="20"/>
          <w:szCs w:val="20"/>
          <w:lang w:val="el-GR"/>
        </w:rPr>
      </w:pPr>
    </w:p>
    <w:p w14:paraId="24955AD6" w14:textId="77777777" w:rsidR="003B1F56" w:rsidRPr="0052304C" w:rsidRDefault="003B1F56" w:rsidP="003B1F56">
      <w:pPr>
        <w:pStyle w:val="NormalWeb"/>
        <w:shd w:val="clear" w:color="auto" w:fill="FFFFFF"/>
        <w:spacing w:before="0" w:beforeAutospacing="0" w:after="0" w:afterAutospacing="0" w:line="360" w:lineRule="auto"/>
        <w:jc w:val="center"/>
        <w:rPr>
          <w:rFonts w:ascii="Arial" w:hAnsi="Arial" w:cs="Arial"/>
          <w:b/>
          <w:sz w:val="20"/>
          <w:szCs w:val="20"/>
          <w:lang w:val="el-GR"/>
        </w:rPr>
      </w:pPr>
      <w:r w:rsidRPr="0032033F">
        <w:rPr>
          <w:rFonts w:ascii="Arial" w:hAnsi="Arial" w:cs="Arial"/>
          <w:b/>
          <w:sz w:val="20"/>
          <w:szCs w:val="20"/>
        </w:rPr>
        <w:t>ATTICA</w:t>
      </w:r>
      <w:r w:rsidRPr="0032033F">
        <w:rPr>
          <w:rFonts w:ascii="Arial" w:hAnsi="Arial" w:cs="Arial"/>
          <w:b/>
          <w:sz w:val="20"/>
          <w:szCs w:val="20"/>
          <w:lang w:val="el-GR"/>
        </w:rPr>
        <w:t xml:space="preserve"> </w:t>
      </w:r>
      <w:r w:rsidRPr="0032033F">
        <w:rPr>
          <w:rFonts w:ascii="Arial" w:hAnsi="Arial" w:cs="Arial"/>
          <w:b/>
          <w:sz w:val="20"/>
          <w:szCs w:val="20"/>
        </w:rPr>
        <w:t>BANK</w:t>
      </w:r>
      <w:r w:rsidRPr="0032033F">
        <w:rPr>
          <w:rFonts w:ascii="Arial" w:hAnsi="Arial" w:cs="Arial"/>
          <w:b/>
          <w:sz w:val="20"/>
          <w:szCs w:val="20"/>
          <w:lang w:val="el-GR"/>
        </w:rPr>
        <w:t xml:space="preserve"> ΑΝΩΝΥΜΗ ΤΡΑΠΕΖΙΚΗ ΕΤΑΙΡΕΙΑ</w:t>
      </w:r>
    </w:p>
    <w:p w14:paraId="10CA9558" w14:textId="77777777" w:rsidR="00EC7DF4" w:rsidRPr="0052304C" w:rsidRDefault="00EC7DF4" w:rsidP="003B1F56">
      <w:pPr>
        <w:pStyle w:val="NormalWeb"/>
        <w:shd w:val="clear" w:color="auto" w:fill="FFFFFF"/>
        <w:spacing w:before="0" w:beforeAutospacing="0" w:after="0" w:afterAutospacing="0" w:line="360" w:lineRule="auto"/>
        <w:jc w:val="center"/>
        <w:rPr>
          <w:rFonts w:ascii="Arial" w:hAnsi="Arial" w:cs="Arial"/>
          <w:b/>
          <w:sz w:val="20"/>
          <w:szCs w:val="20"/>
          <w:lang w:val="el-GR"/>
        </w:rPr>
      </w:pPr>
    </w:p>
    <w:sectPr w:rsidR="00EC7DF4" w:rsidRPr="0052304C" w:rsidSect="00B36FCA">
      <w:footerReference w:type="even" r:id="rId10"/>
      <w:footerReference w:type="first" r:id="rId11"/>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ED10B" w14:textId="77777777" w:rsidR="00EB5448" w:rsidRDefault="00EB5448" w:rsidP="006F34A4">
      <w:pPr>
        <w:spacing w:after="0" w:line="240" w:lineRule="auto"/>
      </w:pPr>
      <w:r>
        <w:separator/>
      </w:r>
    </w:p>
  </w:endnote>
  <w:endnote w:type="continuationSeparator" w:id="0">
    <w:p w14:paraId="07DEC732" w14:textId="77777777" w:rsidR="00EB5448" w:rsidRDefault="00EB5448" w:rsidP="006F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140A3" w14:textId="04D65FB0" w:rsidR="004B7D45" w:rsidRDefault="005E06EB">
    <w:r>
      <w:fldChar w:fldCharType="begin"/>
    </w:r>
    <w:r>
      <w:instrText>DOCPROPERTY iManageFooter \* MERGEFORMAT</w:instrText>
    </w:r>
    <w:r>
      <w:fldChar w:fldCharType="separate"/>
    </w:r>
    <w:r>
      <w:t>PV:4075148.6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FA8F" w14:textId="35637FE4" w:rsidR="004B7D45" w:rsidRDefault="005E06EB">
    <w:r>
      <w:fldChar w:fldCharType="begin"/>
    </w:r>
    <w:r>
      <w:instrText>DOCPROPERTY iManageFooter \* MERGEFORMAT</w:instrText>
    </w:r>
    <w:r>
      <w:fldChar w:fldCharType="separate"/>
    </w:r>
    <w:r>
      <w:t>PV:4075148.6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1E7FC" w14:textId="77777777" w:rsidR="00EB5448" w:rsidRDefault="00EB5448" w:rsidP="006F34A4">
      <w:pPr>
        <w:spacing w:after="0" w:line="240" w:lineRule="auto"/>
      </w:pPr>
      <w:r>
        <w:separator/>
      </w:r>
    </w:p>
  </w:footnote>
  <w:footnote w:type="continuationSeparator" w:id="0">
    <w:p w14:paraId="01B02ECB" w14:textId="77777777" w:rsidR="00EB5448" w:rsidRDefault="00EB5448" w:rsidP="006F34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F4340"/>
    <w:multiLevelType w:val="hybridMultilevel"/>
    <w:tmpl w:val="4D16BE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9D63B4"/>
    <w:multiLevelType w:val="hybridMultilevel"/>
    <w:tmpl w:val="0DDC0090"/>
    <w:lvl w:ilvl="0" w:tplc="7B4A311C">
      <w:start w:val="1"/>
      <w:numFmt w:val="lowerRoman"/>
      <w:lvlText w:val="(%1)"/>
      <w:lvlJc w:val="left"/>
      <w:pPr>
        <w:ind w:left="720" w:hanging="360"/>
      </w:pPr>
      <w:rPr>
        <w:rFonts w:ascii="Calibri" w:hAnsi="Calibri" w:hint="default"/>
        <w:sz w:val="22"/>
      </w:rPr>
    </w:lvl>
    <w:lvl w:ilvl="1" w:tplc="09902F2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F1F2D85"/>
    <w:multiLevelType w:val="hybridMultilevel"/>
    <w:tmpl w:val="34BEEAFE"/>
    <w:lvl w:ilvl="0" w:tplc="B4DE40C8">
      <w:start w:val="1"/>
      <w:numFmt w:val="lowerRoman"/>
      <w:lvlText w:val="(%1)"/>
      <w:lvlJc w:val="left"/>
      <w:pPr>
        <w:ind w:left="1429" w:hanging="360"/>
      </w:pPr>
      <w:rPr>
        <w:rFonts w:asciiTheme="minorHAnsi" w:hAnsiTheme="minorHAnsi" w:cstheme="minorHAnsi" w:hint="default"/>
        <w:b w:val="0"/>
        <w:sz w:val="20"/>
        <w:szCs w:val="20"/>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3" w15:restartNumberingAfterBreak="0">
    <w:nsid w:val="2A037487"/>
    <w:multiLevelType w:val="hybridMultilevel"/>
    <w:tmpl w:val="70BC6B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03661374">
    <w:abstractNumId w:val="1"/>
  </w:num>
  <w:num w:numId="2" w16cid:durableId="723481107">
    <w:abstractNumId w:val="2"/>
  </w:num>
  <w:num w:numId="3" w16cid:durableId="28577215">
    <w:abstractNumId w:val="0"/>
  </w:num>
  <w:num w:numId="4" w16cid:durableId="1921281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A2"/>
    <w:rsid w:val="00002065"/>
    <w:rsid w:val="000037FE"/>
    <w:rsid w:val="00020089"/>
    <w:rsid w:val="000271C6"/>
    <w:rsid w:val="00027D4F"/>
    <w:rsid w:val="0006793E"/>
    <w:rsid w:val="00071912"/>
    <w:rsid w:val="0007393B"/>
    <w:rsid w:val="00075628"/>
    <w:rsid w:val="00084646"/>
    <w:rsid w:val="00084BD5"/>
    <w:rsid w:val="00090730"/>
    <w:rsid w:val="00091DD3"/>
    <w:rsid w:val="000A2667"/>
    <w:rsid w:val="000A4CD4"/>
    <w:rsid w:val="000A5639"/>
    <w:rsid w:val="000C3DE2"/>
    <w:rsid w:val="000E71B4"/>
    <w:rsid w:val="000F0D50"/>
    <w:rsid w:val="00101838"/>
    <w:rsid w:val="001079C8"/>
    <w:rsid w:val="00120F43"/>
    <w:rsid w:val="00124516"/>
    <w:rsid w:val="00130DD6"/>
    <w:rsid w:val="00141910"/>
    <w:rsid w:val="0015600D"/>
    <w:rsid w:val="00165090"/>
    <w:rsid w:val="00166451"/>
    <w:rsid w:val="00170FC9"/>
    <w:rsid w:val="0017153A"/>
    <w:rsid w:val="00173642"/>
    <w:rsid w:val="00174282"/>
    <w:rsid w:val="00175920"/>
    <w:rsid w:val="00180004"/>
    <w:rsid w:val="001819DA"/>
    <w:rsid w:val="00184499"/>
    <w:rsid w:val="001A1DCB"/>
    <w:rsid w:val="00207669"/>
    <w:rsid w:val="00214135"/>
    <w:rsid w:val="00216179"/>
    <w:rsid w:val="00226E7E"/>
    <w:rsid w:val="002336C6"/>
    <w:rsid w:val="00235D81"/>
    <w:rsid w:val="00247D41"/>
    <w:rsid w:val="00251D85"/>
    <w:rsid w:val="0026103C"/>
    <w:rsid w:val="002805EE"/>
    <w:rsid w:val="0028096A"/>
    <w:rsid w:val="00285592"/>
    <w:rsid w:val="00291A22"/>
    <w:rsid w:val="002A60E5"/>
    <w:rsid w:val="002B5398"/>
    <w:rsid w:val="002C120A"/>
    <w:rsid w:val="002C690A"/>
    <w:rsid w:val="002E5DE1"/>
    <w:rsid w:val="003073D7"/>
    <w:rsid w:val="0032033F"/>
    <w:rsid w:val="0032249C"/>
    <w:rsid w:val="0034695C"/>
    <w:rsid w:val="00355D60"/>
    <w:rsid w:val="00372286"/>
    <w:rsid w:val="00372640"/>
    <w:rsid w:val="00372F00"/>
    <w:rsid w:val="0037762A"/>
    <w:rsid w:val="003B1F56"/>
    <w:rsid w:val="003E7298"/>
    <w:rsid w:val="003F517D"/>
    <w:rsid w:val="00401F8E"/>
    <w:rsid w:val="00404589"/>
    <w:rsid w:val="00406ED9"/>
    <w:rsid w:val="00420A43"/>
    <w:rsid w:val="00424A56"/>
    <w:rsid w:val="00434367"/>
    <w:rsid w:val="00446F6C"/>
    <w:rsid w:val="004561E2"/>
    <w:rsid w:val="00471C9A"/>
    <w:rsid w:val="00490056"/>
    <w:rsid w:val="00495575"/>
    <w:rsid w:val="004B3E5F"/>
    <w:rsid w:val="004B7D45"/>
    <w:rsid w:val="004D1FBF"/>
    <w:rsid w:val="004D5953"/>
    <w:rsid w:val="004D5BA0"/>
    <w:rsid w:val="004E20A6"/>
    <w:rsid w:val="004E4204"/>
    <w:rsid w:val="004E7247"/>
    <w:rsid w:val="004F3A8D"/>
    <w:rsid w:val="005138F1"/>
    <w:rsid w:val="00515B3D"/>
    <w:rsid w:val="0052304C"/>
    <w:rsid w:val="005617DD"/>
    <w:rsid w:val="0057758A"/>
    <w:rsid w:val="00584242"/>
    <w:rsid w:val="00593900"/>
    <w:rsid w:val="0059744C"/>
    <w:rsid w:val="005A0CC7"/>
    <w:rsid w:val="005A1396"/>
    <w:rsid w:val="005A2697"/>
    <w:rsid w:val="005A49C1"/>
    <w:rsid w:val="005B0A90"/>
    <w:rsid w:val="005B213F"/>
    <w:rsid w:val="005B5175"/>
    <w:rsid w:val="005E06EB"/>
    <w:rsid w:val="005E3B01"/>
    <w:rsid w:val="005F20EC"/>
    <w:rsid w:val="005F4FB9"/>
    <w:rsid w:val="006208F9"/>
    <w:rsid w:val="00654022"/>
    <w:rsid w:val="00664318"/>
    <w:rsid w:val="006649AE"/>
    <w:rsid w:val="0066574D"/>
    <w:rsid w:val="00677C4C"/>
    <w:rsid w:val="006808C1"/>
    <w:rsid w:val="00685461"/>
    <w:rsid w:val="00685DB3"/>
    <w:rsid w:val="00692AFF"/>
    <w:rsid w:val="00693D81"/>
    <w:rsid w:val="006C65E2"/>
    <w:rsid w:val="006D1DC5"/>
    <w:rsid w:val="006D5D7A"/>
    <w:rsid w:val="006F34A4"/>
    <w:rsid w:val="0070698C"/>
    <w:rsid w:val="00745E0E"/>
    <w:rsid w:val="00763C6E"/>
    <w:rsid w:val="00795676"/>
    <w:rsid w:val="007B32EC"/>
    <w:rsid w:val="007C7834"/>
    <w:rsid w:val="007D3C68"/>
    <w:rsid w:val="007D7812"/>
    <w:rsid w:val="007E0001"/>
    <w:rsid w:val="007F7BC9"/>
    <w:rsid w:val="00805C95"/>
    <w:rsid w:val="00815280"/>
    <w:rsid w:val="00826405"/>
    <w:rsid w:val="008316F7"/>
    <w:rsid w:val="00831AB3"/>
    <w:rsid w:val="00835B9D"/>
    <w:rsid w:val="00836268"/>
    <w:rsid w:val="00841EEC"/>
    <w:rsid w:val="00854B44"/>
    <w:rsid w:val="008668F6"/>
    <w:rsid w:val="008822A2"/>
    <w:rsid w:val="00890860"/>
    <w:rsid w:val="008A00DF"/>
    <w:rsid w:val="008A79FA"/>
    <w:rsid w:val="008C47D9"/>
    <w:rsid w:val="008D3B82"/>
    <w:rsid w:val="00931C7F"/>
    <w:rsid w:val="00944F06"/>
    <w:rsid w:val="00952A35"/>
    <w:rsid w:val="00967D08"/>
    <w:rsid w:val="0097781E"/>
    <w:rsid w:val="00981233"/>
    <w:rsid w:val="00982CCE"/>
    <w:rsid w:val="00984EED"/>
    <w:rsid w:val="00987B65"/>
    <w:rsid w:val="00993953"/>
    <w:rsid w:val="009A7A48"/>
    <w:rsid w:val="009B135A"/>
    <w:rsid w:val="009B23BF"/>
    <w:rsid w:val="009D5B8D"/>
    <w:rsid w:val="009D65EF"/>
    <w:rsid w:val="009E6136"/>
    <w:rsid w:val="009F17E2"/>
    <w:rsid w:val="00A022E9"/>
    <w:rsid w:val="00A073E2"/>
    <w:rsid w:val="00A21156"/>
    <w:rsid w:val="00A23456"/>
    <w:rsid w:val="00A41A85"/>
    <w:rsid w:val="00A5698F"/>
    <w:rsid w:val="00A65892"/>
    <w:rsid w:val="00A74152"/>
    <w:rsid w:val="00A75EE0"/>
    <w:rsid w:val="00AB1F9E"/>
    <w:rsid w:val="00AD0B56"/>
    <w:rsid w:val="00AD0DAA"/>
    <w:rsid w:val="00AD6247"/>
    <w:rsid w:val="00AE42E1"/>
    <w:rsid w:val="00AE7D25"/>
    <w:rsid w:val="00B002A3"/>
    <w:rsid w:val="00B03080"/>
    <w:rsid w:val="00B11413"/>
    <w:rsid w:val="00B21B41"/>
    <w:rsid w:val="00B331B4"/>
    <w:rsid w:val="00B36FCA"/>
    <w:rsid w:val="00B6362D"/>
    <w:rsid w:val="00B756CA"/>
    <w:rsid w:val="00B8404A"/>
    <w:rsid w:val="00B950C2"/>
    <w:rsid w:val="00BB259C"/>
    <w:rsid w:val="00BC2007"/>
    <w:rsid w:val="00BD4C4B"/>
    <w:rsid w:val="00BE0EEC"/>
    <w:rsid w:val="00BE295F"/>
    <w:rsid w:val="00BF254D"/>
    <w:rsid w:val="00C02A9F"/>
    <w:rsid w:val="00C03D5E"/>
    <w:rsid w:val="00C27CB7"/>
    <w:rsid w:val="00C32096"/>
    <w:rsid w:val="00C332DD"/>
    <w:rsid w:val="00C425A2"/>
    <w:rsid w:val="00C45ED3"/>
    <w:rsid w:val="00C64BF6"/>
    <w:rsid w:val="00C677C3"/>
    <w:rsid w:val="00C6781F"/>
    <w:rsid w:val="00C722C5"/>
    <w:rsid w:val="00C7490C"/>
    <w:rsid w:val="00C75312"/>
    <w:rsid w:val="00CA437C"/>
    <w:rsid w:val="00CC3C69"/>
    <w:rsid w:val="00CC68EF"/>
    <w:rsid w:val="00CD7E9A"/>
    <w:rsid w:val="00D004A8"/>
    <w:rsid w:val="00D0542D"/>
    <w:rsid w:val="00D115F8"/>
    <w:rsid w:val="00D34354"/>
    <w:rsid w:val="00DC037A"/>
    <w:rsid w:val="00DD7132"/>
    <w:rsid w:val="00DE72FC"/>
    <w:rsid w:val="00DF68B5"/>
    <w:rsid w:val="00E26723"/>
    <w:rsid w:val="00E327FD"/>
    <w:rsid w:val="00E445F2"/>
    <w:rsid w:val="00E50DE6"/>
    <w:rsid w:val="00E528C0"/>
    <w:rsid w:val="00E61017"/>
    <w:rsid w:val="00E6672F"/>
    <w:rsid w:val="00E75969"/>
    <w:rsid w:val="00EB1740"/>
    <w:rsid w:val="00EB5448"/>
    <w:rsid w:val="00EC00B8"/>
    <w:rsid w:val="00EC1CB5"/>
    <w:rsid w:val="00EC6836"/>
    <w:rsid w:val="00EC7DF4"/>
    <w:rsid w:val="00ED02B0"/>
    <w:rsid w:val="00EE4D88"/>
    <w:rsid w:val="00EF6B6C"/>
    <w:rsid w:val="00F37183"/>
    <w:rsid w:val="00F62B3F"/>
    <w:rsid w:val="00F6599B"/>
    <w:rsid w:val="00F9560C"/>
    <w:rsid w:val="00F9662A"/>
    <w:rsid w:val="00F96812"/>
    <w:rsid w:val="00FF1466"/>
    <w:rsid w:val="00FF7802"/>
    <w:rsid w:val="00FF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D872"/>
  <w15:chartTrackingRefBased/>
  <w15:docId w15:val="{153FA4D1-F0F5-4001-9C1C-622859A5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5A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34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34A4"/>
  </w:style>
  <w:style w:type="paragraph" w:styleId="Footer">
    <w:name w:val="footer"/>
    <w:basedOn w:val="Normal"/>
    <w:link w:val="FooterChar"/>
    <w:uiPriority w:val="99"/>
    <w:unhideWhenUsed/>
    <w:rsid w:val="006F34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34A4"/>
  </w:style>
  <w:style w:type="paragraph" w:styleId="BalloonText">
    <w:name w:val="Balloon Text"/>
    <w:basedOn w:val="Normal"/>
    <w:link w:val="BalloonTextChar"/>
    <w:uiPriority w:val="99"/>
    <w:semiHidden/>
    <w:unhideWhenUsed/>
    <w:rsid w:val="009D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5EF"/>
    <w:rPr>
      <w:rFonts w:ascii="Segoe UI" w:hAnsi="Segoe UI" w:cs="Segoe UI"/>
      <w:sz w:val="18"/>
      <w:szCs w:val="18"/>
    </w:rPr>
  </w:style>
  <w:style w:type="paragraph" w:styleId="ListParagraph">
    <w:name w:val="List Paragraph"/>
    <w:basedOn w:val="Normal"/>
    <w:link w:val="ListParagraphChar"/>
    <w:uiPriority w:val="34"/>
    <w:qFormat/>
    <w:rsid w:val="004561E2"/>
    <w:pPr>
      <w:spacing w:after="200" w:line="276" w:lineRule="auto"/>
      <w:ind w:left="720"/>
      <w:contextualSpacing/>
    </w:pPr>
    <w:rPr>
      <w:lang w:val="el-GR"/>
    </w:rPr>
  </w:style>
  <w:style w:type="character" w:styleId="CommentReference">
    <w:name w:val="annotation reference"/>
    <w:basedOn w:val="DefaultParagraphFont"/>
    <w:uiPriority w:val="99"/>
    <w:semiHidden/>
    <w:unhideWhenUsed/>
    <w:rsid w:val="00D115F8"/>
    <w:rPr>
      <w:sz w:val="16"/>
      <w:szCs w:val="16"/>
    </w:rPr>
  </w:style>
  <w:style w:type="paragraph" w:styleId="CommentText">
    <w:name w:val="annotation text"/>
    <w:basedOn w:val="Normal"/>
    <w:link w:val="CommentTextChar"/>
    <w:uiPriority w:val="99"/>
    <w:unhideWhenUsed/>
    <w:rsid w:val="00D115F8"/>
    <w:pPr>
      <w:spacing w:line="240" w:lineRule="auto"/>
    </w:pPr>
    <w:rPr>
      <w:sz w:val="20"/>
      <w:szCs w:val="20"/>
    </w:rPr>
  </w:style>
  <w:style w:type="character" w:customStyle="1" w:styleId="CommentTextChar">
    <w:name w:val="Comment Text Char"/>
    <w:basedOn w:val="DefaultParagraphFont"/>
    <w:link w:val="CommentText"/>
    <w:uiPriority w:val="99"/>
    <w:rsid w:val="00D115F8"/>
    <w:rPr>
      <w:sz w:val="20"/>
      <w:szCs w:val="20"/>
    </w:rPr>
  </w:style>
  <w:style w:type="paragraph" w:styleId="CommentSubject">
    <w:name w:val="annotation subject"/>
    <w:basedOn w:val="CommentText"/>
    <w:next w:val="CommentText"/>
    <w:link w:val="CommentSubjectChar"/>
    <w:uiPriority w:val="99"/>
    <w:semiHidden/>
    <w:unhideWhenUsed/>
    <w:rsid w:val="00D115F8"/>
    <w:rPr>
      <w:b/>
      <w:bCs/>
    </w:rPr>
  </w:style>
  <w:style w:type="character" w:customStyle="1" w:styleId="CommentSubjectChar">
    <w:name w:val="Comment Subject Char"/>
    <w:basedOn w:val="CommentTextChar"/>
    <w:link w:val="CommentSubject"/>
    <w:uiPriority w:val="99"/>
    <w:semiHidden/>
    <w:rsid w:val="00D115F8"/>
    <w:rPr>
      <w:b/>
      <w:bCs/>
      <w:sz w:val="20"/>
      <w:szCs w:val="20"/>
    </w:rPr>
  </w:style>
  <w:style w:type="paragraph" w:styleId="Revision">
    <w:name w:val="Revision"/>
    <w:hidden/>
    <w:uiPriority w:val="99"/>
    <w:semiHidden/>
    <w:rsid w:val="00835B9D"/>
    <w:pPr>
      <w:spacing w:after="0" w:line="240" w:lineRule="auto"/>
    </w:pPr>
  </w:style>
  <w:style w:type="character" w:styleId="Hyperlink">
    <w:name w:val="Hyperlink"/>
    <w:basedOn w:val="DefaultParagraphFont"/>
    <w:uiPriority w:val="99"/>
    <w:unhideWhenUsed/>
    <w:rsid w:val="00091DD3"/>
    <w:rPr>
      <w:color w:val="0563C1" w:themeColor="hyperlink"/>
      <w:u w:val="single"/>
    </w:rPr>
  </w:style>
  <w:style w:type="character" w:customStyle="1" w:styleId="UnresolvedMention1">
    <w:name w:val="Unresolved Mention1"/>
    <w:basedOn w:val="DefaultParagraphFont"/>
    <w:uiPriority w:val="99"/>
    <w:semiHidden/>
    <w:unhideWhenUsed/>
    <w:rsid w:val="00091DD3"/>
    <w:rPr>
      <w:color w:val="605E5C"/>
      <w:shd w:val="clear" w:color="auto" w:fill="E1DFDD"/>
    </w:rPr>
  </w:style>
  <w:style w:type="character" w:customStyle="1" w:styleId="UnresolvedMention2">
    <w:name w:val="Unresolved Mention2"/>
    <w:basedOn w:val="DefaultParagraphFont"/>
    <w:uiPriority w:val="99"/>
    <w:semiHidden/>
    <w:unhideWhenUsed/>
    <w:rsid w:val="008C47D9"/>
    <w:rPr>
      <w:color w:val="605E5C"/>
      <w:shd w:val="clear" w:color="auto" w:fill="E1DFDD"/>
    </w:rPr>
  </w:style>
  <w:style w:type="character" w:customStyle="1" w:styleId="ListParagraphChar">
    <w:name w:val="List Paragraph Char"/>
    <w:basedOn w:val="DefaultParagraphFont"/>
    <w:link w:val="ListParagraph"/>
    <w:uiPriority w:val="34"/>
    <w:locked/>
    <w:rsid w:val="00967D08"/>
    <w:rPr>
      <w:lang w:val="el-GR"/>
    </w:rPr>
  </w:style>
  <w:style w:type="character" w:styleId="FollowedHyperlink">
    <w:name w:val="FollowedHyperlink"/>
    <w:basedOn w:val="DefaultParagraphFont"/>
    <w:uiPriority w:val="99"/>
    <w:semiHidden/>
    <w:unhideWhenUsed/>
    <w:rsid w:val="00D34354"/>
    <w:rPr>
      <w:color w:val="954F72" w:themeColor="followedHyperlink"/>
      <w:u w:val="single"/>
    </w:rPr>
  </w:style>
  <w:style w:type="character" w:styleId="UnresolvedMention">
    <w:name w:val="Unresolved Mention"/>
    <w:basedOn w:val="DefaultParagraphFont"/>
    <w:uiPriority w:val="99"/>
    <w:semiHidden/>
    <w:unhideWhenUsed/>
    <w:rsid w:val="00ED0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482364">
      <w:bodyDiv w:val="1"/>
      <w:marLeft w:val="0"/>
      <w:marRight w:val="0"/>
      <w:marTop w:val="0"/>
      <w:marBottom w:val="0"/>
      <w:divBdr>
        <w:top w:val="none" w:sz="0" w:space="0" w:color="auto"/>
        <w:left w:val="none" w:sz="0" w:space="0" w:color="auto"/>
        <w:bottom w:val="none" w:sz="0" w:space="0" w:color="auto"/>
        <w:right w:val="none" w:sz="0" w:space="0" w:color="auto"/>
      </w:divBdr>
    </w:div>
    <w:div w:id="603073313">
      <w:bodyDiv w:val="1"/>
      <w:marLeft w:val="0"/>
      <w:marRight w:val="0"/>
      <w:marTop w:val="0"/>
      <w:marBottom w:val="0"/>
      <w:divBdr>
        <w:top w:val="none" w:sz="0" w:space="0" w:color="auto"/>
        <w:left w:val="none" w:sz="0" w:space="0" w:color="auto"/>
        <w:bottom w:val="none" w:sz="0" w:space="0" w:color="auto"/>
        <w:right w:val="none" w:sz="0" w:space="0" w:color="auto"/>
      </w:divBdr>
    </w:div>
    <w:div w:id="809710824">
      <w:bodyDiv w:val="1"/>
      <w:marLeft w:val="0"/>
      <w:marRight w:val="0"/>
      <w:marTop w:val="0"/>
      <w:marBottom w:val="0"/>
      <w:divBdr>
        <w:top w:val="none" w:sz="0" w:space="0" w:color="auto"/>
        <w:left w:val="none" w:sz="0" w:space="0" w:color="auto"/>
        <w:bottom w:val="none" w:sz="0" w:space="0" w:color="auto"/>
        <w:right w:val="none" w:sz="0" w:space="0" w:color="auto"/>
      </w:divBdr>
    </w:div>
    <w:div w:id="1059863487">
      <w:bodyDiv w:val="1"/>
      <w:marLeft w:val="0"/>
      <w:marRight w:val="0"/>
      <w:marTop w:val="0"/>
      <w:marBottom w:val="0"/>
      <w:divBdr>
        <w:top w:val="none" w:sz="0" w:space="0" w:color="auto"/>
        <w:left w:val="none" w:sz="0" w:space="0" w:color="auto"/>
        <w:bottom w:val="none" w:sz="0" w:space="0" w:color="auto"/>
        <w:right w:val="none" w:sz="0" w:space="0" w:color="auto"/>
      </w:divBdr>
    </w:div>
    <w:div w:id="1153520560">
      <w:bodyDiv w:val="1"/>
      <w:marLeft w:val="0"/>
      <w:marRight w:val="0"/>
      <w:marTop w:val="0"/>
      <w:marBottom w:val="0"/>
      <w:divBdr>
        <w:top w:val="none" w:sz="0" w:space="0" w:color="auto"/>
        <w:left w:val="none" w:sz="0" w:space="0" w:color="auto"/>
        <w:bottom w:val="none" w:sz="0" w:space="0" w:color="auto"/>
        <w:right w:val="none" w:sz="0" w:space="0" w:color="auto"/>
      </w:divBdr>
    </w:div>
    <w:div w:id="1983079956">
      <w:bodyDiv w:val="1"/>
      <w:marLeft w:val="0"/>
      <w:marRight w:val="0"/>
      <w:marTop w:val="0"/>
      <w:marBottom w:val="0"/>
      <w:divBdr>
        <w:top w:val="none" w:sz="0" w:space="0" w:color="auto"/>
        <w:left w:val="none" w:sz="0" w:space="0" w:color="auto"/>
        <w:bottom w:val="none" w:sz="0" w:space="0" w:color="auto"/>
        <w:right w:val="none" w:sz="0" w:space="0" w:color="auto"/>
      </w:divBdr>
    </w:div>
    <w:div w:id="2038391144">
      <w:bodyDiv w:val="1"/>
      <w:marLeft w:val="0"/>
      <w:marRight w:val="0"/>
      <w:marTop w:val="0"/>
      <w:marBottom w:val="0"/>
      <w:divBdr>
        <w:top w:val="none" w:sz="0" w:space="0" w:color="auto"/>
        <w:left w:val="none" w:sz="0" w:space="0" w:color="auto"/>
        <w:bottom w:val="none" w:sz="0" w:space="0" w:color="auto"/>
        <w:right w:val="none" w:sz="0" w:space="0" w:color="auto"/>
      </w:divBdr>
    </w:div>
    <w:div w:id="205403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ACTIVE_ENGAGEMENTS!4075148.6</documentid>
  <senderid>ELISAVET.LENTSIOU</senderid>
  <senderemail>ELISABETTA.LENTSIOU@POTAMITISVEKRIS.COM</senderemail>
  <lastmodified>2024-10-10T17:23:00.0000000+03:00</lastmodified>
  <database>ACTIVE_ENGAGEMENTS</database>
</properties>
</file>

<file path=customXml/item2.xml><?xml version="1.0" encoding="utf-8"?>
<sisl xmlns:xsd="http://www.w3.org/2001/XMLSchema" xmlns:xsi="http://www.w3.org/2001/XMLSchema-instance" xmlns="http://www.boldonjames.com/2008/01/sie/internal/label" sislVersion="0" policy="498f2868-5c8e-42be-8748-1dd57ec22400" origin="userSelected">
  <element uid="a759ed69-6ff0-492f-9e90-8239c39e63f6" value=""/>
  <element uid="8f474eef-e083-4422-b797-1a6717904cd3" value=""/>
</sisl>
</file>

<file path=customXml/itemProps1.xml><?xml version="1.0" encoding="utf-8"?>
<ds:datastoreItem xmlns:ds="http://schemas.openxmlformats.org/officeDocument/2006/customXml" ds:itemID="{51CDB17B-2BEE-490D-B641-C0F7310B9A82}">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B0CF081A-EB04-4442-8267-C016E264C05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2906</Words>
  <Characters>15697</Characters>
  <Application>Microsoft Office Word</Application>
  <DocSecurity>0</DocSecurity>
  <Lines>130</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Atticabank</dc:creator>
  <cp:keywords>ΔΗΜΟΣΙΟ (PUBLIC)ΕΛΛΗΝΙΚΗ (GREEK)</cp:keywords>
  <dc:description/>
  <cp:lastModifiedBy>Bartzi  Elina</cp:lastModifiedBy>
  <cp:revision>19</cp:revision>
  <cp:lastPrinted>2024-10-14T05:52:00Z</cp:lastPrinted>
  <dcterms:created xsi:type="dcterms:W3CDTF">2024-10-10T14:23:00Z</dcterms:created>
  <dcterms:modified xsi:type="dcterms:W3CDTF">2024-10-14T05:52:00Z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PV: 4075148.2</vt:lpwstr>
  </property>
  <property fmtid="{D5CDD505-2E9C-101B-9397-08002B2CF9AE}" pid="3" name="docIndexRef">
    <vt:lpwstr>0367b81c-fdb0-419f-bb26-9c203190214b</vt:lpwstr>
  </property>
  <property fmtid="{D5CDD505-2E9C-101B-9397-08002B2CF9AE}" pid="4" name="bjSaver">
    <vt:lpwstr>BLIvtnHkhH4cyvjViPoClxOzClTX3ndf</vt:lpwstr>
  </property>
  <property fmtid="{D5CDD505-2E9C-101B-9397-08002B2CF9AE}" pid="5"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6" name="bjDocumentLabelXML-0">
    <vt:lpwstr>ames.com/2008/01/sie/internal/label"&gt;&lt;element uid="a759ed69-6ff0-492f-9e90-8239c39e63f6" value="" /&gt;&lt;element uid="8f474eef-e083-4422-b797-1a6717904cd3" value="" /&gt;&lt;/sisl&gt;</vt:lpwstr>
  </property>
  <property fmtid="{D5CDD505-2E9C-101B-9397-08002B2CF9AE}" pid="7" name="bjDocumentSecurityLabel">
    <vt:lpwstr>ΔΗΜΟΣΙΟ (PUBLIC)</vt:lpwstr>
  </property>
  <property fmtid="{D5CDD505-2E9C-101B-9397-08002B2CF9AE}" pid="8" name="bjClsUserRVM">
    <vt:lpwstr>[]</vt:lpwstr>
  </property>
  <property fmtid="{D5CDD505-2E9C-101B-9397-08002B2CF9AE}" pid="9" name="iManageFooter">
    <vt:lpwstr>PV:4075148.6</vt:lpwstr>
  </property>
</Properties>
</file>